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7ED4D" w14:textId="77777777" w:rsidR="008C59E4" w:rsidRPr="00AB64C2" w:rsidRDefault="008C59E4" w:rsidP="008C59E4">
      <w:pPr>
        <w:pStyle w:val="Title"/>
        <w:ind w:left="720"/>
        <w:rPr>
          <w:bCs/>
          <w:color w:val="002244"/>
          <w:sz w:val="72"/>
          <w:szCs w:val="72"/>
        </w:rPr>
      </w:pPr>
      <w:r w:rsidRPr="00AB64C2">
        <w:rPr>
          <w:b w:val="0"/>
          <w:color w:val="002244"/>
          <w:sz w:val="72"/>
          <w:szCs w:val="72"/>
        </w:rPr>
        <w:t>-</w:t>
      </w:r>
      <w:r w:rsidRPr="00AB64C2">
        <w:rPr>
          <w:bCs/>
          <w:color w:val="002244"/>
          <w:sz w:val="72"/>
          <w:szCs w:val="72"/>
        </w:rPr>
        <w:t xml:space="preserve"> IDEALFUEL</w:t>
      </w:r>
      <w:r>
        <w:rPr>
          <w:bCs/>
          <w:color w:val="002244"/>
          <w:sz w:val="72"/>
          <w:szCs w:val="72"/>
        </w:rPr>
        <w:t xml:space="preserve"> </w:t>
      </w:r>
      <w:r w:rsidRPr="00AB64C2">
        <w:rPr>
          <w:b w:val="0"/>
          <w:color w:val="002244"/>
          <w:sz w:val="72"/>
          <w:szCs w:val="72"/>
        </w:rPr>
        <w:t>-</w:t>
      </w:r>
    </w:p>
    <w:p w14:paraId="1807A43A" w14:textId="77777777" w:rsidR="008C59E4" w:rsidRPr="009D3B22" w:rsidRDefault="008C59E4" w:rsidP="008C59E4">
      <w:pPr>
        <w:pStyle w:val="Title"/>
        <w:ind w:left="720"/>
        <w:rPr>
          <w:color w:val="002244"/>
          <w:sz w:val="72"/>
          <w:szCs w:val="72"/>
        </w:rPr>
      </w:pPr>
      <w:r w:rsidRPr="009D3B22">
        <w:rPr>
          <w:b w:val="0"/>
          <w:color w:val="002244"/>
          <w:sz w:val="44"/>
          <w:szCs w:val="44"/>
        </w:rPr>
        <w:t>Lignin as a feedstock for renewable marine fuels</w:t>
      </w:r>
    </w:p>
    <w:p w14:paraId="78340548" w14:textId="77777777" w:rsidR="008C59E4" w:rsidRPr="00C31319" w:rsidRDefault="008C59E4" w:rsidP="008C59E4">
      <w:pPr>
        <w:rPr>
          <w:color w:val="002244"/>
          <w:lang w:val="en-GB"/>
        </w:rPr>
      </w:pPr>
    </w:p>
    <w:p w14:paraId="7EBB8E8B" w14:textId="77777777" w:rsidR="008C59E4" w:rsidRPr="007A4C09" w:rsidRDefault="008C59E4" w:rsidP="008C59E4">
      <w:pPr>
        <w:pStyle w:val="Title"/>
        <w:rPr>
          <w:color w:val="002244"/>
          <w:sz w:val="28"/>
          <w:szCs w:val="28"/>
        </w:rPr>
      </w:pPr>
      <w:r w:rsidRPr="007A4C09">
        <w:rPr>
          <w:color w:val="002244"/>
          <w:sz w:val="28"/>
          <w:szCs w:val="28"/>
        </w:rPr>
        <w:t>GRANT AGREEMENT No. 883753</w:t>
      </w:r>
    </w:p>
    <w:p w14:paraId="3FDB75E3" w14:textId="77777777" w:rsidR="007A4C09" w:rsidRPr="007A4C09" w:rsidRDefault="007A4C09" w:rsidP="007A4C09">
      <w:pPr>
        <w:pStyle w:val="Title"/>
        <w:rPr>
          <w:rFonts w:asciiTheme="minorHAnsi" w:hAnsiTheme="minorHAnsi"/>
          <w:b w:val="0"/>
          <w:color w:val="002244"/>
          <w:sz w:val="24"/>
          <w:szCs w:val="24"/>
        </w:rPr>
      </w:pPr>
      <w:r>
        <w:rPr>
          <w:color w:val="002244"/>
          <w:sz w:val="24"/>
        </w:rPr>
        <w:br/>
      </w:r>
      <w:r w:rsidRPr="007A4C09">
        <w:rPr>
          <w:rFonts w:asciiTheme="minorHAnsi" w:hAnsiTheme="minorHAnsi"/>
          <w:b w:val="0"/>
          <w:color w:val="002244"/>
          <w:sz w:val="24"/>
          <w:szCs w:val="24"/>
        </w:rPr>
        <w:t>HORIZON 2020 PROGRAMME - TOPIC LC-SC3-RES-23-2019</w:t>
      </w:r>
    </w:p>
    <w:p w14:paraId="61466063" w14:textId="77777777" w:rsidR="007A4C09" w:rsidRPr="007A4C09" w:rsidRDefault="007A4C09" w:rsidP="007A4C09">
      <w:pPr>
        <w:autoSpaceDE w:val="0"/>
        <w:autoSpaceDN w:val="0"/>
        <w:adjustRightInd w:val="0"/>
        <w:jc w:val="center"/>
        <w:rPr>
          <w:rFonts w:asciiTheme="minorHAnsi" w:hAnsiTheme="minorHAnsi"/>
          <w:color w:val="002244"/>
          <w:szCs w:val="21"/>
          <w:lang w:val="en-GB"/>
        </w:rPr>
      </w:pPr>
      <w:r w:rsidRPr="007A4C09">
        <w:rPr>
          <w:rFonts w:asciiTheme="minorHAnsi" w:hAnsiTheme="minorHAnsi"/>
          <w:color w:val="002244"/>
          <w:szCs w:val="21"/>
          <w:lang w:val="en-GB"/>
        </w:rPr>
        <w:t>“Development of next generation biofuel and alternative renewable fuel technologies for aviation and shipping”</w:t>
      </w:r>
    </w:p>
    <w:p w14:paraId="63EC9C2A" w14:textId="77777777" w:rsidR="007A4C09" w:rsidRPr="00C31319" w:rsidRDefault="007A4C09" w:rsidP="007A4C09">
      <w:pPr>
        <w:jc w:val="center"/>
        <w:rPr>
          <w:color w:val="002244"/>
          <w:lang w:val="en-GB"/>
        </w:rPr>
      </w:pPr>
    </w:p>
    <w:p w14:paraId="072FEE2C" w14:textId="77777777" w:rsidR="007A4C09" w:rsidRPr="00C31319" w:rsidRDefault="007A4C09" w:rsidP="007A4C09">
      <w:pPr>
        <w:rPr>
          <w:color w:val="002244"/>
          <w:lang w:val="en-GB"/>
        </w:rPr>
      </w:pPr>
    </w:p>
    <w:p w14:paraId="54D0CB93" w14:textId="77777777" w:rsidR="007A4C09" w:rsidRPr="0045629F" w:rsidRDefault="007A4C09" w:rsidP="007A4C09">
      <w:pPr>
        <w:rPr>
          <w:lang w:val="en-GB"/>
        </w:rPr>
      </w:pPr>
    </w:p>
    <w:p w14:paraId="691EAC14" w14:textId="77777777" w:rsidR="007A4C09" w:rsidRPr="0045629F" w:rsidRDefault="007A4C09" w:rsidP="007A4C09">
      <w:pPr>
        <w:rPr>
          <w:lang w:val="en-GB"/>
        </w:rPr>
      </w:pPr>
    </w:p>
    <w:p w14:paraId="58BC67C3" w14:textId="77777777" w:rsidR="007A4C09" w:rsidRPr="0045629F" w:rsidRDefault="007A4C09" w:rsidP="007A4C09">
      <w:pPr>
        <w:rPr>
          <w:lang w:val="en-GB"/>
        </w:rPr>
      </w:pPr>
    </w:p>
    <w:p w14:paraId="4EE57E47" w14:textId="77777777" w:rsidR="007A4C09" w:rsidRPr="0045629F" w:rsidRDefault="007A4C09" w:rsidP="007A4C09">
      <w:pPr>
        <w:jc w:val="center"/>
        <w:rPr>
          <w:lang w:val="en-GB"/>
        </w:rPr>
      </w:pPr>
    </w:p>
    <w:p w14:paraId="552A4CD9" w14:textId="77777777" w:rsidR="007A4C09" w:rsidRPr="0045629F" w:rsidRDefault="007A4C09" w:rsidP="007A4C09">
      <w:pPr>
        <w:jc w:val="center"/>
        <w:rPr>
          <w:lang w:val="en-GB"/>
        </w:rPr>
      </w:pPr>
    </w:p>
    <w:p w14:paraId="52D2FF9E" w14:textId="77777777" w:rsidR="007A4C09" w:rsidRPr="0045629F" w:rsidRDefault="007A4C09" w:rsidP="007A4C09">
      <w:pPr>
        <w:jc w:val="center"/>
        <w:rPr>
          <w:lang w:val="en-GB"/>
        </w:rPr>
      </w:pPr>
      <w:r w:rsidRPr="0045629F">
        <w:rPr>
          <w:noProof/>
        </w:rPr>
        <w:drawing>
          <wp:inline distT="0" distB="0" distL="0" distR="0" wp14:anchorId="573C77FD" wp14:editId="45D417DA">
            <wp:extent cx="6120765" cy="2758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2758440"/>
                    </a:xfrm>
                    <a:prstGeom prst="rect">
                      <a:avLst/>
                    </a:prstGeom>
                    <a:noFill/>
                    <a:ln>
                      <a:noFill/>
                    </a:ln>
                  </pic:spPr>
                </pic:pic>
              </a:graphicData>
            </a:graphic>
          </wp:inline>
        </w:drawing>
      </w:r>
    </w:p>
    <w:p w14:paraId="03A521A0" w14:textId="77777777" w:rsidR="007A4C09" w:rsidRPr="0045629F" w:rsidRDefault="007A4C09" w:rsidP="007A4C09">
      <w:pPr>
        <w:rPr>
          <w:lang w:val="en-GB"/>
        </w:rPr>
      </w:pPr>
    </w:p>
    <w:p w14:paraId="7107A6B4" w14:textId="77777777" w:rsidR="007A4C09" w:rsidRPr="0045629F" w:rsidRDefault="007A4C09" w:rsidP="007A4C09">
      <w:pPr>
        <w:rPr>
          <w:lang w:val="en-GB"/>
        </w:rPr>
      </w:pPr>
    </w:p>
    <w:p w14:paraId="4D932E57" w14:textId="77777777" w:rsidR="007A4C09" w:rsidRPr="0045629F" w:rsidRDefault="007A4C09" w:rsidP="007A4C09">
      <w:pPr>
        <w:rPr>
          <w:lang w:val="en-GB"/>
        </w:rPr>
      </w:pPr>
    </w:p>
    <w:p w14:paraId="2265AFA0" w14:textId="77777777" w:rsidR="007A4C09" w:rsidRPr="0045629F" w:rsidRDefault="007A4C09" w:rsidP="007A4C09">
      <w:pPr>
        <w:rPr>
          <w:lang w:val="en-GB"/>
        </w:rPr>
      </w:pPr>
    </w:p>
    <w:p w14:paraId="320F55CE" w14:textId="77777777" w:rsidR="007A4C09" w:rsidRPr="0045629F" w:rsidRDefault="007A4C09" w:rsidP="007A4C09">
      <w:pPr>
        <w:rPr>
          <w:lang w:val="en-GB"/>
        </w:rPr>
      </w:pPr>
    </w:p>
    <w:p w14:paraId="115BA105" w14:textId="50F46433" w:rsidR="007A4C09" w:rsidRPr="00C31319" w:rsidRDefault="007A4C09" w:rsidP="00EC0977">
      <w:pPr>
        <w:pStyle w:val="Title"/>
        <w:rPr>
          <w:color w:val="002244"/>
        </w:rPr>
      </w:pPr>
      <w:r w:rsidRPr="00C31319">
        <w:rPr>
          <w:color w:val="002244"/>
        </w:rPr>
        <w:t>Deliverable Report</w:t>
      </w:r>
    </w:p>
    <w:p w14:paraId="65667B40" w14:textId="33B2A418" w:rsidR="00AF6EDB" w:rsidRPr="0045629F" w:rsidRDefault="007A4C09" w:rsidP="007A4C09">
      <w:pPr>
        <w:jc w:val="center"/>
        <w:rPr>
          <w:lang w:val="en-GB"/>
        </w:rPr>
      </w:pPr>
      <w:r w:rsidRPr="00C31319">
        <w:rPr>
          <w:color w:val="00376F" w:themeColor="accent1" w:themeTint="E6"/>
          <w:sz w:val="40"/>
          <w:lang w:val="en-GB"/>
        </w:rPr>
        <w:t>D</w:t>
      </w:r>
      <w:r w:rsidR="008F7E36">
        <w:rPr>
          <w:color w:val="00376F" w:themeColor="accent1" w:themeTint="E6"/>
          <w:sz w:val="40"/>
          <w:lang w:val="en-GB"/>
        </w:rPr>
        <w:t>6.</w:t>
      </w:r>
      <w:r w:rsidR="000841E2">
        <w:rPr>
          <w:color w:val="00376F" w:themeColor="accent1" w:themeTint="E6"/>
          <w:sz w:val="40"/>
          <w:lang w:val="en-GB"/>
        </w:rPr>
        <w:t>2</w:t>
      </w:r>
      <w:r w:rsidRPr="00C31319">
        <w:rPr>
          <w:color w:val="00376F" w:themeColor="accent1" w:themeTint="E6"/>
          <w:sz w:val="40"/>
          <w:lang w:val="en-GB"/>
        </w:rPr>
        <w:t xml:space="preserve"> – </w:t>
      </w:r>
      <w:r w:rsidR="000841E2">
        <w:rPr>
          <w:color w:val="00376F" w:themeColor="accent1" w:themeTint="E6"/>
          <w:sz w:val="40"/>
          <w:lang w:val="en-GB"/>
        </w:rPr>
        <w:t>Market Assessment</w:t>
      </w:r>
    </w:p>
    <w:p w14:paraId="2793396B" w14:textId="77777777" w:rsidR="00AF6EDB" w:rsidRPr="0045629F" w:rsidRDefault="00AF6EDB" w:rsidP="00AF6EDB">
      <w:pPr>
        <w:rPr>
          <w:lang w:val="en-GB"/>
        </w:rPr>
      </w:pPr>
    </w:p>
    <w:p w14:paraId="560E7850" w14:textId="77777777" w:rsidR="00AF6EDB" w:rsidRPr="0045629F" w:rsidRDefault="00AF6EDB" w:rsidP="00AF6EDB">
      <w:pPr>
        <w:rPr>
          <w:lang w:val="en-GB"/>
        </w:rPr>
      </w:pPr>
    </w:p>
    <w:p w14:paraId="042A88FB" w14:textId="77777777" w:rsidR="00AF6EDB" w:rsidRPr="0045629F" w:rsidRDefault="00AF6EDB" w:rsidP="00AF6EDB">
      <w:pPr>
        <w:rPr>
          <w:lang w:val="en-GB"/>
        </w:rPr>
      </w:pPr>
    </w:p>
    <w:p w14:paraId="6ED5B895" w14:textId="77777777" w:rsidR="00AF6EDB" w:rsidRPr="0045629F" w:rsidRDefault="00AF6EDB" w:rsidP="00AF6EDB">
      <w:pPr>
        <w:rPr>
          <w:lang w:val="en-GB"/>
        </w:rPr>
      </w:pPr>
    </w:p>
    <w:p w14:paraId="18171D33" w14:textId="77777777" w:rsidR="00AF6EDB" w:rsidRPr="0045629F" w:rsidRDefault="00AF6EDB" w:rsidP="00AF6EDB">
      <w:pPr>
        <w:rPr>
          <w:lang w:val="en-GB"/>
        </w:rPr>
      </w:pPr>
    </w:p>
    <w:p w14:paraId="49C7E4C0" w14:textId="77777777" w:rsidR="00AF6EDB" w:rsidRPr="0045629F" w:rsidRDefault="00AF6EDB" w:rsidP="00AF6EDB">
      <w:pPr>
        <w:rPr>
          <w:lang w:val="en-GB"/>
        </w:rPr>
      </w:pPr>
    </w:p>
    <w:p w14:paraId="149F6E92" w14:textId="77777777" w:rsidR="00AF6EDB" w:rsidRPr="0045629F" w:rsidRDefault="00AF6EDB" w:rsidP="00AF6EDB">
      <w:pPr>
        <w:rPr>
          <w:lang w:val="en-GB"/>
        </w:rPr>
      </w:pPr>
    </w:p>
    <w:p w14:paraId="4361A231" w14:textId="77777777" w:rsidR="00AF6EDB" w:rsidRPr="0045629F" w:rsidRDefault="00AF6EDB" w:rsidP="00AF6EDB">
      <w:pPr>
        <w:spacing w:after="160" w:line="259" w:lineRule="auto"/>
        <w:jc w:val="left"/>
        <w:rPr>
          <w:lang w:val="en-GB"/>
        </w:rPr>
      </w:pPr>
    </w:p>
    <w:tbl>
      <w:tblPr>
        <w:tblStyle w:val="ListTable3-Accent11"/>
        <w:tblpPr w:leftFromText="181" w:rightFromText="181" w:vertAnchor="page" w:horzAnchor="margin" w:tblpY="1891"/>
        <w:tblW w:w="5005" w:type="pct"/>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Look w:val="0000" w:firstRow="0" w:lastRow="0" w:firstColumn="0" w:lastColumn="0" w:noHBand="0" w:noVBand="0"/>
      </w:tblPr>
      <w:tblGrid>
        <w:gridCol w:w="2215"/>
        <w:gridCol w:w="5465"/>
        <w:gridCol w:w="1958"/>
      </w:tblGrid>
      <w:tr w:rsidR="00AF6EDB" w:rsidRPr="0045629F" w14:paraId="02BB5912"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139812C3" w14:textId="77777777" w:rsidR="00AF6EDB" w:rsidRPr="00131E03" w:rsidRDefault="00AF6EDB" w:rsidP="00131E03">
            <w:pPr>
              <w:pStyle w:val="Title"/>
              <w:jc w:val="left"/>
              <w:rPr>
                <w:b w:val="0"/>
                <w:color w:val="1F1F1F" w:themeColor="background2" w:themeShade="80"/>
                <w:sz w:val="21"/>
                <w:szCs w:val="21"/>
              </w:rPr>
            </w:pPr>
            <w:r w:rsidRPr="00131E03">
              <w:rPr>
                <w:color w:val="002244"/>
                <w:sz w:val="21"/>
                <w:szCs w:val="21"/>
              </w:rPr>
              <w:t>Deliverable No.</w:t>
            </w:r>
          </w:p>
        </w:tc>
        <w:tc>
          <w:tcPr>
            <w:tcW w:w="2835" w:type="pct"/>
            <w:tcBorders>
              <w:top w:val="none" w:sz="0" w:space="0" w:color="auto"/>
              <w:bottom w:val="none" w:sz="0" w:space="0" w:color="auto"/>
            </w:tcBorders>
          </w:tcPr>
          <w:p w14:paraId="4C1477F7" w14:textId="267F9B22" w:rsidR="00AF6EDB" w:rsidRPr="00131E03" w:rsidRDefault="00E6432A"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131E03">
              <w:rPr>
                <w:color w:val="00376F" w:themeColor="accent1" w:themeTint="E6"/>
                <w:szCs w:val="21"/>
                <w:lang w:val="en-GB"/>
              </w:rPr>
              <w:t>IDEALFUEL</w:t>
            </w:r>
            <w:r w:rsidR="006E0F81" w:rsidRPr="00131E03">
              <w:rPr>
                <w:color w:val="00376F" w:themeColor="accent1" w:themeTint="E6"/>
                <w:szCs w:val="21"/>
                <w:lang w:val="en-GB"/>
              </w:rPr>
              <w:t xml:space="preserve"> D</w:t>
            </w:r>
            <w:r w:rsidR="000841E2">
              <w:rPr>
                <w:color w:val="00376F" w:themeColor="accent1" w:themeTint="E6"/>
                <w:szCs w:val="21"/>
                <w:lang w:val="en-GB"/>
              </w:rPr>
              <w:t>6.2</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484B1041" w14:textId="77777777" w:rsidR="00AF6EDB" w:rsidRPr="00131E03" w:rsidRDefault="00AF6EDB" w:rsidP="00131E03">
            <w:pPr>
              <w:jc w:val="left"/>
              <w:rPr>
                <w:color w:val="00376F" w:themeColor="accent1" w:themeTint="E6"/>
                <w:szCs w:val="21"/>
                <w:lang w:val="en-GB"/>
              </w:rPr>
            </w:pPr>
          </w:p>
        </w:tc>
      </w:tr>
      <w:tr w:rsidR="00AF6EDB" w:rsidRPr="0045629F" w14:paraId="554461DA" w14:textId="77777777" w:rsidTr="00131E03">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6854B7A4" w14:textId="77777777" w:rsidR="00AF6EDB" w:rsidRPr="00131E03" w:rsidRDefault="00AF6EDB" w:rsidP="00131E03">
            <w:pPr>
              <w:pStyle w:val="Title"/>
              <w:jc w:val="left"/>
              <w:rPr>
                <w:color w:val="002244"/>
                <w:sz w:val="21"/>
                <w:szCs w:val="21"/>
              </w:rPr>
            </w:pPr>
            <w:r w:rsidRPr="00131E03">
              <w:rPr>
                <w:color w:val="002244"/>
                <w:sz w:val="21"/>
                <w:szCs w:val="21"/>
              </w:rPr>
              <w:t>Related WP</w:t>
            </w:r>
          </w:p>
        </w:tc>
        <w:tc>
          <w:tcPr>
            <w:tcW w:w="2835" w:type="pct"/>
          </w:tcPr>
          <w:p w14:paraId="1515FFF3" w14:textId="29D243C6" w:rsidR="00AF6EDB" w:rsidRPr="00131E03" w:rsidRDefault="0075226F"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WP</w:t>
            </w:r>
            <w:r w:rsidR="000841E2">
              <w:rPr>
                <w:color w:val="00376F" w:themeColor="accent1" w:themeTint="E6"/>
                <w:szCs w:val="21"/>
                <w:lang w:val="en-GB"/>
              </w:rPr>
              <w:t>6</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0808D0F1" w14:textId="77777777" w:rsidR="00AF6EDB" w:rsidRPr="00131E03" w:rsidRDefault="00AF6EDB" w:rsidP="00131E03">
            <w:pPr>
              <w:jc w:val="left"/>
              <w:rPr>
                <w:color w:val="00376F" w:themeColor="accent1" w:themeTint="E6"/>
                <w:szCs w:val="21"/>
                <w:lang w:val="en-GB"/>
              </w:rPr>
            </w:pPr>
          </w:p>
        </w:tc>
      </w:tr>
      <w:tr w:rsidR="00AF6EDB" w:rsidRPr="0045629F" w14:paraId="557A9778"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3B6AB9CB" w14:textId="77777777" w:rsidR="00AF6EDB" w:rsidRPr="00131E03" w:rsidRDefault="00AF6EDB" w:rsidP="00131E03">
            <w:pPr>
              <w:pStyle w:val="Title"/>
              <w:jc w:val="left"/>
              <w:rPr>
                <w:color w:val="002244"/>
                <w:sz w:val="21"/>
                <w:szCs w:val="21"/>
              </w:rPr>
            </w:pPr>
            <w:r w:rsidRPr="00131E03">
              <w:rPr>
                <w:color w:val="002244"/>
                <w:sz w:val="21"/>
                <w:szCs w:val="21"/>
              </w:rPr>
              <w:t>Deliverable Title</w:t>
            </w:r>
          </w:p>
        </w:tc>
        <w:tc>
          <w:tcPr>
            <w:tcW w:w="2835" w:type="pct"/>
            <w:tcBorders>
              <w:top w:val="none" w:sz="0" w:space="0" w:color="auto"/>
              <w:bottom w:val="none" w:sz="0" w:space="0" w:color="auto"/>
            </w:tcBorders>
          </w:tcPr>
          <w:p w14:paraId="0866732C" w14:textId="3841D901" w:rsidR="00AF6EDB" w:rsidRPr="00131E03" w:rsidRDefault="000841E2"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Market Assessment Report</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5D5D0AF7" w14:textId="77777777" w:rsidR="00AF6EDB" w:rsidRPr="00131E03" w:rsidRDefault="00AF6EDB" w:rsidP="00131E03">
            <w:pPr>
              <w:jc w:val="left"/>
              <w:rPr>
                <w:color w:val="00376F" w:themeColor="accent1" w:themeTint="E6"/>
                <w:szCs w:val="21"/>
                <w:lang w:val="en-GB"/>
              </w:rPr>
            </w:pPr>
          </w:p>
        </w:tc>
      </w:tr>
      <w:tr w:rsidR="00AF6EDB" w:rsidRPr="0045629F" w14:paraId="6056919A" w14:textId="77777777" w:rsidTr="00131E03">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5B11CC74" w14:textId="77777777" w:rsidR="00AF6EDB" w:rsidRPr="00131E03" w:rsidRDefault="00AF6EDB" w:rsidP="00131E03">
            <w:pPr>
              <w:pStyle w:val="Title"/>
              <w:jc w:val="left"/>
              <w:rPr>
                <w:color w:val="002244"/>
                <w:sz w:val="21"/>
                <w:szCs w:val="21"/>
              </w:rPr>
            </w:pPr>
            <w:r w:rsidRPr="00131E03">
              <w:rPr>
                <w:color w:val="002244"/>
                <w:sz w:val="21"/>
                <w:szCs w:val="21"/>
              </w:rPr>
              <w:t>Deliverable Date</w:t>
            </w:r>
          </w:p>
        </w:tc>
        <w:tc>
          <w:tcPr>
            <w:tcW w:w="2835" w:type="pct"/>
          </w:tcPr>
          <w:p w14:paraId="54DD73A1" w14:textId="33A18E43" w:rsidR="00AF6EDB" w:rsidRPr="00131E03" w:rsidRDefault="00A65BCC"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31</w:t>
            </w:r>
            <w:r w:rsidR="0075226F">
              <w:rPr>
                <w:color w:val="00376F" w:themeColor="accent1" w:themeTint="E6"/>
                <w:szCs w:val="21"/>
                <w:lang w:val="en-GB"/>
              </w:rPr>
              <w:t>-</w:t>
            </w:r>
            <w:r w:rsidR="004064D3">
              <w:rPr>
                <w:color w:val="00376F" w:themeColor="accent1" w:themeTint="E6"/>
                <w:szCs w:val="21"/>
                <w:lang w:val="en-GB"/>
              </w:rPr>
              <w:t>10</w:t>
            </w:r>
            <w:r w:rsidR="0075226F">
              <w:rPr>
                <w:color w:val="00376F" w:themeColor="accent1" w:themeTint="E6"/>
                <w:szCs w:val="21"/>
                <w:lang w:val="en-GB"/>
              </w:rPr>
              <w:t>-</w:t>
            </w:r>
            <w:r w:rsidR="004064D3">
              <w:rPr>
                <w:color w:val="00376F" w:themeColor="accent1" w:themeTint="E6"/>
                <w:szCs w:val="21"/>
                <w:lang w:val="en-GB"/>
              </w:rPr>
              <w:t>2021</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4EA9BA22" w14:textId="77777777" w:rsidR="00AF6EDB" w:rsidRPr="00131E03" w:rsidRDefault="00AF6EDB" w:rsidP="00131E03">
            <w:pPr>
              <w:jc w:val="left"/>
              <w:rPr>
                <w:color w:val="00376F" w:themeColor="accent1" w:themeTint="E6"/>
                <w:szCs w:val="21"/>
                <w:lang w:val="en-GB"/>
              </w:rPr>
            </w:pPr>
          </w:p>
        </w:tc>
      </w:tr>
      <w:tr w:rsidR="00AF6EDB" w:rsidRPr="0045629F" w14:paraId="6F3C88C0"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741CA652" w14:textId="77777777" w:rsidR="00AF6EDB" w:rsidRPr="00131E03" w:rsidRDefault="00AF6EDB" w:rsidP="00131E03">
            <w:pPr>
              <w:pStyle w:val="Title"/>
              <w:jc w:val="left"/>
              <w:rPr>
                <w:color w:val="002244"/>
                <w:sz w:val="21"/>
                <w:szCs w:val="21"/>
              </w:rPr>
            </w:pPr>
            <w:r w:rsidRPr="00131E03">
              <w:rPr>
                <w:color w:val="002244"/>
                <w:sz w:val="21"/>
                <w:szCs w:val="21"/>
              </w:rPr>
              <w:t>Deliverable Type</w:t>
            </w:r>
          </w:p>
        </w:tc>
        <w:tc>
          <w:tcPr>
            <w:tcW w:w="2835" w:type="pct"/>
            <w:tcBorders>
              <w:top w:val="none" w:sz="0" w:space="0" w:color="auto"/>
              <w:bottom w:val="none" w:sz="0" w:space="0" w:color="auto"/>
            </w:tcBorders>
          </w:tcPr>
          <w:p w14:paraId="0A258EC7" w14:textId="3384038A" w:rsidR="00AF6EDB" w:rsidRPr="00131E03" w:rsidRDefault="00F2653B"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131E03">
              <w:rPr>
                <w:color w:val="00376F" w:themeColor="accent1" w:themeTint="E6"/>
                <w:szCs w:val="21"/>
                <w:lang w:val="en-GB"/>
              </w:rPr>
              <w:t xml:space="preserve">REPORT </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5DE32CDA" w14:textId="77777777" w:rsidR="00AF6EDB" w:rsidRPr="00131E03" w:rsidRDefault="00AF6EDB" w:rsidP="00131E03">
            <w:pPr>
              <w:jc w:val="left"/>
              <w:rPr>
                <w:color w:val="00376F" w:themeColor="accent1" w:themeTint="E6"/>
                <w:szCs w:val="21"/>
                <w:lang w:val="en-GB"/>
              </w:rPr>
            </w:pPr>
          </w:p>
        </w:tc>
      </w:tr>
      <w:tr w:rsidR="00AF6EDB" w:rsidRPr="0045629F" w14:paraId="5F416554" w14:textId="77777777" w:rsidTr="00131E03">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00571AA0" w14:textId="77777777" w:rsidR="00AF6EDB" w:rsidRPr="00131E03" w:rsidRDefault="00AF6EDB" w:rsidP="00131E03">
            <w:pPr>
              <w:pStyle w:val="Title"/>
              <w:jc w:val="left"/>
              <w:rPr>
                <w:color w:val="002244"/>
                <w:sz w:val="21"/>
                <w:szCs w:val="21"/>
              </w:rPr>
            </w:pPr>
            <w:r w:rsidRPr="00131E03">
              <w:rPr>
                <w:color w:val="002244"/>
                <w:sz w:val="21"/>
                <w:szCs w:val="21"/>
              </w:rPr>
              <w:t>Dissemination level</w:t>
            </w:r>
          </w:p>
        </w:tc>
        <w:tc>
          <w:tcPr>
            <w:tcW w:w="2835" w:type="pct"/>
          </w:tcPr>
          <w:p w14:paraId="28A51CC1" w14:textId="06E0E8C9" w:rsidR="00AF6EDB" w:rsidRPr="00131E03" w:rsidRDefault="002D0534"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bookmarkStart w:id="1" w:name="DelLevel"/>
            <w:r>
              <w:rPr>
                <w:color w:val="00376F" w:themeColor="accent1" w:themeTint="E6"/>
                <w:szCs w:val="21"/>
                <w:lang w:val="en-GB"/>
              </w:rPr>
              <w:t>Confidential – consortium members only (CO)</w:t>
            </w:r>
            <w:bookmarkEnd w:id="1"/>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614CED88" w14:textId="77777777" w:rsidR="00AF6EDB" w:rsidRPr="00131E03" w:rsidRDefault="00AF6EDB" w:rsidP="00131E03">
            <w:pPr>
              <w:jc w:val="left"/>
              <w:rPr>
                <w:color w:val="00376F" w:themeColor="accent1" w:themeTint="E6"/>
                <w:szCs w:val="21"/>
                <w:lang w:val="en-GB"/>
              </w:rPr>
            </w:pPr>
          </w:p>
        </w:tc>
      </w:tr>
      <w:tr w:rsidR="00AF6EDB" w:rsidRPr="0045629F" w14:paraId="24321F23"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6AD92912" w14:textId="77777777" w:rsidR="00AF6EDB" w:rsidRPr="00131E03" w:rsidRDefault="00AF6EDB" w:rsidP="00131E03">
            <w:pPr>
              <w:pStyle w:val="Title"/>
              <w:jc w:val="left"/>
              <w:rPr>
                <w:color w:val="002244"/>
                <w:sz w:val="21"/>
                <w:szCs w:val="21"/>
              </w:rPr>
            </w:pPr>
            <w:r w:rsidRPr="00131E03">
              <w:rPr>
                <w:color w:val="002244"/>
                <w:sz w:val="21"/>
                <w:szCs w:val="21"/>
              </w:rPr>
              <w:t>Written By</w:t>
            </w:r>
          </w:p>
        </w:tc>
        <w:tc>
          <w:tcPr>
            <w:tcW w:w="2835" w:type="pct"/>
            <w:tcBorders>
              <w:top w:val="none" w:sz="0" w:space="0" w:color="auto"/>
              <w:bottom w:val="none" w:sz="0" w:space="0" w:color="auto"/>
            </w:tcBorders>
          </w:tcPr>
          <w:p w14:paraId="3E7956C8" w14:textId="0FAFE5D2" w:rsidR="00AF6EDB" w:rsidRDefault="004D7265"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Olivia Morales</w:t>
            </w:r>
            <w:r w:rsidR="00F2653B" w:rsidRPr="00131E03">
              <w:rPr>
                <w:color w:val="00376F" w:themeColor="accent1" w:themeTint="E6"/>
                <w:szCs w:val="21"/>
                <w:lang w:val="en-GB"/>
              </w:rPr>
              <w:t xml:space="preserve"> (</w:t>
            </w:r>
            <w:r w:rsidR="008027AE">
              <w:rPr>
                <w:color w:val="00376F" w:themeColor="accent1" w:themeTint="E6"/>
                <w:szCs w:val="21"/>
                <w:lang w:val="en-GB"/>
              </w:rPr>
              <w:t>GOOD</w:t>
            </w:r>
            <w:r w:rsidR="00F2653B" w:rsidRPr="00131E03">
              <w:rPr>
                <w:color w:val="00376F" w:themeColor="accent1" w:themeTint="E6"/>
                <w:szCs w:val="21"/>
                <w:lang w:val="en-GB"/>
              </w:rPr>
              <w:t>)</w:t>
            </w:r>
          </w:p>
          <w:p w14:paraId="28098469" w14:textId="6A10527F" w:rsidR="00365985" w:rsidRPr="00131E03" w:rsidRDefault="00365985"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Felipe Ferrary (</w:t>
            </w:r>
            <w:r w:rsidR="008027AE">
              <w:rPr>
                <w:color w:val="00376F" w:themeColor="accent1" w:themeTint="E6"/>
                <w:szCs w:val="21"/>
                <w:lang w:val="en-GB"/>
              </w:rPr>
              <w:t>GOOD</w:t>
            </w:r>
            <w:r>
              <w:rPr>
                <w:color w:val="00376F" w:themeColor="accent1" w:themeTint="E6"/>
                <w:szCs w:val="21"/>
                <w:lang w:val="en-GB"/>
              </w:rPr>
              <w:t>)</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10298724" w14:textId="5206408B" w:rsidR="00AF6EDB" w:rsidRPr="00131E03" w:rsidRDefault="00D27197" w:rsidP="00131E03">
            <w:pPr>
              <w:jc w:val="left"/>
              <w:rPr>
                <w:color w:val="00376F" w:themeColor="accent1" w:themeTint="E6"/>
                <w:szCs w:val="21"/>
                <w:lang w:val="en-GB"/>
              </w:rPr>
            </w:pPr>
            <w:r>
              <w:rPr>
                <w:color w:val="00376F" w:themeColor="accent1" w:themeTint="E6"/>
                <w:szCs w:val="21"/>
                <w:lang w:val="en-GB"/>
              </w:rPr>
              <w:t>20</w:t>
            </w:r>
            <w:r w:rsidR="0075226F">
              <w:rPr>
                <w:color w:val="00376F" w:themeColor="accent1" w:themeTint="E6"/>
                <w:szCs w:val="21"/>
                <w:lang w:val="en-GB"/>
              </w:rPr>
              <w:t>-</w:t>
            </w:r>
            <w:r w:rsidR="003F6460">
              <w:rPr>
                <w:color w:val="00376F" w:themeColor="accent1" w:themeTint="E6"/>
                <w:szCs w:val="21"/>
                <w:lang w:val="en-GB"/>
              </w:rPr>
              <w:t>10</w:t>
            </w:r>
            <w:r w:rsidR="0075226F">
              <w:rPr>
                <w:color w:val="00376F" w:themeColor="accent1" w:themeTint="E6"/>
                <w:szCs w:val="21"/>
                <w:lang w:val="en-GB"/>
              </w:rPr>
              <w:t>-</w:t>
            </w:r>
            <w:r w:rsidR="003F6460">
              <w:rPr>
                <w:color w:val="00376F" w:themeColor="accent1" w:themeTint="E6"/>
                <w:szCs w:val="21"/>
                <w:lang w:val="en-GB"/>
              </w:rPr>
              <w:t>2021</w:t>
            </w:r>
          </w:p>
        </w:tc>
      </w:tr>
      <w:tr w:rsidR="00AF6EDB" w:rsidRPr="0045629F" w14:paraId="5B3FD4DB" w14:textId="77777777" w:rsidTr="00131E03">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31E137E4" w14:textId="77777777" w:rsidR="00AF6EDB" w:rsidRPr="00131E03" w:rsidRDefault="00AF6EDB" w:rsidP="00131E03">
            <w:pPr>
              <w:pStyle w:val="Title"/>
              <w:jc w:val="left"/>
              <w:rPr>
                <w:color w:val="002244"/>
                <w:sz w:val="21"/>
                <w:szCs w:val="21"/>
              </w:rPr>
            </w:pPr>
            <w:r w:rsidRPr="00131E03">
              <w:rPr>
                <w:color w:val="002244"/>
                <w:sz w:val="21"/>
                <w:szCs w:val="21"/>
              </w:rPr>
              <w:t>Checked by</w:t>
            </w:r>
          </w:p>
        </w:tc>
        <w:tc>
          <w:tcPr>
            <w:tcW w:w="2835" w:type="pct"/>
          </w:tcPr>
          <w:p w14:paraId="2829E5D2" w14:textId="4E5DD71F" w:rsidR="00AF6EDB" w:rsidRPr="00131E03" w:rsidRDefault="00073CF6"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Eva B</w:t>
            </w:r>
            <w:r w:rsidR="001110D7">
              <w:rPr>
                <w:color w:val="00376F" w:themeColor="accent1" w:themeTint="E6"/>
                <w:szCs w:val="21"/>
                <w:lang w:val="en-GB"/>
              </w:rPr>
              <w:t>ogelund (UNR)</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6A626168" w14:textId="42835F8C" w:rsidR="00AF6EDB" w:rsidRPr="00131E03" w:rsidRDefault="0047453C" w:rsidP="00131E03">
            <w:pPr>
              <w:jc w:val="left"/>
              <w:rPr>
                <w:color w:val="00376F" w:themeColor="accent1" w:themeTint="E6"/>
                <w:szCs w:val="21"/>
                <w:lang w:val="en-GB"/>
              </w:rPr>
            </w:pPr>
            <w:r>
              <w:rPr>
                <w:color w:val="00376F" w:themeColor="accent1" w:themeTint="E6"/>
                <w:szCs w:val="21"/>
                <w:lang w:val="en-GB"/>
              </w:rPr>
              <w:t>20</w:t>
            </w:r>
            <w:r w:rsidR="00182AD5">
              <w:rPr>
                <w:color w:val="00376F" w:themeColor="accent1" w:themeTint="E6"/>
                <w:szCs w:val="21"/>
                <w:lang w:val="en-GB"/>
              </w:rPr>
              <w:t>-1</w:t>
            </w:r>
            <w:r>
              <w:rPr>
                <w:color w:val="00376F" w:themeColor="accent1" w:themeTint="E6"/>
                <w:szCs w:val="21"/>
                <w:lang w:val="en-GB"/>
              </w:rPr>
              <w:t>0</w:t>
            </w:r>
            <w:r w:rsidR="00182AD5">
              <w:rPr>
                <w:color w:val="00376F" w:themeColor="accent1" w:themeTint="E6"/>
                <w:szCs w:val="21"/>
                <w:lang w:val="en-GB"/>
              </w:rPr>
              <w:t>-2021</w:t>
            </w:r>
          </w:p>
        </w:tc>
      </w:tr>
      <w:tr w:rsidR="00D34E10" w:rsidRPr="0045629F" w14:paraId="348AC941"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0A573435" w14:textId="09D24783" w:rsidR="00D34E10" w:rsidRPr="00131E03" w:rsidRDefault="00D34E10" w:rsidP="00131E03">
            <w:pPr>
              <w:pStyle w:val="Title"/>
              <w:jc w:val="left"/>
              <w:rPr>
                <w:color w:val="002244"/>
                <w:sz w:val="21"/>
                <w:szCs w:val="21"/>
              </w:rPr>
            </w:pPr>
            <w:r w:rsidRPr="00131E03">
              <w:rPr>
                <w:color w:val="002244"/>
                <w:sz w:val="21"/>
                <w:szCs w:val="21"/>
              </w:rPr>
              <w:t xml:space="preserve">Reviewed by </w:t>
            </w:r>
          </w:p>
        </w:tc>
        <w:tc>
          <w:tcPr>
            <w:tcW w:w="2835" w:type="pct"/>
            <w:tcBorders>
              <w:top w:val="none" w:sz="0" w:space="0" w:color="auto"/>
              <w:bottom w:val="none" w:sz="0" w:space="0" w:color="auto"/>
            </w:tcBorders>
          </w:tcPr>
          <w:p w14:paraId="4E7A9B89" w14:textId="1D84EE1F" w:rsidR="00D34E10" w:rsidRPr="00131E03" w:rsidRDefault="002F528B"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Roy Hermanns</w:t>
            </w:r>
            <w:r w:rsidR="00D34E10" w:rsidRPr="00131E03">
              <w:rPr>
                <w:color w:val="00376F" w:themeColor="accent1" w:themeTint="E6"/>
                <w:szCs w:val="21"/>
                <w:lang w:val="en-GB"/>
              </w:rPr>
              <w:t xml:space="preserve"> (</w:t>
            </w:r>
            <w:r>
              <w:rPr>
                <w:color w:val="00376F" w:themeColor="accent1" w:themeTint="E6"/>
                <w:szCs w:val="21"/>
                <w:lang w:val="en-GB"/>
              </w:rPr>
              <w:t>TU</w:t>
            </w:r>
            <w:r w:rsidR="008027AE">
              <w:rPr>
                <w:color w:val="00376F" w:themeColor="accent1" w:themeTint="E6"/>
                <w:szCs w:val="21"/>
                <w:lang w:val="en-GB"/>
              </w:rPr>
              <w:t>E</w:t>
            </w:r>
            <w:r w:rsidR="00D34E10" w:rsidRPr="00131E03">
              <w:rPr>
                <w:color w:val="00376F" w:themeColor="accent1" w:themeTint="E6"/>
                <w:szCs w:val="21"/>
                <w:lang w:val="en-GB"/>
              </w:rPr>
              <w:t>)</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50ADBF25" w14:textId="03D1206A" w:rsidR="00D34E10" w:rsidRPr="00131E03" w:rsidRDefault="00182AD5" w:rsidP="00131E03">
            <w:pPr>
              <w:spacing w:line="276" w:lineRule="auto"/>
              <w:jc w:val="left"/>
              <w:rPr>
                <w:color w:val="00376F" w:themeColor="accent1" w:themeTint="E6"/>
                <w:szCs w:val="21"/>
                <w:lang w:val="en-GB"/>
              </w:rPr>
            </w:pPr>
            <w:r>
              <w:rPr>
                <w:color w:val="00376F" w:themeColor="accent1" w:themeTint="E6"/>
                <w:szCs w:val="21"/>
                <w:lang w:val="en-GB"/>
              </w:rPr>
              <w:t>03-11-2021</w:t>
            </w:r>
          </w:p>
        </w:tc>
      </w:tr>
      <w:tr w:rsidR="00AF6EDB" w:rsidRPr="0045629F" w14:paraId="2BA7E0F7" w14:textId="77777777" w:rsidTr="0075226F">
        <w:trPr>
          <w:trHeight w:val="272"/>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3AD5BBFC" w14:textId="64BDE6B7" w:rsidR="00AF6EDB" w:rsidRPr="00131E03" w:rsidRDefault="00581868" w:rsidP="00131E03">
            <w:pPr>
              <w:pStyle w:val="Title"/>
              <w:jc w:val="left"/>
              <w:rPr>
                <w:color w:val="002244"/>
                <w:sz w:val="21"/>
                <w:szCs w:val="21"/>
              </w:rPr>
            </w:pPr>
            <w:r w:rsidRPr="00131E03">
              <w:rPr>
                <w:color w:val="002244"/>
                <w:sz w:val="21"/>
                <w:szCs w:val="21"/>
              </w:rPr>
              <w:t>Approved by</w:t>
            </w:r>
          </w:p>
        </w:tc>
        <w:tc>
          <w:tcPr>
            <w:tcW w:w="2835" w:type="pct"/>
          </w:tcPr>
          <w:p w14:paraId="03690F98" w14:textId="78B7CCF3" w:rsidR="00AF6EDB" w:rsidRPr="00131E03" w:rsidRDefault="0045629F"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sidRPr="00131E03">
              <w:rPr>
                <w:color w:val="00376F" w:themeColor="accent1" w:themeTint="E6"/>
                <w:szCs w:val="21"/>
                <w:lang w:val="en-GB"/>
              </w:rPr>
              <w:t>Project Coordinator</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7087FAA8" w14:textId="136BC894" w:rsidR="00592721" w:rsidRPr="00131E03" w:rsidRDefault="00073CF6" w:rsidP="00131E03">
            <w:pPr>
              <w:spacing w:line="276" w:lineRule="auto"/>
              <w:jc w:val="left"/>
              <w:rPr>
                <w:color w:val="00376F" w:themeColor="accent1" w:themeTint="E6"/>
                <w:szCs w:val="21"/>
                <w:lang w:val="en-GB"/>
              </w:rPr>
            </w:pPr>
            <w:r>
              <w:rPr>
                <w:color w:val="00376F" w:themeColor="accent1" w:themeTint="E6"/>
                <w:szCs w:val="21"/>
                <w:lang w:val="en-GB"/>
              </w:rPr>
              <w:t>03</w:t>
            </w:r>
            <w:r w:rsidR="002D6984">
              <w:rPr>
                <w:color w:val="00376F" w:themeColor="accent1" w:themeTint="E6"/>
                <w:szCs w:val="21"/>
                <w:lang w:val="en-GB"/>
              </w:rPr>
              <w:t>-1</w:t>
            </w:r>
            <w:r>
              <w:rPr>
                <w:color w:val="00376F" w:themeColor="accent1" w:themeTint="E6"/>
                <w:szCs w:val="21"/>
                <w:lang w:val="en-GB"/>
              </w:rPr>
              <w:t>1</w:t>
            </w:r>
            <w:r w:rsidR="002D6984">
              <w:rPr>
                <w:color w:val="00376F" w:themeColor="accent1" w:themeTint="E6"/>
                <w:szCs w:val="21"/>
                <w:lang w:val="en-GB"/>
              </w:rPr>
              <w:t>-2021</w:t>
            </w:r>
          </w:p>
        </w:tc>
      </w:tr>
      <w:tr w:rsidR="00AF6EDB" w:rsidRPr="0045629F" w14:paraId="00C3CAB5"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646EB99C" w14:textId="77777777" w:rsidR="00AF6EDB" w:rsidRPr="00131E03" w:rsidRDefault="00AF6EDB" w:rsidP="00131E03">
            <w:pPr>
              <w:pStyle w:val="Title"/>
              <w:jc w:val="left"/>
              <w:rPr>
                <w:color w:val="002244"/>
                <w:sz w:val="21"/>
                <w:szCs w:val="21"/>
              </w:rPr>
            </w:pPr>
            <w:r w:rsidRPr="00131E03">
              <w:rPr>
                <w:color w:val="002244"/>
                <w:sz w:val="21"/>
                <w:szCs w:val="21"/>
              </w:rPr>
              <w:t>Status</w:t>
            </w:r>
          </w:p>
        </w:tc>
        <w:tc>
          <w:tcPr>
            <w:tcW w:w="2835" w:type="pct"/>
            <w:tcBorders>
              <w:top w:val="none" w:sz="0" w:space="0" w:color="auto"/>
              <w:bottom w:val="none" w:sz="0" w:space="0" w:color="auto"/>
            </w:tcBorders>
          </w:tcPr>
          <w:p w14:paraId="06D37C8D" w14:textId="4B082AD1" w:rsidR="00AF6EDB" w:rsidRPr="00131E03" w:rsidRDefault="002D6984"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Final</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7A5DEFC1" w14:textId="3BBB39A0" w:rsidR="00AF6EDB" w:rsidRPr="00131E03" w:rsidRDefault="00AF6EDB" w:rsidP="00131E03">
            <w:pPr>
              <w:jc w:val="left"/>
              <w:rPr>
                <w:color w:val="00376F" w:themeColor="accent1" w:themeTint="E6"/>
                <w:szCs w:val="21"/>
                <w:lang w:val="en-GB"/>
              </w:rPr>
            </w:pPr>
          </w:p>
        </w:tc>
      </w:tr>
    </w:tbl>
    <w:p w14:paraId="72444483" w14:textId="77777777" w:rsidR="00AF6EDB" w:rsidRPr="0045629F" w:rsidRDefault="00AF6EDB" w:rsidP="00AF6EDB">
      <w:pPr>
        <w:rPr>
          <w:lang w:val="en-GB"/>
        </w:rPr>
      </w:pPr>
    </w:p>
    <w:p w14:paraId="40054FB9" w14:textId="77777777" w:rsidR="00AF6EDB" w:rsidRPr="0045629F" w:rsidRDefault="00AF6EDB" w:rsidP="0093640B">
      <w:pPr>
        <w:jc w:val="left"/>
        <w:rPr>
          <w:lang w:val="en-GB"/>
        </w:rPr>
      </w:pPr>
      <w:r w:rsidRPr="0045629F">
        <w:rPr>
          <w:b/>
          <w:color w:val="0E71B4"/>
          <w:sz w:val="24"/>
          <w:lang w:val="en-GB"/>
        </w:rPr>
        <w:br/>
      </w:r>
    </w:p>
    <w:p w14:paraId="26D0546F" w14:textId="77777777" w:rsidR="00AF6EDB" w:rsidRPr="0045629F" w:rsidRDefault="00AF6EDB" w:rsidP="00AF6EDB">
      <w:pPr>
        <w:rPr>
          <w:lang w:val="en-GB"/>
        </w:rPr>
      </w:pPr>
    </w:p>
    <w:p w14:paraId="2143F334" w14:textId="77777777" w:rsidR="00AF6EDB" w:rsidRPr="0045629F" w:rsidRDefault="00AF6EDB" w:rsidP="00AF6EDB">
      <w:pPr>
        <w:spacing w:after="160" w:line="259" w:lineRule="auto"/>
        <w:jc w:val="left"/>
        <w:rPr>
          <w:lang w:val="en-GB"/>
        </w:rPr>
      </w:pPr>
    </w:p>
    <w:p w14:paraId="46D5D34E" w14:textId="77777777" w:rsidR="00435C76" w:rsidRPr="0045629F" w:rsidRDefault="00435C76" w:rsidP="00AF6EDB">
      <w:pPr>
        <w:spacing w:after="160" w:line="259" w:lineRule="auto"/>
        <w:jc w:val="left"/>
        <w:rPr>
          <w:lang w:val="en-GB"/>
        </w:rPr>
      </w:pPr>
    </w:p>
    <w:p w14:paraId="7CADD957" w14:textId="0644CC29" w:rsidR="00AF6EDB" w:rsidRPr="0045629F" w:rsidRDefault="00AF6EDB" w:rsidP="00AF6EDB">
      <w:pPr>
        <w:spacing w:after="160" w:line="259" w:lineRule="auto"/>
        <w:jc w:val="left"/>
        <w:rPr>
          <w:lang w:val="en-GB"/>
        </w:rPr>
      </w:pPr>
    </w:p>
    <w:p w14:paraId="1BB98AA3" w14:textId="23544A6A" w:rsidR="00E40784" w:rsidRPr="0045629F" w:rsidRDefault="00E40784" w:rsidP="00AF6EDB">
      <w:pPr>
        <w:spacing w:after="160" w:line="259" w:lineRule="auto"/>
        <w:jc w:val="left"/>
        <w:rPr>
          <w:lang w:val="en-GB"/>
        </w:rPr>
      </w:pPr>
    </w:p>
    <w:p w14:paraId="73B780E6" w14:textId="77777777" w:rsidR="00B37A32" w:rsidRPr="0045629F" w:rsidRDefault="00B37A32" w:rsidP="00AF6EDB">
      <w:pPr>
        <w:spacing w:after="160" w:line="259" w:lineRule="auto"/>
        <w:jc w:val="left"/>
        <w:rPr>
          <w:lang w:val="en-GB"/>
        </w:rPr>
      </w:pPr>
    </w:p>
    <w:p w14:paraId="22370A74" w14:textId="77777777" w:rsidR="00D34E10" w:rsidRPr="0045629F" w:rsidRDefault="00D34E10" w:rsidP="00AF6EDB">
      <w:pPr>
        <w:spacing w:after="160" w:line="259" w:lineRule="auto"/>
        <w:jc w:val="left"/>
        <w:rPr>
          <w:lang w:val="en-GB"/>
        </w:rPr>
      </w:pPr>
    </w:p>
    <w:p w14:paraId="3477CC27" w14:textId="77777777" w:rsidR="00AF6EDB" w:rsidRPr="0045629F" w:rsidRDefault="00AF6EDB" w:rsidP="00AF6EDB">
      <w:pPr>
        <w:pStyle w:val="Subtitle"/>
        <w:rPr>
          <w:rStyle w:val="IntenseEmphasis"/>
          <w:color w:val="6C6F70"/>
        </w:rPr>
      </w:pPr>
      <w:r w:rsidRPr="0045629F">
        <w:rPr>
          <w:rStyle w:val="IntenseEmphasis"/>
          <w:color w:val="6C6F70"/>
        </w:rPr>
        <w:t xml:space="preserve">Disclaimer/ Acknowledgment </w:t>
      </w:r>
    </w:p>
    <w:p w14:paraId="72DFBD38" w14:textId="77777777" w:rsidR="00AF6EDB" w:rsidRPr="0045629F" w:rsidRDefault="00AF6EDB" w:rsidP="00AF6EDB">
      <w:pPr>
        <w:rPr>
          <w:lang w:val="en-GB"/>
        </w:rPr>
      </w:pPr>
    </w:p>
    <w:p w14:paraId="0C6B115F" w14:textId="4138DA6A" w:rsidR="00AF6EDB" w:rsidRPr="0045629F" w:rsidRDefault="00AF6EDB" w:rsidP="00AF6EDB">
      <w:pPr>
        <w:rPr>
          <w:rFonts w:eastAsia="Cambria" w:cs="Arial"/>
          <w:color w:val="636363"/>
          <w:sz w:val="18"/>
          <w:szCs w:val="10"/>
          <w:lang w:val="en-GB"/>
        </w:rPr>
      </w:pPr>
      <w:r w:rsidRPr="0045629F">
        <w:rPr>
          <w:noProof/>
          <w:sz w:val="20"/>
          <w:szCs w:val="10"/>
        </w:rPr>
        <w:drawing>
          <wp:anchor distT="0" distB="0" distL="114300" distR="114300" simplePos="0" relativeHeight="251661312" behindDoc="0" locked="0" layoutInCell="1" allowOverlap="1" wp14:anchorId="671762D6" wp14:editId="073787C2">
            <wp:simplePos x="0" y="0"/>
            <wp:positionH relativeFrom="column">
              <wp:posOffset>41910</wp:posOffset>
            </wp:positionH>
            <wp:positionV relativeFrom="paragraph">
              <wp:posOffset>21590</wp:posOffset>
            </wp:positionV>
            <wp:extent cx="722630" cy="485775"/>
            <wp:effectExtent l="0" t="0" r="1270" b="9525"/>
            <wp:wrapSquare wrapText="bothSides"/>
            <wp:docPr id="3"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29F">
        <w:rPr>
          <w:rFonts w:eastAsia="Cambria" w:cs="Arial"/>
          <w:color w:val="636363"/>
          <w:sz w:val="18"/>
          <w:szCs w:val="10"/>
          <w:lang w:val="en-GB"/>
        </w:rPr>
        <w:t xml:space="preserve">Copyright ©, all rights reserved. This document or any part thereof may not be made public or disclosed, </w:t>
      </w:r>
      <w:proofErr w:type="gramStart"/>
      <w:r w:rsidRPr="0045629F">
        <w:rPr>
          <w:rFonts w:eastAsia="Cambria" w:cs="Arial"/>
          <w:color w:val="636363"/>
          <w:sz w:val="18"/>
          <w:szCs w:val="10"/>
          <w:lang w:val="en-GB"/>
        </w:rPr>
        <w:t>copied</w:t>
      </w:r>
      <w:proofErr w:type="gramEnd"/>
      <w:r w:rsidRPr="0045629F">
        <w:rPr>
          <w:rFonts w:eastAsia="Cambria" w:cs="Arial"/>
          <w:color w:val="636363"/>
          <w:sz w:val="18"/>
          <w:szCs w:val="10"/>
          <w:lang w:val="en-GB"/>
        </w:rPr>
        <w:t xml:space="preserve"> or otherwise reproduced or used in any form or by any means, without prior permission in writing from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Neither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nor any of its members, their officers, </w:t>
      </w:r>
      <w:proofErr w:type="gramStart"/>
      <w:r w:rsidRPr="0045629F">
        <w:rPr>
          <w:rFonts w:eastAsia="Cambria" w:cs="Arial"/>
          <w:color w:val="636363"/>
          <w:sz w:val="18"/>
          <w:szCs w:val="10"/>
          <w:lang w:val="en-GB"/>
        </w:rPr>
        <w:t>employees</w:t>
      </w:r>
      <w:proofErr w:type="gramEnd"/>
      <w:r w:rsidRPr="0045629F">
        <w:rPr>
          <w:rFonts w:eastAsia="Cambria" w:cs="Arial"/>
          <w:color w:val="636363"/>
          <w:sz w:val="18"/>
          <w:szCs w:val="10"/>
          <w:lang w:val="en-GB"/>
        </w:rPr>
        <w:t xml:space="preserve"> or agents shall be liable or responsible, in negligence or otherwise, for any loss, damage or expense whatever sustained by any person as a result of the use, in any manner or form, of any knowledge, information or data contained in this document, or due to any inaccuracy, omission or error therein contained.</w:t>
      </w:r>
    </w:p>
    <w:p w14:paraId="02861F17" w14:textId="77777777" w:rsidR="00AF6EDB" w:rsidRPr="0045629F" w:rsidRDefault="00AF6EDB" w:rsidP="00AF6EDB">
      <w:pPr>
        <w:rPr>
          <w:rFonts w:eastAsia="Cambria" w:cs="Arial"/>
          <w:color w:val="636363"/>
          <w:sz w:val="18"/>
          <w:szCs w:val="10"/>
          <w:lang w:val="en-GB"/>
        </w:rPr>
      </w:pPr>
    </w:p>
    <w:p w14:paraId="6E6363F5" w14:textId="406502D8" w:rsidR="00AF6EDB" w:rsidRPr="0045629F" w:rsidRDefault="00AF6EDB" w:rsidP="00AF6EDB">
      <w:pPr>
        <w:rPr>
          <w:rFonts w:eastAsia="Cambria" w:cs="Arial"/>
          <w:color w:val="636363"/>
          <w:sz w:val="18"/>
          <w:szCs w:val="10"/>
          <w:lang w:val="en-GB"/>
        </w:rPr>
      </w:pPr>
      <w:r w:rsidRPr="0045629F">
        <w:rPr>
          <w:rFonts w:eastAsia="Cambria" w:cs="Arial"/>
          <w:color w:val="636363"/>
          <w:sz w:val="18"/>
          <w:szCs w:val="10"/>
          <w:lang w:val="en-GB"/>
        </w:rPr>
        <w:t xml:space="preserve">All Intellectual Property Rights, know-how and information provided by and/or arising from this document, such as designs, documentation, as well as preparatory material in that regard, is and shall remain the exclusive property of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and any of its members or its licensors. Nothing contained in this document shall give, or shall be construed as giving, any right, title, ownership, interest, license or any other right in or to any IP, know-how and information.</w:t>
      </w:r>
    </w:p>
    <w:p w14:paraId="75FEAD75" w14:textId="77777777" w:rsidR="00AF6EDB" w:rsidRPr="0045629F" w:rsidRDefault="00AF6EDB" w:rsidP="00AF6EDB">
      <w:pPr>
        <w:rPr>
          <w:rFonts w:eastAsia="Cambria" w:cs="Arial"/>
          <w:color w:val="636363"/>
          <w:sz w:val="18"/>
          <w:szCs w:val="10"/>
          <w:lang w:val="en-GB"/>
        </w:rPr>
      </w:pPr>
    </w:p>
    <w:p w14:paraId="46515139" w14:textId="71435DD1" w:rsidR="00AF6EDB" w:rsidRPr="0045629F" w:rsidRDefault="00AF6EDB" w:rsidP="00AF6EDB">
      <w:pPr>
        <w:rPr>
          <w:rFonts w:eastAsia="Cambria" w:cs="Arial"/>
          <w:color w:val="636363"/>
          <w:sz w:val="18"/>
          <w:szCs w:val="10"/>
          <w:lang w:val="en-GB"/>
        </w:rPr>
      </w:pPr>
      <w:r w:rsidRPr="0045629F">
        <w:rPr>
          <w:rFonts w:eastAsia="Cambria" w:cs="Arial"/>
          <w:color w:val="636363"/>
          <w:sz w:val="18"/>
          <w:szCs w:val="10"/>
          <w:lang w:val="en-GB"/>
        </w:rPr>
        <w:t xml:space="preserve">This project has received funding from the European Union’s Horizon 2020 research and innovation programme under grant agreement No </w:t>
      </w:r>
      <w:r w:rsidR="002821F1" w:rsidRPr="0045629F">
        <w:rPr>
          <w:rFonts w:eastAsia="Cambria" w:cs="Arial"/>
          <w:color w:val="636363"/>
          <w:sz w:val="18"/>
          <w:szCs w:val="10"/>
          <w:lang w:val="en-GB"/>
        </w:rPr>
        <w:t>883753</w:t>
      </w:r>
      <w:r w:rsidRPr="0045629F">
        <w:rPr>
          <w:rFonts w:eastAsia="Cambria" w:cs="Arial"/>
          <w:color w:val="636363"/>
          <w:sz w:val="18"/>
          <w:szCs w:val="10"/>
          <w:lang w:val="en-GB"/>
        </w:rPr>
        <w:t>. The information and views set out in this publication does not necessarily reflect the official opinion of the European Commission. Neither the European Union institutions and bodies nor any person acting on their behalf, may be held responsible for the use which may be made of the information contained therein.</w:t>
      </w:r>
    </w:p>
    <w:p w14:paraId="38A5CAF4" w14:textId="46E34131" w:rsidR="00032649" w:rsidRPr="0045629F" w:rsidRDefault="00032649">
      <w:pPr>
        <w:spacing w:after="160" w:line="259" w:lineRule="auto"/>
        <w:jc w:val="left"/>
        <w:rPr>
          <w:lang w:val="en-GB"/>
        </w:rPr>
      </w:pPr>
      <w:r w:rsidRPr="0045629F">
        <w:rPr>
          <w:lang w:val="en-GB"/>
        </w:rPr>
        <w:br w:type="page"/>
      </w:r>
    </w:p>
    <w:p w14:paraId="30FD7F3F" w14:textId="17F592C4" w:rsidR="00530FD4" w:rsidRPr="00C31319" w:rsidRDefault="00032649" w:rsidP="00AF6EDB">
      <w:pPr>
        <w:rPr>
          <w:b/>
          <w:bCs/>
          <w:color w:val="002244"/>
          <w:sz w:val="28"/>
          <w:szCs w:val="28"/>
          <w:lang w:val="en-GB"/>
        </w:rPr>
      </w:pPr>
      <w:r w:rsidRPr="00C31319">
        <w:rPr>
          <w:b/>
          <w:bCs/>
          <w:color w:val="002244"/>
          <w:sz w:val="28"/>
          <w:szCs w:val="28"/>
          <w:lang w:val="en-GB"/>
        </w:rPr>
        <w:lastRenderedPageBreak/>
        <w:t>Publishable summary</w:t>
      </w:r>
    </w:p>
    <w:p w14:paraId="3853A4E9" w14:textId="17931221" w:rsidR="00581868" w:rsidRDefault="00581868" w:rsidP="00581868">
      <w:pPr>
        <w:rPr>
          <w:color w:val="FF0000"/>
          <w:lang w:val="en-GB"/>
        </w:rPr>
      </w:pPr>
    </w:p>
    <w:p w14:paraId="2235FCAE" w14:textId="64674A1C" w:rsidR="000C6781" w:rsidRPr="00D84E01" w:rsidRDefault="000C6781" w:rsidP="00137154">
      <w:pPr>
        <w:spacing w:after="120" w:line="360" w:lineRule="auto"/>
        <w:ind w:firstLine="720"/>
        <w:rPr>
          <w:rFonts w:asciiTheme="majorHAnsi" w:hAnsiTheme="majorHAnsi" w:cstheme="majorHAnsi"/>
          <w:color w:val="auto"/>
          <w:sz w:val="22"/>
          <w:szCs w:val="22"/>
          <w:lang w:val="en-GB"/>
        </w:rPr>
      </w:pPr>
      <w:r w:rsidRPr="00D84E01">
        <w:rPr>
          <w:rFonts w:asciiTheme="majorHAnsi" w:hAnsiTheme="majorHAnsi" w:cstheme="majorHAnsi"/>
          <w:color w:val="auto"/>
          <w:sz w:val="22"/>
          <w:szCs w:val="22"/>
          <w:lang w:val="en-GB"/>
        </w:rPr>
        <w:t>IDEALFUEL, EU H2020 project, aim</w:t>
      </w:r>
      <w:r w:rsidR="000A128B" w:rsidRPr="00D84E01">
        <w:rPr>
          <w:rFonts w:asciiTheme="majorHAnsi" w:hAnsiTheme="majorHAnsi" w:cstheme="majorHAnsi"/>
          <w:color w:val="auto"/>
          <w:sz w:val="22"/>
          <w:szCs w:val="22"/>
          <w:lang w:val="en-GB"/>
        </w:rPr>
        <w:t>s</w:t>
      </w:r>
      <w:r w:rsidRPr="00D84E01">
        <w:rPr>
          <w:rFonts w:asciiTheme="majorHAnsi" w:hAnsiTheme="majorHAnsi" w:cstheme="majorHAnsi"/>
          <w:color w:val="auto"/>
          <w:sz w:val="22"/>
          <w:szCs w:val="22"/>
          <w:lang w:val="en-GB"/>
        </w:rPr>
        <w:t xml:space="preserve"> to develop a Biogenic Heavy Fuel Oil (Bio-</w:t>
      </w:r>
      <w:proofErr w:type="gramStart"/>
      <w:r w:rsidRPr="00D84E01">
        <w:rPr>
          <w:rFonts w:asciiTheme="majorHAnsi" w:hAnsiTheme="majorHAnsi" w:cstheme="majorHAnsi"/>
          <w:color w:val="auto"/>
          <w:sz w:val="22"/>
          <w:szCs w:val="22"/>
          <w:lang w:val="en-GB"/>
        </w:rPr>
        <w:t>HFO)  that</w:t>
      </w:r>
      <w:proofErr w:type="gramEnd"/>
      <w:r w:rsidRPr="00D84E01">
        <w:rPr>
          <w:rFonts w:asciiTheme="majorHAnsi" w:hAnsiTheme="majorHAnsi" w:cstheme="majorHAnsi"/>
          <w:color w:val="auto"/>
          <w:sz w:val="22"/>
          <w:szCs w:val="22"/>
          <w:lang w:val="en-GB"/>
        </w:rPr>
        <w:t xml:space="preserve"> can be used as drop-in within the existing maritime infrastructure. As technical developments progress, it is necessary to assess the market for successful penetration. In this report, an overview of the market </w:t>
      </w:r>
      <w:r w:rsidR="00FF14DE" w:rsidRPr="00D84E01">
        <w:rPr>
          <w:rFonts w:asciiTheme="majorHAnsi" w:hAnsiTheme="majorHAnsi" w:cstheme="majorHAnsi"/>
          <w:color w:val="auto"/>
          <w:sz w:val="22"/>
          <w:szCs w:val="22"/>
          <w:lang w:val="en-GB"/>
        </w:rPr>
        <w:t xml:space="preserve">is presented </w:t>
      </w:r>
      <w:r w:rsidR="003E7AAC">
        <w:rPr>
          <w:rFonts w:asciiTheme="majorHAnsi" w:hAnsiTheme="majorHAnsi" w:cstheme="majorHAnsi"/>
          <w:color w:val="auto"/>
          <w:sz w:val="22"/>
          <w:szCs w:val="22"/>
          <w:lang w:val="en-GB"/>
        </w:rPr>
        <w:t xml:space="preserve">together with </w:t>
      </w:r>
      <w:proofErr w:type="gramStart"/>
      <w:r w:rsidR="003E7AAC">
        <w:rPr>
          <w:rFonts w:asciiTheme="majorHAnsi" w:hAnsiTheme="majorHAnsi" w:cstheme="majorHAnsi"/>
          <w:color w:val="auto"/>
          <w:sz w:val="22"/>
          <w:szCs w:val="22"/>
          <w:lang w:val="en-GB"/>
        </w:rPr>
        <w:t xml:space="preserve">the </w:t>
      </w:r>
      <w:r w:rsidRPr="00D84E01">
        <w:rPr>
          <w:rFonts w:asciiTheme="majorHAnsi" w:hAnsiTheme="majorHAnsi" w:cstheme="majorHAnsi"/>
          <w:color w:val="auto"/>
          <w:sz w:val="22"/>
          <w:szCs w:val="22"/>
          <w:lang w:val="en-GB"/>
        </w:rPr>
        <w:t xml:space="preserve"> instruments</w:t>
      </w:r>
      <w:proofErr w:type="gramEnd"/>
      <w:r w:rsidRPr="00D84E01">
        <w:rPr>
          <w:rFonts w:asciiTheme="majorHAnsi" w:hAnsiTheme="majorHAnsi" w:cstheme="majorHAnsi"/>
          <w:color w:val="auto"/>
          <w:sz w:val="22"/>
          <w:szCs w:val="22"/>
          <w:lang w:val="en-GB"/>
        </w:rPr>
        <w:t xml:space="preserve"> that can affect the market </w:t>
      </w:r>
      <w:r w:rsidR="003E7AAC">
        <w:rPr>
          <w:rFonts w:asciiTheme="majorHAnsi" w:hAnsiTheme="majorHAnsi" w:cstheme="majorHAnsi"/>
          <w:color w:val="auto"/>
          <w:sz w:val="22"/>
          <w:szCs w:val="22"/>
          <w:lang w:val="en-GB"/>
        </w:rPr>
        <w:t>up-take</w:t>
      </w:r>
      <w:r w:rsidR="003E7AAC" w:rsidRPr="00D84E01">
        <w:rPr>
          <w:rFonts w:asciiTheme="majorHAnsi" w:hAnsiTheme="majorHAnsi" w:cstheme="majorHAnsi"/>
          <w:color w:val="auto"/>
          <w:sz w:val="22"/>
          <w:szCs w:val="22"/>
          <w:lang w:val="en-GB"/>
        </w:rPr>
        <w:t xml:space="preserve"> </w:t>
      </w:r>
      <w:r w:rsidRPr="00D84E01">
        <w:rPr>
          <w:rFonts w:asciiTheme="majorHAnsi" w:hAnsiTheme="majorHAnsi" w:cstheme="majorHAnsi"/>
          <w:color w:val="auto"/>
          <w:sz w:val="22"/>
          <w:szCs w:val="22"/>
          <w:lang w:val="en-GB"/>
        </w:rPr>
        <w:t xml:space="preserve">of the Bio-HFO. </w:t>
      </w:r>
    </w:p>
    <w:p w14:paraId="0C2B74B5" w14:textId="5A4897F2" w:rsidR="000C6781" w:rsidRPr="00987396" w:rsidRDefault="000C6781" w:rsidP="00137154">
      <w:pPr>
        <w:spacing w:after="120" w:line="360" w:lineRule="auto"/>
        <w:ind w:firstLine="720"/>
        <w:rPr>
          <w:rFonts w:asciiTheme="majorHAnsi" w:hAnsiTheme="majorHAnsi" w:cstheme="majorHAnsi"/>
          <w:color w:val="auto"/>
          <w:sz w:val="22"/>
          <w:szCs w:val="22"/>
        </w:rPr>
      </w:pPr>
      <w:proofErr w:type="gramStart"/>
      <w:r w:rsidRPr="00AA110C">
        <w:rPr>
          <w:rFonts w:asciiTheme="majorHAnsi" w:hAnsiTheme="majorHAnsi" w:cstheme="majorHAnsi"/>
          <w:color w:val="auto"/>
          <w:sz w:val="22"/>
          <w:szCs w:val="22"/>
          <w:lang w:val="en-GB"/>
        </w:rPr>
        <w:t>This reports</w:t>
      </w:r>
      <w:proofErr w:type="gramEnd"/>
      <w:r w:rsidRPr="00AA110C">
        <w:rPr>
          <w:rFonts w:asciiTheme="majorHAnsi" w:hAnsiTheme="majorHAnsi" w:cstheme="majorHAnsi"/>
          <w:color w:val="auto"/>
          <w:sz w:val="22"/>
          <w:szCs w:val="22"/>
          <w:lang w:val="en-GB"/>
        </w:rPr>
        <w:t xml:space="preserve"> assesses the following aspects, with </w:t>
      </w:r>
      <w:r w:rsidR="00CF7B93" w:rsidRPr="00AA110C">
        <w:rPr>
          <w:rFonts w:asciiTheme="majorHAnsi" w:hAnsiTheme="majorHAnsi" w:cstheme="majorHAnsi"/>
          <w:color w:val="auto"/>
          <w:sz w:val="22"/>
          <w:szCs w:val="22"/>
          <w:lang w:val="en-GB"/>
        </w:rPr>
        <w:t xml:space="preserve">the </w:t>
      </w:r>
      <w:r w:rsidRPr="00AA110C">
        <w:rPr>
          <w:rFonts w:asciiTheme="majorHAnsi" w:hAnsiTheme="majorHAnsi" w:cstheme="majorHAnsi"/>
          <w:color w:val="auto"/>
          <w:sz w:val="22"/>
          <w:szCs w:val="22"/>
          <w:lang w:val="en-GB"/>
        </w:rPr>
        <w:t>perspective</w:t>
      </w:r>
      <w:r w:rsidR="00CF7B93" w:rsidRPr="00AA110C">
        <w:rPr>
          <w:rFonts w:asciiTheme="majorHAnsi" w:hAnsiTheme="majorHAnsi" w:cstheme="majorHAnsi"/>
          <w:color w:val="auto"/>
          <w:sz w:val="22"/>
          <w:szCs w:val="22"/>
          <w:lang w:val="en-GB"/>
        </w:rPr>
        <w:t xml:space="preserve"> of the European Economic Area</w:t>
      </w:r>
      <w:r w:rsidRPr="00AA110C">
        <w:rPr>
          <w:rFonts w:asciiTheme="majorHAnsi" w:hAnsiTheme="majorHAnsi" w:cstheme="majorHAnsi"/>
          <w:color w:val="auto"/>
          <w:sz w:val="22"/>
          <w:szCs w:val="22"/>
          <w:lang w:val="en-GB"/>
        </w:rPr>
        <w:t xml:space="preserve">, namely: </w:t>
      </w:r>
      <w:r w:rsidRPr="00D27197">
        <w:rPr>
          <w:rFonts w:asciiTheme="majorHAnsi" w:hAnsiTheme="majorHAnsi" w:cstheme="majorHAnsi"/>
          <w:color w:val="auto"/>
          <w:sz w:val="22"/>
          <w:szCs w:val="22"/>
          <w:lang w:val="en-GB"/>
        </w:rPr>
        <w:t>legislation, mandates and incentives; emission performance; fuel compatibility and blend-ability; and production cost.</w:t>
      </w:r>
      <w:r w:rsidRPr="00D27197">
        <w:rPr>
          <w:rFonts w:asciiTheme="majorHAnsi" w:hAnsiTheme="majorHAnsi" w:cstheme="majorHAnsi"/>
          <w:color w:val="auto"/>
          <w:sz w:val="22"/>
          <w:szCs w:val="22"/>
        </w:rPr>
        <w:t xml:space="preserve"> Cost is currently </w:t>
      </w:r>
      <w:r w:rsidR="003E7AAC" w:rsidRPr="00D27197">
        <w:rPr>
          <w:rFonts w:asciiTheme="majorHAnsi" w:hAnsiTheme="majorHAnsi" w:cstheme="majorHAnsi"/>
          <w:color w:val="auto"/>
          <w:sz w:val="22"/>
          <w:szCs w:val="22"/>
        </w:rPr>
        <w:t>a determining</w:t>
      </w:r>
      <w:r w:rsidRPr="00D27197">
        <w:rPr>
          <w:rFonts w:asciiTheme="majorHAnsi" w:hAnsiTheme="majorHAnsi" w:cstheme="majorHAnsi"/>
          <w:color w:val="auto"/>
          <w:sz w:val="22"/>
          <w:szCs w:val="22"/>
        </w:rPr>
        <w:t xml:space="preserve"> market driver. Nevertheless, it is important to consider how the legislative framework</w:t>
      </w:r>
      <w:r w:rsidR="002B5A63" w:rsidRPr="00D27197">
        <w:rPr>
          <w:rFonts w:asciiTheme="majorHAnsi" w:hAnsiTheme="majorHAnsi" w:cstheme="majorHAnsi"/>
          <w:color w:val="auto"/>
          <w:sz w:val="22"/>
          <w:szCs w:val="22"/>
        </w:rPr>
        <w:t>s</w:t>
      </w:r>
      <w:r w:rsidRPr="00D27197">
        <w:rPr>
          <w:rFonts w:asciiTheme="majorHAnsi" w:hAnsiTheme="majorHAnsi" w:cstheme="majorHAnsi"/>
          <w:color w:val="auto"/>
          <w:sz w:val="22"/>
          <w:szCs w:val="22"/>
        </w:rPr>
        <w:t xml:space="preserve"> that </w:t>
      </w:r>
      <w:r w:rsidR="002B5A63" w:rsidRPr="00D27197">
        <w:rPr>
          <w:rFonts w:asciiTheme="majorHAnsi" w:hAnsiTheme="majorHAnsi" w:cstheme="majorHAnsi"/>
          <w:color w:val="auto"/>
          <w:sz w:val="22"/>
          <w:szCs w:val="22"/>
        </w:rPr>
        <w:t>are</w:t>
      </w:r>
      <w:r w:rsidRPr="00D27197">
        <w:rPr>
          <w:rFonts w:asciiTheme="majorHAnsi" w:hAnsiTheme="majorHAnsi" w:cstheme="majorHAnsi"/>
          <w:color w:val="auto"/>
          <w:sz w:val="22"/>
          <w:szCs w:val="22"/>
        </w:rPr>
        <w:t xml:space="preserve"> currently in development will affect </w:t>
      </w:r>
      <w:r w:rsidR="003E7AAC" w:rsidRPr="00D27197">
        <w:rPr>
          <w:rFonts w:asciiTheme="majorHAnsi" w:hAnsiTheme="majorHAnsi" w:cstheme="majorHAnsi"/>
          <w:color w:val="auto"/>
          <w:sz w:val="22"/>
          <w:szCs w:val="22"/>
        </w:rPr>
        <w:t>it</w:t>
      </w:r>
      <w:r w:rsidRPr="00D27197">
        <w:rPr>
          <w:rFonts w:asciiTheme="majorHAnsi" w:hAnsiTheme="majorHAnsi" w:cstheme="majorHAnsi"/>
          <w:color w:val="auto"/>
          <w:sz w:val="22"/>
          <w:szCs w:val="22"/>
        </w:rPr>
        <w:t xml:space="preserve">. </w:t>
      </w:r>
      <w:r w:rsidR="003E7AAC" w:rsidRPr="00D27197">
        <w:rPr>
          <w:rFonts w:asciiTheme="majorHAnsi" w:hAnsiTheme="majorHAnsi" w:cstheme="majorHAnsi"/>
          <w:color w:val="auto"/>
          <w:sz w:val="22"/>
          <w:szCs w:val="22"/>
        </w:rPr>
        <w:t xml:space="preserve">Moreover, </w:t>
      </w:r>
      <w:r w:rsidRPr="00D27197">
        <w:rPr>
          <w:rFonts w:asciiTheme="majorHAnsi" w:hAnsiTheme="majorHAnsi" w:cstheme="majorHAnsi"/>
          <w:color w:val="auto"/>
          <w:sz w:val="22"/>
          <w:szCs w:val="22"/>
        </w:rPr>
        <w:t xml:space="preserve">the </w:t>
      </w:r>
      <w:r w:rsidR="00EC09D6" w:rsidRPr="00D27197">
        <w:rPr>
          <w:rFonts w:asciiTheme="majorHAnsi" w:hAnsiTheme="majorHAnsi" w:cstheme="majorHAnsi"/>
          <w:color w:val="auto"/>
          <w:sz w:val="22"/>
          <w:szCs w:val="22"/>
        </w:rPr>
        <w:t xml:space="preserve">potential </w:t>
      </w:r>
      <w:r w:rsidR="003E7AAC" w:rsidRPr="00D27197">
        <w:rPr>
          <w:rFonts w:asciiTheme="majorHAnsi" w:hAnsiTheme="majorHAnsi" w:cstheme="majorHAnsi"/>
          <w:color w:val="auto"/>
          <w:sz w:val="22"/>
          <w:szCs w:val="22"/>
        </w:rPr>
        <w:t xml:space="preserve">reduction in emissions </w:t>
      </w:r>
      <w:r w:rsidRPr="00D27197">
        <w:rPr>
          <w:rFonts w:asciiTheme="majorHAnsi" w:hAnsiTheme="majorHAnsi" w:cstheme="majorHAnsi"/>
          <w:color w:val="auto"/>
          <w:sz w:val="22"/>
          <w:szCs w:val="22"/>
          <w:lang w:val="en-GB"/>
        </w:rPr>
        <w:t xml:space="preserve">will be translated into marketing advantages, whether by branding or premium benefit. </w:t>
      </w:r>
      <w:proofErr w:type="gramStart"/>
      <w:r w:rsidRPr="00D27197">
        <w:rPr>
          <w:rFonts w:asciiTheme="majorHAnsi" w:hAnsiTheme="majorHAnsi" w:cstheme="majorHAnsi"/>
          <w:color w:val="auto"/>
          <w:sz w:val="22"/>
          <w:szCs w:val="22"/>
        </w:rPr>
        <w:t>Finally</w:t>
      </w:r>
      <w:proofErr w:type="gramEnd"/>
      <w:r w:rsidRPr="00D27197">
        <w:rPr>
          <w:rFonts w:asciiTheme="majorHAnsi" w:hAnsiTheme="majorHAnsi" w:cstheme="majorHAnsi"/>
          <w:color w:val="auto"/>
          <w:sz w:val="22"/>
          <w:szCs w:val="22"/>
        </w:rPr>
        <w:t xml:space="preserve"> recommendations are given </w:t>
      </w:r>
      <w:r w:rsidR="00CF7B93" w:rsidRPr="00D27197">
        <w:rPr>
          <w:rFonts w:asciiTheme="majorHAnsi" w:hAnsiTheme="majorHAnsi" w:cstheme="majorHAnsi"/>
          <w:color w:val="auto"/>
          <w:sz w:val="22"/>
          <w:szCs w:val="22"/>
        </w:rPr>
        <w:t>and</w:t>
      </w:r>
      <w:r w:rsidRPr="00D27197">
        <w:rPr>
          <w:rFonts w:asciiTheme="majorHAnsi" w:hAnsiTheme="majorHAnsi" w:cstheme="majorHAnsi"/>
          <w:color w:val="auto"/>
          <w:sz w:val="22"/>
          <w:szCs w:val="22"/>
        </w:rPr>
        <w:t xml:space="preserve"> potential risks are identified</w:t>
      </w:r>
      <w:r w:rsidRPr="00987396">
        <w:rPr>
          <w:rFonts w:asciiTheme="majorHAnsi" w:hAnsiTheme="majorHAnsi" w:cstheme="majorHAnsi"/>
          <w:color w:val="auto"/>
          <w:sz w:val="22"/>
          <w:szCs w:val="22"/>
        </w:rPr>
        <w:t xml:space="preserve">. </w:t>
      </w:r>
    </w:p>
    <w:p w14:paraId="47FE4866" w14:textId="7B7E644F" w:rsidR="00B70F9E" w:rsidRDefault="00017D36" w:rsidP="00B70F9E">
      <w:pPr>
        <w:pStyle w:val="NormalWeb"/>
        <w:spacing w:before="0" w:beforeAutospacing="0" w:after="0" w:afterAutospacing="0"/>
        <w:rPr>
          <w:rFonts w:ascii="Calibri" w:hAnsi="Calibri" w:cs="Calibri"/>
          <w:sz w:val="28"/>
          <w:szCs w:val="28"/>
          <w:lang w:val="en-GB"/>
        </w:rPr>
      </w:pPr>
      <w:r w:rsidRPr="0045629F">
        <w:rPr>
          <w:color w:val="FF0000"/>
          <w:lang w:val="en-GB"/>
        </w:rPr>
        <w:br w:type="page"/>
      </w:r>
    </w:p>
    <w:sdt>
      <w:sdtPr>
        <w:rPr>
          <w:lang w:val="en-GB"/>
        </w:rPr>
        <w:id w:val="-214440870"/>
        <w:docPartObj>
          <w:docPartGallery w:val="Table of Contents"/>
          <w:docPartUnique/>
        </w:docPartObj>
      </w:sdtPr>
      <w:sdtEndPr>
        <w:rPr>
          <w:bCs/>
          <w:noProof/>
        </w:rPr>
      </w:sdtEndPr>
      <w:sdtContent>
        <w:p w14:paraId="2EAFC06D" w14:textId="77777777" w:rsidR="00AF6EDB" w:rsidRPr="00C31319" w:rsidRDefault="00AF6EDB" w:rsidP="00581868">
          <w:pPr>
            <w:rPr>
              <w:rStyle w:val="Heading1Char"/>
              <w:bCs/>
              <w:lang w:val="en-GB"/>
            </w:rPr>
          </w:pPr>
          <w:r w:rsidRPr="00C31319">
            <w:rPr>
              <w:rStyle w:val="Heading1Char"/>
              <w:bCs/>
              <w:lang w:val="en-GB"/>
            </w:rPr>
            <w:t>Contents</w:t>
          </w:r>
        </w:p>
        <w:p w14:paraId="5FB43A10" w14:textId="56848239" w:rsidR="009C66F7" w:rsidRDefault="00AF6EDB" w:rsidP="009C66F7">
          <w:pPr>
            <w:pStyle w:val="TOC1"/>
            <w:tabs>
              <w:tab w:val="left" w:pos="420"/>
              <w:tab w:val="right" w:leader="dot" w:pos="9628"/>
            </w:tabs>
            <w:spacing w:after="0"/>
            <w:rPr>
              <w:rFonts w:asciiTheme="minorHAnsi" w:eastAsiaTheme="minorEastAsia" w:hAnsiTheme="minorHAnsi" w:cstheme="minorBidi"/>
              <w:noProof/>
              <w:color w:val="auto"/>
              <w:sz w:val="22"/>
              <w:szCs w:val="22"/>
              <w:lang w:val="en-GB" w:eastAsia="en-GB"/>
            </w:rPr>
          </w:pPr>
          <w:r w:rsidRPr="0045629F">
            <w:rPr>
              <w:lang w:val="en-GB"/>
            </w:rPr>
            <w:fldChar w:fldCharType="begin"/>
          </w:r>
          <w:r w:rsidRPr="0045629F">
            <w:rPr>
              <w:lang w:val="en-GB"/>
            </w:rPr>
            <w:instrText xml:space="preserve"> TOC \o "1-3" \h \z \u </w:instrText>
          </w:r>
          <w:r w:rsidRPr="0045629F">
            <w:rPr>
              <w:lang w:val="en-GB"/>
            </w:rPr>
            <w:fldChar w:fldCharType="separate"/>
          </w:r>
          <w:hyperlink w:anchor="_Toc85627853" w:history="1">
            <w:r w:rsidR="009C66F7" w:rsidRPr="00E13A48">
              <w:rPr>
                <w:rStyle w:val="Hyperlink"/>
                <w:noProof/>
              </w:rPr>
              <w:t>1</w:t>
            </w:r>
            <w:r w:rsidR="009C66F7">
              <w:rPr>
                <w:rFonts w:asciiTheme="minorHAnsi" w:eastAsiaTheme="minorEastAsia" w:hAnsiTheme="minorHAnsi" w:cstheme="minorBidi"/>
                <w:noProof/>
                <w:color w:val="auto"/>
                <w:sz w:val="22"/>
                <w:szCs w:val="22"/>
                <w:lang w:val="en-GB" w:eastAsia="en-GB"/>
              </w:rPr>
              <w:tab/>
            </w:r>
            <w:r w:rsidR="009C66F7" w:rsidRPr="00E13A48">
              <w:rPr>
                <w:rStyle w:val="Hyperlink"/>
                <w:noProof/>
              </w:rPr>
              <w:t>Introduction</w:t>
            </w:r>
            <w:r w:rsidR="009C66F7">
              <w:rPr>
                <w:noProof/>
                <w:webHidden/>
              </w:rPr>
              <w:tab/>
            </w:r>
            <w:r w:rsidR="009C66F7">
              <w:rPr>
                <w:noProof/>
                <w:webHidden/>
              </w:rPr>
              <w:fldChar w:fldCharType="begin"/>
            </w:r>
            <w:r w:rsidR="009C66F7">
              <w:rPr>
                <w:noProof/>
                <w:webHidden/>
              </w:rPr>
              <w:instrText xml:space="preserve"> PAGEREF _Toc85627853 \h </w:instrText>
            </w:r>
            <w:r w:rsidR="009C66F7">
              <w:rPr>
                <w:noProof/>
                <w:webHidden/>
              </w:rPr>
            </w:r>
            <w:r w:rsidR="009C66F7">
              <w:rPr>
                <w:noProof/>
                <w:webHidden/>
              </w:rPr>
              <w:fldChar w:fldCharType="separate"/>
            </w:r>
            <w:r w:rsidR="008027AE">
              <w:rPr>
                <w:noProof/>
                <w:webHidden/>
              </w:rPr>
              <w:t>6</w:t>
            </w:r>
            <w:r w:rsidR="009C66F7">
              <w:rPr>
                <w:noProof/>
                <w:webHidden/>
              </w:rPr>
              <w:fldChar w:fldCharType="end"/>
            </w:r>
          </w:hyperlink>
        </w:p>
        <w:p w14:paraId="20245806" w14:textId="2784DD10" w:rsidR="009C66F7" w:rsidRDefault="008027AE" w:rsidP="009C66F7">
          <w:pPr>
            <w:pStyle w:val="TOC2"/>
            <w:tabs>
              <w:tab w:val="left" w:pos="880"/>
              <w:tab w:val="right" w:leader="dot" w:pos="9628"/>
            </w:tabs>
            <w:spacing w:after="0"/>
            <w:rPr>
              <w:rFonts w:asciiTheme="minorHAnsi" w:eastAsiaTheme="minorEastAsia" w:hAnsiTheme="minorHAnsi" w:cstheme="minorBidi"/>
              <w:noProof/>
              <w:color w:val="auto"/>
              <w:sz w:val="22"/>
              <w:szCs w:val="22"/>
              <w:lang w:val="en-GB" w:eastAsia="en-GB"/>
            </w:rPr>
          </w:pPr>
          <w:hyperlink w:anchor="_Toc85627854" w:history="1">
            <w:r w:rsidR="009C66F7" w:rsidRPr="00E13A48">
              <w:rPr>
                <w:rStyle w:val="Hyperlink"/>
                <w:noProof/>
              </w:rPr>
              <w:t>1.1</w:t>
            </w:r>
            <w:r w:rsidR="009C66F7">
              <w:rPr>
                <w:rFonts w:asciiTheme="minorHAnsi" w:eastAsiaTheme="minorEastAsia" w:hAnsiTheme="minorHAnsi" w:cstheme="minorBidi"/>
                <w:noProof/>
                <w:color w:val="auto"/>
                <w:sz w:val="22"/>
                <w:szCs w:val="22"/>
                <w:lang w:val="en-GB" w:eastAsia="en-GB"/>
              </w:rPr>
              <w:tab/>
            </w:r>
            <w:r w:rsidR="009C66F7" w:rsidRPr="00E13A48">
              <w:rPr>
                <w:rStyle w:val="Hyperlink"/>
                <w:noProof/>
              </w:rPr>
              <w:t>Background IDEALFUEL Bio-HFO</w:t>
            </w:r>
            <w:r w:rsidR="009C66F7">
              <w:rPr>
                <w:noProof/>
                <w:webHidden/>
              </w:rPr>
              <w:tab/>
            </w:r>
            <w:r w:rsidR="009C66F7">
              <w:rPr>
                <w:noProof/>
                <w:webHidden/>
              </w:rPr>
              <w:fldChar w:fldCharType="begin"/>
            </w:r>
            <w:r w:rsidR="009C66F7">
              <w:rPr>
                <w:noProof/>
                <w:webHidden/>
              </w:rPr>
              <w:instrText xml:space="preserve"> PAGEREF _Toc85627854 \h </w:instrText>
            </w:r>
            <w:r w:rsidR="009C66F7">
              <w:rPr>
                <w:noProof/>
                <w:webHidden/>
              </w:rPr>
            </w:r>
            <w:r w:rsidR="009C66F7">
              <w:rPr>
                <w:noProof/>
                <w:webHidden/>
              </w:rPr>
              <w:fldChar w:fldCharType="separate"/>
            </w:r>
            <w:r>
              <w:rPr>
                <w:noProof/>
                <w:webHidden/>
              </w:rPr>
              <w:t>6</w:t>
            </w:r>
            <w:r w:rsidR="009C66F7">
              <w:rPr>
                <w:noProof/>
                <w:webHidden/>
              </w:rPr>
              <w:fldChar w:fldCharType="end"/>
            </w:r>
          </w:hyperlink>
        </w:p>
        <w:p w14:paraId="2D519A59" w14:textId="330311AC" w:rsidR="009C66F7" w:rsidRDefault="008027AE" w:rsidP="009C66F7">
          <w:pPr>
            <w:pStyle w:val="TOC2"/>
            <w:tabs>
              <w:tab w:val="left" w:pos="880"/>
              <w:tab w:val="right" w:leader="dot" w:pos="9628"/>
            </w:tabs>
            <w:spacing w:after="0"/>
            <w:rPr>
              <w:rFonts w:asciiTheme="minorHAnsi" w:eastAsiaTheme="minorEastAsia" w:hAnsiTheme="minorHAnsi" w:cstheme="minorBidi"/>
              <w:noProof/>
              <w:color w:val="auto"/>
              <w:sz w:val="22"/>
              <w:szCs w:val="22"/>
              <w:lang w:val="en-GB" w:eastAsia="en-GB"/>
            </w:rPr>
          </w:pPr>
          <w:hyperlink w:anchor="_Toc85627855" w:history="1">
            <w:r w:rsidR="009C66F7" w:rsidRPr="00E13A48">
              <w:rPr>
                <w:rStyle w:val="Hyperlink"/>
                <w:noProof/>
              </w:rPr>
              <w:t>1.2</w:t>
            </w:r>
            <w:r w:rsidR="009C66F7">
              <w:rPr>
                <w:rFonts w:asciiTheme="minorHAnsi" w:eastAsiaTheme="minorEastAsia" w:hAnsiTheme="minorHAnsi" w:cstheme="minorBidi"/>
                <w:noProof/>
                <w:color w:val="auto"/>
                <w:sz w:val="22"/>
                <w:szCs w:val="22"/>
                <w:lang w:val="en-GB" w:eastAsia="en-GB"/>
              </w:rPr>
              <w:tab/>
            </w:r>
            <w:r w:rsidR="009C66F7" w:rsidRPr="00E13A48">
              <w:rPr>
                <w:rStyle w:val="Hyperlink"/>
                <w:noProof/>
              </w:rPr>
              <w:t>Objective</w:t>
            </w:r>
            <w:r w:rsidR="009C66F7">
              <w:rPr>
                <w:noProof/>
                <w:webHidden/>
              </w:rPr>
              <w:tab/>
            </w:r>
            <w:r w:rsidR="009C66F7">
              <w:rPr>
                <w:noProof/>
                <w:webHidden/>
              </w:rPr>
              <w:fldChar w:fldCharType="begin"/>
            </w:r>
            <w:r w:rsidR="009C66F7">
              <w:rPr>
                <w:noProof/>
                <w:webHidden/>
              </w:rPr>
              <w:instrText xml:space="preserve"> PAGEREF _Toc85627855 \h </w:instrText>
            </w:r>
            <w:r w:rsidR="009C66F7">
              <w:rPr>
                <w:noProof/>
                <w:webHidden/>
              </w:rPr>
            </w:r>
            <w:r w:rsidR="009C66F7">
              <w:rPr>
                <w:noProof/>
                <w:webHidden/>
              </w:rPr>
              <w:fldChar w:fldCharType="separate"/>
            </w:r>
            <w:r>
              <w:rPr>
                <w:noProof/>
                <w:webHidden/>
              </w:rPr>
              <w:t>7</w:t>
            </w:r>
            <w:r w:rsidR="009C66F7">
              <w:rPr>
                <w:noProof/>
                <w:webHidden/>
              </w:rPr>
              <w:fldChar w:fldCharType="end"/>
            </w:r>
          </w:hyperlink>
        </w:p>
        <w:p w14:paraId="2E9B1CB4" w14:textId="304A63B1" w:rsidR="009C66F7" w:rsidRDefault="008027AE" w:rsidP="009C66F7">
          <w:pPr>
            <w:pStyle w:val="TOC2"/>
            <w:tabs>
              <w:tab w:val="left" w:pos="880"/>
              <w:tab w:val="right" w:leader="dot" w:pos="9628"/>
            </w:tabs>
            <w:spacing w:after="0"/>
            <w:rPr>
              <w:rFonts w:asciiTheme="minorHAnsi" w:eastAsiaTheme="minorEastAsia" w:hAnsiTheme="minorHAnsi" w:cstheme="minorBidi"/>
              <w:noProof/>
              <w:color w:val="auto"/>
              <w:sz w:val="22"/>
              <w:szCs w:val="22"/>
              <w:lang w:val="en-GB" w:eastAsia="en-GB"/>
            </w:rPr>
          </w:pPr>
          <w:hyperlink w:anchor="_Toc85627856" w:history="1">
            <w:r w:rsidR="009C66F7" w:rsidRPr="00E13A48">
              <w:rPr>
                <w:rStyle w:val="Hyperlink"/>
                <w:noProof/>
              </w:rPr>
              <w:t>1.3</w:t>
            </w:r>
            <w:r w:rsidR="009C66F7">
              <w:rPr>
                <w:rFonts w:asciiTheme="minorHAnsi" w:eastAsiaTheme="minorEastAsia" w:hAnsiTheme="minorHAnsi" w:cstheme="minorBidi"/>
                <w:noProof/>
                <w:color w:val="auto"/>
                <w:sz w:val="22"/>
                <w:szCs w:val="22"/>
                <w:lang w:val="en-GB" w:eastAsia="en-GB"/>
              </w:rPr>
              <w:tab/>
            </w:r>
            <w:r w:rsidR="009C66F7" w:rsidRPr="00E13A48">
              <w:rPr>
                <w:rStyle w:val="Hyperlink"/>
                <w:noProof/>
              </w:rPr>
              <w:t>Outline of Report</w:t>
            </w:r>
            <w:r w:rsidR="009C66F7">
              <w:rPr>
                <w:noProof/>
                <w:webHidden/>
              </w:rPr>
              <w:tab/>
            </w:r>
            <w:r w:rsidR="009C66F7">
              <w:rPr>
                <w:noProof/>
                <w:webHidden/>
              </w:rPr>
              <w:fldChar w:fldCharType="begin"/>
            </w:r>
            <w:r w:rsidR="009C66F7">
              <w:rPr>
                <w:noProof/>
                <w:webHidden/>
              </w:rPr>
              <w:instrText xml:space="preserve"> PAGEREF _Toc85627856 \h </w:instrText>
            </w:r>
            <w:r w:rsidR="009C66F7">
              <w:rPr>
                <w:noProof/>
                <w:webHidden/>
              </w:rPr>
            </w:r>
            <w:r w:rsidR="009C66F7">
              <w:rPr>
                <w:noProof/>
                <w:webHidden/>
              </w:rPr>
              <w:fldChar w:fldCharType="separate"/>
            </w:r>
            <w:r>
              <w:rPr>
                <w:noProof/>
                <w:webHidden/>
              </w:rPr>
              <w:t>7</w:t>
            </w:r>
            <w:r w:rsidR="009C66F7">
              <w:rPr>
                <w:noProof/>
                <w:webHidden/>
              </w:rPr>
              <w:fldChar w:fldCharType="end"/>
            </w:r>
          </w:hyperlink>
        </w:p>
        <w:p w14:paraId="0FA8ED1A" w14:textId="02BD1627" w:rsidR="009C66F7" w:rsidRDefault="008027AE" w:rsidP="009C66F7">
          <w:pPr>
            <w:pStyle w:val="TOC1"/>
            <w:tabs>
              <w:tab w:val="left" w:pos="420"/>
              <w:tab w:val="right" w:leader="dot" w:pos="9628"/>
            </w:tabs>
            <w:spacing w:after="0"/>
            <w:rPr>
              <w:rFonts w:asciiTheme="minorHAnsi" w:eastAsiaTheme="minorEastAsia" w:hAnsiTheme="minorHAnsi" w:cstheme="minorBidi"/>
              <w:noProof/>
              <w:color w:val="auto"/>
              <w:sz w:val="22"/>
              <w:szCs w:val="22"/>
              <w:lang w:val="en-GB" w:eastAsia="en-GB"/>
            </w:rPr>
          </w:pPr>
          <w:hyperlink w:anchor="_Toc85627857" w:history="1">
            <w:r w:rsidR="009C66F7" w:rsidRPr="00E13A48">
              <w:rPr>
                <w:rStyle w:val="Hyperlink"/>
                <w:noProof/>
              </w:rPr>
              <w:t>2</w:t>
            </w:r>
            <w:r w:rsidR="009C66F7">
              <w:rPr>
                <w:rFonts w:asciiTheme="minorHAnsi" w:eastAsiaTheme="minorEastAsia" w:hAnsiTheme="minorHAnsi" w:cstheme="minorBidi"/>
                <w:noProof/>
                <w:color w:val="auto"/>
                <w:sz w:val="22"/>
                <w:szCs w:val="22"/>
                <w:lang w:val="en-GB" w:eastAsia="en-GB"/>
              </w:rPr>
              <w:tab/>
            </w:r>
            <w:r w:rsidR="009C66F7" w:rsidRPr="00E13A48">
              <w:rPr>
                <w:rStyle w:val="Hyperlink"/>
                <w:noProof/>
              </w:rPr>
              <w:t>Socio-economical Context</w:t>
            </w:r>
            <w:r w:rsidR="009C66F7">
              <w:rPr>
                <w:noProof/>
                <w:webHidden/>
              </w:rPr>
              <w:tab/>
            </w:r>
            <w:r w:rsidR="009C66F7">
              <w:rPr>
                <w:noProof/>
                <w:webHidden/>
              </w:rPr>
              <w:fldChar w:fldCharType="begin"/>
            </w:r>
            <w:r w:rsidR="009C66F7">
              <w:rPr>
                <w:noProof/>
                <w:webHidden/>
              </w:rPr>
              <w:instrText xml:space="preserve"> PAGEREF _Toc85627857 \h </w:instrText>
            </w:r>
            <w:r w:rsidR="009C66F7">
              <w:rPr>
                <w:noProof/>
                <w:webHidden/>
              </w:rPr>
            </w:r>
            <w:r w:rsidR="009C66F7">
              <w:rPr>
                <w:noProof/>
                <w:webHidden/>
              </w:rPr>
              <w:fldChar w:fldCharType="separate"/>
            </w:r>
            <w:r>
              <w:rPr>
                <w:noProof/>
                <w:webHidden/>
              </w:rPr>
              <w:t>8</w:t>
            </w:r>
            <w:r w:rsidR="009C66F7">
              <w:rPr>
                <w:noProof/>
                <w:webHidden/>
              </w:rPr>
              <w:fldChar w:fldCharType="end"/>
            </w:r>
          </w:hyperlink>
        </w:p>
        <w:p w14:paraId="5E9CAB67" w14:textId="59276869" w:rsidR="009C66F7" w:rsidRDefault="008027AE" w:rsidP="009C66F7">
          <w:pPr>
            <w:pStyle w:val="TOC2"/>
            <w:tabs>
              <w:tab w:val="left" w:pos="880"/>
              <w:tab w:val="right" w:leader="dot" w:pos="9628"/>
            </w:tabs>
            <w:spacing w:after="0"/>
            <w:rPr>
              <w:rFonts w:asciiTheme="minorHAnsi" w:eastAsiaTheme="minorEastAsia" w:hAnsiTheme="minorHAnsi" w:cstheme="minorBidi"/>
              <w:noProof/>
              <w:color w:val="auto"/>
              <w:sz w:val="22"/>
              <w:szCs w:val="22"/>
              <w:lang w:val="en-GB" w:eastAsia="en-GB"/>
            </w:rPr>
          </w:pPr>
          <w:hyperlink w:anchor="_Toc85627858" w:history="1">
            <w:r w:rsidR="009C66F7" w:rsidRPr="00E13A48">
              <w:rPr>
                <w:rStyle w:val="Hyperlink"/>
                <w:noProof/>
              </w:rPr>
              <w:t>2.1</w:t>
            </w:r>
            <w:r w:rsidR="009C66F7">
              <w:rPr>
                <w:rFonts w:asciiTheme="minorHAnsi" w:eastAsiaTheme="minorEastAsia" w:hAnsiTheme="minorHAnsi" w:cstheme="minorBidi"/>
                <w:noProof/>
                <w:color w:val="auto"/>
                <w:sz w:val="22"/>
                <w:szCs w:val="22"/>
                <w:lang w:val="en-GB" w:eastAsia="en-GB"/>
              </w:rPr>
              <w:tab/>
            </w:r>
            <w:r w:rsidR="009C66F7" w:rsidRPr="00E13A48">
              <w:rPr>
                <w:rStyle w:val="Hyperlink"/>
                <w:noProof/>
              </w:rPr>
              <w:t>Regulatory Frameworks</w:t>
            </w:r>
            <w:r w:rsidR="009C66F7">
              <w:rPr>
                <w:noProof/>
                <w:webHidden/>
              </w:rPr>
              <w:tab/>
            </w:r>
            <w:r w:rsidR="009C66F7">
              <w:rPr>
                <w:noProof/>
                <w:webHidden/>
              </w:rPr>
              <w:fldChar w:fldCharType="begin"/>
            </w:r>
            <w:r w:rsidR="009C66F7">
              <w:rPr>
                <w:noProof/>
                <w:webHidden/>
              </w:rPr>
              <w:instrText xml:space="preserve"> PAGEREF _Toc85627858 \h </w:instrText>
            </w:r>
            <w:r w:rsidR="009C66F7">
              <w:rPr>
                <w:noProof/>
                <w:webHidden/>
              </w:rPr>
            </w:r>
            <w:r w:rsidR="009C66F7">
              <w:rPr>
                <w:noProof/>
                <w:webHidden/>
              </w:rPr>
              <w:fldChar w:fldCharType="separate"/>
            </w:r>
            <w:r>
              <w:rPr>
                <w:noProof/>
                <w:webHidden/>
              </w:rPr>
              <w:t>8</w:t>
            </w:r>
            <w:r w:rsidR="009C66F7">
              <w:rPr>
                <w:noProof/>
                <w:webHidden/>
              </w:rPr>
              <w:fldChar w:fldCharType="end"/>
            </w:r>
          </w:hyperlink>
        </w:p>
        <w:p w14:paraId="3B6867A8" w14:textId="6473A6CF" w:rsidR="009C66F7" w:rsidRDefault="008027AE" w:rsidP="009C66F7">
          <w:pPr>
            <w:pStyle w:val="TOC3"/>
            <w:tabs>
              <w:tab w:val="left" w:pos="1100"/>
              <w:tab w:val="right" w:leader="dot" w:pos="9628"/>
            </w:tabs>
            <w:spacing w:after="0"/>
            <w:rPr>
              <w:rFonts w:asciiTheme="minorHAnsi" w:eastAsiaTheme="minorEastAsia" w:hAnsiTheme="minorHAnsi" w:cstheme="minorBidi"/>
              <w:noProof/>
              <w:color w:val="auto"/>
              <w:sz w:val="22"/>
              <w:szCs w:val="22"/>
              <w:lang w:val="en-GB" w:eastAsia="en-GB"/>
            </w:rPr>
          </w:pPr>
          <w:hyperlink w:anchor="_Toc85627859" w:history="1">
            <w:r w:rsidR="009C66F7" w:rsidRPr="00E13A48">
              <w:rPr>
                <w:rStyle w:val="Hyperlink"/>
                <w:noProof/>
              </w:rPr>
              <w:t>2.1.1</w:t>
            </w:r>
            <w:r w:rsidR="009C66F7">
              <w:rPr>
                <w:rFonts w:asciiTheme="minorHAnsi" w:eastAsiaTheme="minorEastAsia" w:hAnsiTheme="minorHAnsi" w:cstheme="minorBidi"/>
                <w:noProof/>
                <w:color w:val="auto"/>
                <w:sz w:val="22"/>
                <w:szCs w:val="22"/>
                <w:lang w:val="en-GB" w:eastAsia="en-GB"/>
              </w:rPr>
              <w:tab/>
            </w:r>
            <w:r w:rsidR="009C66F7" w:rsidRPr="00E13A48">
              <w:rPr>
                <w:rStyle w:val="Hyperlink"/>
                <w:noProof/>
              </w:rPr>
              <w:t>International Convention for the Prevention of Pollution from Ships (MARPOL)</w:t>
            </w:r>
            <w:r w:rsidR="009C66F7">
              <w:rPr>
                <w:noProof/>
                <w:webHidden/>
              </w:rPr>
              <w:tab/>
            </w:r>
            <w:r w:rsidR="009C66F7">
              <w:rPr>
                <w:noProof/>
                <w:webHidden/>
              </w:rPr>
              <w:fldChar w:fldCharType="begin"/>
            </w:r>
            <w:r w:rsidR="009C66F7">
              <w:rPr>
                <w:noProof/>
                <w:webHidden/>
              </w:rPr>
              <w:instrText xml:space="preserve"> PAGEREF _Toc85627859 \h </w:instrText>
            </w:r>
            <w:r w:rsidR="009C66F7">
              <w:rPr>
                <w:noProof/>
                <w:webHidden/>
              </w:rPr>
            </w:r>
            <w:r w:rsidR="009C66F7">
              <w:rPr>
                <w:noProof/>
                <w:webHidden/>
              </w:rPr>
              <w:fldChar w:fldCharType="separate"/>
            </w:r>
            <w:r>
              <w:rPr>
                <w:noProof/>
                <w:webHidden/>
              </w:rPr>
              <w:t>8</w:t>
            </w:r>
            <w:r w:rsidR="009C66F7">
              <w:rPr>
                <w:noProof/>
                <w:webHidden/>
              </w:rPr>
              <w:fldChar w:fldCharType="end"/>
            </w:r>
          </w:hyperlink>
        </w:p>
        <w:p w14:paraId="2F5D7EAF" w14:textId="1A95A63A" w:rsidR="009C66F7" w:rsidRDefault="008027AE" w:rsidP="009C66F7">
          <w:pPr>
            <w:pStyle w:val="TOC3"/>
            <w:tabs>
              <w:tab w:val="left" w:pos="1100"/>
              <w:tab w:val="right" w:leader="dot" w:pos="9628"/>
            </w:tabs>
            <w:spacing w:after="0"/>
            <w:rPr>
              <w:rFonts w:asciiTheme="minorHAnsi" w:eastAsiaTheme="minorEastAsia" w:hAnsiTheme="minorHAnsi" w:cstheme="minorBidi"/>
              <w:noProof/>
              <w:color w:val="auto"/>
              <w:sz w:val="22"/>
              <w:szCs w:val="22"/>
              <w:lang w:val="en-GB" w:eastAsia="en-GB"/>
            </w:rPr>
          </w:pPr>
          <w:hyperlink w:anchor="_Toc85627860" w:history="1">
            <w:r w:rsidR="009C66F7" w:rsidRPr="00E13A48">
              <w:rPr>
                <w:rStyle w:val="Hyperlink"/>
                <w:noProof/>
              </w:rPr>
              <w:t>2.1.2</w:t>
            </w:r>
            <w:r w:rsidR="009C66F7">
              <w:rPr>
                <w:rFonts w:asciiTheme="minorHAnsi" w:eastAsiaTheme="minorEastAsia" w:hAnsiTheme="minorHAnsi" w:cstheme="minorBidi"/>
                <w:noProof/>
                <w:color w:val="auto"/>
                <w:sz w:val="22"/>
                <w:szCs w:val="22"/>
                <w:lang w:val="en-GB" w:eastAsia="en-GB"/>
              </w:rPr>
              <w:tab/>
            </w:r>
            <w:r w:rsidR="009C66F7" w:rsidRPr="00E13A48">
              <w:rPr>
                <w:rStyle w:val="Hyperlink"/>
                <w:noProof/>
              </w:rPr>
              <w:t>Renewable Energy Directive (RED)</w:t>
            </w:r>
            <w:r w:rsidR="009C66F7">
              <w:rPr>
                <w:noProof/>
                <w:webHidden/>
              </w:rPr>
              <w:tab/>
            </w:r>
            <w:r w:rsidR="009C66F7">
              <w:rPr>
                <w:noProof/>
                <w:webHidden/>
              </w:rPr>
              <w:fldChar w:fldCharType="begin"/>
            </w:r>
            <w:r w:rsidR="009C66F7">
              <w:rPr>
                <w:noProof/>
                <w:webHidden/>
              </w:rPr>
              <w:instrText xml:space="preserve"> PAGEREF _Toc85627860 \h </w:instrText>
            </w:r>
            <w:r w:rsidR="009C66F7">
              <w:rPr>
                <w:noProof/>
                <w:webHidden/>
              </w:rPr>
            </w:r>
            <w:r w:rsidR="009C66F7">
              <w:rPr>
                <w:noProof/>
                <w:webHidden/>
              </w:rPr>
              <w:fldChar w:fldCharType="separate"/>
            </w:r>
            <w:r>
              <w:rPr>
                <w:noProof/>
                <w:webHidden/>
              </w:rPr>
              <w:t>10</w:t>
            </w:r>
            <w:r w:rsidR="009C66F7">
              <w:rPr>
                <w:noProof/>
                <w:webHidden/>
              </w:rPr>
              <w:fldChar w:fldCharType="end"/>
            </w:r>
          </w:hyperlink>
        </w:p>
        <w:p w14:paraId="30D1D392" w14:textId="53E6555E" w:rsidR="009C66F7" w:rsidRDefault="008027AE" w:rsidP="009C66F7">
          <w:pPr>
            <w:pStyle w:val="TOC3"/>
            <w:tabs>
              <w:tab w:val="left" w:pos="1100"/>
              <w:tab w:val="right" w:leader="dot" w:pos="9628"/>
            </w:tabs>
            <w:spacing w:after="0"/>
            <w:rPr>
              <w:rFonts w:asciiTheme="minorHAnsi" w:eastAsiaTheme="minorEastAsia" w:hAnsiTheme="minorHAnsi" w:cstheme="minorBidi"/>
              <w:noProof/>
              <w:color w:val="auto"/>
              <w:sz w:val="22"/>
              <w:szCs w:val="22"/>
              <w:lang w:val="en-GB" w:eastAsia="en-GB"/>
            </w:rPr>
          </w:pPr>
          <w:hyperlink w:anchor="_Toc85627861" w:history="1">
            <w:r w:rsidR="009C66F7" w:rsidRPr="00E13A48">
              <w:rPr>
                <w:rStyle w:val="Hyperlink"/>
                <w:noProof/>
              </w:rPr>
              <w:t>2.1.3</w:t>
            </w:r>
            <w:r w:rsidR="009C66F7">
              <w:rPr>
                <w:rFonts w:asciiTheme="minorHAnsi" w:eastAsiaTheme="minorEastAsia" w:hAnsiTheme="minorHAnsi" w:cstheme="minorBidi"/>
                <w:noProof/>
                <w:color w:val="auto"/>
                <w:sz w:val="22"/>
                <w:szCs w:val="22"/>
                <w:lang w:val="en-GB" w:eastAsia="en-GB"/>
              </w:rPr>
              <w:tab/>
            </w:r>
            <w:r w:rsidR="009C66F7" w:rsidRPr="00E13A48">
              <w:rPr>
                <w:rStyle w:val="Hyperlink"/>
                <w:noProof/>
              </w:rPr>
              <w:t>European Green Deal (EGD) and Fit for 55</w:t>
            </w:r>
            <w:r w:rsidR="009C66F7">
              <w:rPr>
                <w:noProof/>
                <w:webHidden/>
              </w:rPr>
              <w:tab/>
            </w:r>
            <w:r w:rsidR="009C66F7">
              <w:rPr>
                <w:noProof/>
                <w:webHidden/>
              </w:rPr>
              <w:fldChar w:fldCharType="begin"/>
            </w:r>
            <w:r w:rsidR="009C66F7">
              <w:rPr>
                <w:noProof/>
                <w:webHidden/>
              </w:rPr>
              <w:instrText xml:space="preserve"> PAGEREF _Toc85627861 \h </w:instrText>
            </w:r>
            <w:r w:rsidR="009C66F7">
              <w:rPr>
                <w:noProof/>
                <w:webHidden/>
              </w:rPr>
            </w:r>
            <w:r w:rsidR="009C66F7">
              <w:rPr>
                <w:noProof/>
                <w:webHidden/>
              </w:rPr>
              <w:fldChar w:fldCharType="separate"/>
            </w:r>
            <w:r>
              <w:rPr>
                <w:noProof/>
                <w:webHidden/>
              </w:rPr>
              <w:t>12</w:t>
            </w:r>
            <w:r w:rsidR="009C66F7">
              <w:rPr>
                <w:noProof/>
                <w:webHidden/>
              </w:rPr>
              <w:fldChar w:fldCharType="end"/>
            </w:r>
          </w:hyperlink>
        </w:p>
        <w:p w14:paraId="7CAE5344" w14:textId="4B31CA08" w:rsidR="009C66F7" w:rsidRDefault="008027AE" w:rsidP="009C66F7">
          <w:pPr>
            <w:pStyle w:val="TOC1"/>
            <w:tabs>
              <w:tab w:val="left" w:pos="420"/>
              <w:tab w:val="right" w:leader="dot" w:pos="9628"/>
            </w:tabs>
            <w:spacing w:after="0"/>
            <w:rPr>
              <w:rFonts w:asciiTheme="minorHAnsi" w:eastAsiaTheme="minorEastAsia" w:hAnsiTheme="minorHAnsi" w:cstheme="minorBidi"/>
              <w:noProof/>
              <w:color w:val="auto"/>
              <w:sz w:val="22"/>
              <w:szCs w:val="22"/>
              <w:lang w:val="en-GB" w:eastAsia="en-GB"/>
            </w:rPr>
          </w:pPr>
          <w:hyperlink w:anchor="_Toc85627862" w:history="1">
            <w:r w:rsidR="009C66F7" w:rsidRPr="00E13A48">
              <w:rPr>
                <w:rStyle w:val="Hyperlink"/>
                <w:noProof/>
              </w:rPr>
              <w:t>3</w:t>
            </w:r>
            <w:r w:rsidR="009C66F7">
              <w:rPr>
                <w:rFonts w:asciiTheme="minorHAnsi" w:eastAsiaTheme="minorEastAsia" w:hAnsiTheme="minorHAnsi" w:cstheme="minorBidi"/>
                <w:noProof/>
                <w:color w:val="auto"/>
                <w:sz w:val="22"/>
                <w:szCs w:val="22"/>
                <w:lang w:val="en-GB" w:eastAsia="en-GB"/>
              </w:rPr>
              <w:tab/>
            </w:r>
            <w:r w:rsidR="009C66F7" w:rsidRPr="00E13A48">
              <w:rPr>
                <w:rStyle w:val="Hyperlink"/>
                <w:noProof/>
              </w:rPr>
              <w:t>Fuels in the Shipping sector</w:t>
            </w:r>
            <w:r w:rsidR="009C66F7">
              <w:rPr>
                <w:noProof/>
                <w:webHidden/>
              </w:rPr>
              <w:tab/>
            </w:r>
            <w:r w:rsidR="009C66F7">
              <w:rPr>
                <w:noProof/>
                <w:webHidden/>
              </w:rPr>
              <w:fldChar w:fldCharType="begin"/>
            </w:r>
            <w:r w:rsidR="009C66F7">
              <w:rPr>
                <w:noProof/>
                <w:webHidden/>
              </w:rPr>
              <w:instrText xml:space="preserve"> PAGEREF _Toc85627862 \h </w:instrText>
            </w:r>
            <w:r w:rsidR="009C66F7">
              <w:rPr>
                <w:noProof/>
                <w:webHidden/>
              </w:rPr>
            </w:r>
            <w:r w:rsidR="009C66F7">
              <w:rPr>
                <w:noProof/>
                <w:webHidden/>
              </w:rPr>
              <w:fldChar w:fldCharType="separate"/>
            </w:r>
            <w:r>
              <w:rPr>
                <w:noProof/>
                <w:webHidden/>
              </w:rPr>
              <w:t>15</w:t>
            </w:r>
            <w:r w:rsidR="009C66F7">
              <w:rPr>
                <w:noProof/>
                <w:webHidden/>
              </w:rPr>
              <w:fldChar w:fldCharType="end"/>
            </w:r>
          </w:hyperlink>
        </w:p>
        <w:p w14:paraId="46BD3FA1" w14:textId="058ABAFB" w:rsidR="009C66F7" w:rsidRDefault="008027AE" w:rsidP="009C66F7">
          <w:pPr>
            <w:pStyle w:val="TOC2"/>
            <w:tabs>
              <w:tab w:val="left" w:pos="880"/>
              <w:tab w:val="right" w:leader="dot" w:pos="9628"/>
            </w:tabs>
            <w:spacing w:after="0"/>
            <w:rPr>
              <w:rFonts w:asciiTheme="minorHAnsi" w:eastAsiaTheme="minorEastAsia" w:hAnsiTheme="minorHAnsi" w:cstheme="minorBidi"/>
              <w:noProof/>
              <w:color w:val="auto"/>
              <w:sz w:val="22"/>
              <w:szCs w:val="22"/>
              <w:lang w:val="en-GB" w:eastAsia="en-GB"/>
            </w:rPr>
          </w:pPr>
          <w:hyperlink w:anchor="_Toc85627863" w:history="1">
            <w:r w:rsidR="009C66F7" w:rsidRPr="00E13A48">
              <w:rPr>
                <w:rStyle w:val="Hyperlink"/>
                <w:noProof/>
              </w:rPr>
              <w:t>3.1</w:t>
            </w:r>
            <w:r w:rsidR="009C66F7">
              <w:rPr>
                <w:rFonts w:asciiTheme="minorHAnsi" w:eastAsiaTheme="minorEastAsia" w:hAnsiTheme="minorHAnsi" w:cstheme="minorBidi"/>
                <w:noProof/>
                <w:color w:val="auto"/>
                <w:sz w:val="22"/>
                <w:szCs w:val="22"/>
                <w:lang w:val="en-GB" w:eastAsia="en-GB"/>
              </w:rPr>
              <w:tab/>
            </w:r>
            <w:r w:rsidR="009C66F7" w:rsidRPr="00E13A48">
              <w:rPr>
                <w:rStyle w:val="Hyperlink"/>
                <w:noProof/>
              </w:rPr>
              <w:t>Marine Fossil Liquid Fuels</w:t>
            </w:r>
            <w:r w:rsidR="009C66F7">
              <w:rPr>
                <w:noProof/>
                <w:webHidden/>
              </w:rPr>
              <w:tab/>
            </w:r>
            <w:r w:rsidR="009C66F7">
              <w:rPr>
                <w:noProof/>
                <w:webHidden/>
              </w:rPr>
              <w:fldChar w:fldCharType="begin"/>
            </w:r>
            <w:r w:rsidR="009C66F7">
              <w:rPr>
                <w:noProof/>
                <w:webHidden/>
              </w:rPr>
              <w:instrText xml:space="preserve"> PAGEREF _Toc85627863 \h </w:instrText>
            </w:r>
            <w:r w:rsidR="009C66F7">
              <w:rPr>
                <w:noProof/>
                <w:webHidden/>
              </w:rPr>
            </w:r>
            <w:r w:rsidR="009C66F7">
              <w:rPr>
                <w:noProof/>
                <w:webHidden/>
              </w:rPr>
              <w:fldChar w:fldCharType="separate"/>
            </w:r>
            <w:r>
              <w:rPr>
                <w:noProof/>
                <w:webHidden/>
              </w:rPr>
              <w:t>16</w:t>
            </w:r>
            <w:r w:rsidR="009C66F7">
              <w:rPr>
                <w:noProof/>
                <w:webHidden/>
              </w:rPr>
              <w:fldChar w:fldCharType="end"/>
            </w:r>
          </w:hyperlink>
        </w:p>
        <w:p w14:paraId="653EDAED" w14:textId="7CD95E1A" w:rsidR="009C66F7" w:rsidRDefault="008027AE" w:rsidP="009C66F7">
          <w:pPr>
            <w:pStyle w:val="TOC2"/>
            <w:tabs>
              <w:tab w:val="left" w:pos="880"/>
              <w:tab w:val="right" w:leader="dot" w:pos="9628"/>
            </w:tabs>
            <w:spacing w:after="0"/>
            <w:rPr>
              <w:rFonts w:asciiTheme="minorHAnsi" w:eastAsiaTheme="minorEastAsia" w:hAnsiTheme="minorHAnsi" w:cstheme="minorBidi"/>
              <w:noProof/>
              <w:color w:val="auto"/>
              <w:sz w:val="22"/>
              <w:szCs w:val="22"/>
              <w:lang w:val="en-GB" w:eastAsia="en-GB"/>
            </w:rPr>
          </w:pPr>
          <w:hyperlink w:anchor="_Toc85627864" w:history="1">
            <w:r w:rsidR="009C66F7" w:rsidRPr="00E13A48">
              <w:rPr>
                <w:rStyle w:val="Hyperlink"/>
                <w:noProof/>
              </w:rPr>
              <w:t>3.2</w:t>
            </w:r>
            <w:r w:rsidR="009C66F7">
              <w:rPr>
                <w:rFonts w:asciiTheme="minorHAnsi" w:eastAsiaTheme="minorEastAsia" w:hAnsiTheme="minorHAnsi" w:cstheme="minorBidi"/>
                <w:noProof/>
                <w:color w:val="auto"/>
                <w:sz w:val="22"/>
                <w:szCs w:val="22"/>
                <w:lang w:val="en-GB" w:eastAsia="en-GB"/>
              </w:rPr>
              <w:tab/>
            </w:r>
            <w:r w:rsidR="009C66F7" w:rsidRPr="00E13A48">
              <w:rPr>
                <w:rStyle w:val="Hyperlink"/>
                <w:noProof/>
              </w:rPr>
              <w:t>Alternative Fuels</w:t>
            </w:r>
            <w:r w:rsidR="009C66F7">
              <w:rPr>
                <w:noProof/>
                <w:webHidden/>
              </w:rPr>
              <w:tab/>
            </w:r>
            <w:r w:rsidR="009C66F7">
              <w:rPr>
                <w:noProof/>
                <w:webHidden/>
              </w:rPr>
              <w:fldChar w:fldCharType="begin"/>
            </w:r>
            <w:r w:rsidR="009C66F7">
              <w:rPr>
                <w:noProof/>
                <w:webHidden/>
              </w:rPr>
              <w:instrText xml:space="preserve"> PAGEREF _Toc85627864 \h </w:instrText>
            </w:r>
            <w:r w:rsidR="009C66F7">
              <w:rPr>
                <w:noProof/>
                <w:webHidden/>
              </w:rPr>
            </w:r>
            <w:r w:rsidR="009C66F7">
              <w:rPr>
                <w:noProof/>
                <w:webHidden/>
              </w:rPr>
              <w:fldChar w:fldCharType="separate"/>
            </w:r>
            <w:r>
              <w:rPr>
                <w:noProof/>
                <w:webHidden/>
              </w:rPr>
              <w:t>18</w:t>
            </w:r>
            <w:r w:rsidR="009C66F7">
              <w:rPr>
                <w:noProof/>
                <w:webHidden/>
              </w:rPr>
              <w:fldChar w:fldCharType="end"/>
            </w:r>
          </w:hyperlink>
        </w:p>
        <w:p w14:paraId="3761B554" w14:textId="14048051" w:rsidR="009C66F7" w:rsidRDefault="008027AE" w:rsidP="009C66F7">
          <w:pPr>
            <w:pStyle w:val="TOC2"/>
            <w:tabs>
              <w:tab w:val="left" w:pos="880"/>
              <w:tab w:val="right" w:leader="dot" w:pos="9628"/>
            </w:tabs>
            <w:spacing w:after="0"/>
            <w:rPr>
              <w:rFonts w:asciiTheme="minorHAnsi" w:eastAsiaTheme="minorEastAsia" w:hAnsiTheme="minorHAnsi" w:cstheme="minorBidi"/>
              <w:noProof/>
              <w:color w:val="auto"/>
              <w:sz w:val="22"/>
              <w:szCs w:val="22"/>
              <w:lang w:val="en-GB" w:eastAsia="en-GB"/>
            </w:rPr>
          </w:pPr>
          <w:hyperlink w:anchor="_Toc85627865" w:history="1">
            <w:r w:rsidR="009C66F7" w:rsidRPr="00E13A48">
              <w:rPr>
                <w:rStyle w:val="Hyperlink"/>
                <w:noProof/>
              </w:rPr>
              <w:t>3.3</w:t>
            </w:r>
            <w:r w:rsidR="009C66F7">
              <w:rPr>
                <w:rFonts w:asciiTheme="minorHAnsi" w:eastAsiaTheme="minorEastAsia" w:hAnsiTheme="minorHAnsi" w:cstheme="minorBidi"/>
                <w:noProof/>
                <w:color w:val="auto"/>
                <w:sz w:val="22"/>
                <w:szCs w:val="22"/>
                <w:lang w:val="en-GB" w:eastAsia="en-GB"/>
              </w:rPr>
              <w:tab/>
            </w:r>
            <w:r w:rsidR="009C66F7" w:rsidRPr="00E13A48">
              <w:rPr>
                <w:rStyle w:val="Hyperlink"/>
                <w:noProof/>
              </w:rPr>
              <w:t>Green House Gas Emissions</w:t>
            </w:r>
            <w:r w:rsidR="009C66F7">
              <w:rPr>
                <w:noProof/>
                <w:webHidden/>
              </w:rPr>
              <w:tab/>
            </w:r>
            <w:r w:rsidR="009C66F7">
              <w:rPr>
                <w:noProof/>
                <w:webHidden/>
              </w:rPr>
              <w:fldChar w:fldCharType="begin"/>
            </w:r>
            <w:r w:rsidR="009C66F7">
              <w:rPr>
                <w:noProof/>
                <w:webHidden/>
              </w:rPr>
              <w:instrText xml:space="preserve"> PAGEREF _Toc85627865 \h </w:instrText>
            </w:r>
            <w:r w:rsidR="009C66F7">
              <w:rPr>
                <w:noProof/>
                <w:webHidden/>
              </w:rPr>
            </w:r>
            <w:r w:rsidR="009C66F7">
              <w:rPr>
                <w:noProof/>
                <w:webHidden/>
              </w:rPr>
              <w:fldChar w:fldCharType="separate"/>
            </w:r>
            <w:r>
              <w:rPr>
                <w:noProof/>
                <w:webHidden/>
              </w:rPr>
              <w:t>21</w:t>
            </w:r>
            <w:r w:rsidR="009C66F7">
              <w:rPr>
                <w:noProof/>
                <w:webHidden/>
              </w:rPr>
              <w:fldChar w:fldCharType="end"/>
            </w:r>
          </w:hyperlink>
        </w:p>
        <w:p w14:paraId="3A761B54" w14:textId="2C1E97CF" w:rsidR="009C66F7" w:rsidRDefault="008027AE" w:rsidP="009C66F7">
          <w:pPr>
            <w:pStyle w:val="TOC2"/>
            <w:tabs>
              <w:tab w:val="left" w:pos="880"/>
              <w:tab w:val="right" w:leader="dot" w:pos="9628"/>
            </w:tabs>
            <w:spacing w:after="0"/>
            <w:rPr>
              <w:rFonts w:asciiTheme="minorHAnsi" w:eastAsiaTheme="minorEastAsia" w:hAnsiTheme="minorHAnsi" w:cstheme="minorBidi"/>
              <w:noProof/>
              <w:color w:val="auto"/>
              <w:sz w:val="22"/>
              <w:szCs w:val="22"/>
              <w:lang w:val="en-GB" w:eastAsia="en-GB"/>
            </w:rPr>
          </w:pPr>
          <w:hyperlink w:anchor="_Toc85627866" w:history="1">
            <w:r w:rsidR="009C66F7" w:rsidRPr="00E13A48">
              <w:rPr>
                <w:rStyle w:val="Hyperlink"/>
                <w:noProof/>
              </w:rPr>
              <w:t>3.4</w:t>
            </w:r>
            <w:r w:rsidR="009C66F7">
              <w:rPr>
                <w:rFonts w:asciiTheme="minorHAnsi" w:eastAsiaTheme="minorEastAsia" w:hAnsiTheme="minorHAnsi" w:cstheme="minorBidi"/>
                <w:noProof/>
                <w:color w:val="auto"/>
                <w:sz w:val="22"/>
                <w:szCs w:val="22"/>
                <w:lang w:val="en-GB" w:eastAsia="en-GB"/>
              </w:rPr>
              <w:tab/>
            </w:r>
            <w:r w:rsidR="009C66F7" w:rsidRPr="00E13A48">
              <w:rPr>
                <w:rStyle w:val="Hyperlink"/>
                <w:noProof/>
              </w:rPr>
              <w:t>Fuel Stability and Compatibility</w:t>
            </w:r>
            <w:r w:rsidR="009C66F7">
              <w:rPr>
                <w:noProof/>
                <w:webHidden/>
              </w:rPr>
              <w:tab/>
            </w:r>
            <w:r w:rsidR="009C66F7">
              <w:rPr>
                <w:noProof/>
                <w:webHidden/>
              </w:rPr>
              <w:fldChar w:fldCharType="begin"/>
            </w:r>
            <w:r w:rsidR="009C66F7">
              <w:rPr>
                <w:noProof/>
                <w:webHidden/>
              </w:rPr>
              <w:instrText xml:space="preserve"> PAGEREF _Toc85627866 \h </w:instrText>
            </w:r>
            <w:r w:rsidR="009C66F7">
              <w:rPr>
                <w:noProof/>
                <w:webHidden/>
              </w:rPr>
            </w:r>
            <w:r w:rsidR="009C66F7">
              <w:rPr>
                <w:noProof/>
                <w:webHidden/>
              </w:rPr>
              <w:fldChar w:fldCharType="separate"/>
            </w:r>
            <w:r>
              <w:rPr>
                <w:noProof/>
                <w:webHidden/>
              </w:rPr>
              <w:t>23</w:t>
            </w:r>
            <w:r w:rsidR="009C66F7">
              <w:rPr>
                <w:noProof/>
                <w:webHidden/>
              </w:rPr>
              <w:fldChar w:fldCharType="end"/>
            </w:r>
          </w:hyperlink>
        </w:p>
        <w:p w14:paraId="600327C0" w14:textId="5C92A618" w:rsidR="009C66F7" w:rsidRDefault="008027AE" w:rsidP="009C66F7">
          <w:pPr>
            <w:pStyle w:val="TOC1"/>
            <w:tabs>
              <w:tab w:val="left" w:pos="420"/>
              <w:tab w:val="right" w:leader="dot" w:pos="9628"/>
            </w:tabs>
            <w:spacing w:after="0"/>
            <w:rPr>
              <w:rFonts w:asciiTheme="minorHAnsi" w:eastAsiaTheme="minorEastAsia" w:hAnsiTheme="minorHAnsi" w:cstheme="minorBidi"/>
              <w:noProof/>
              <w:color w:val="auto"/>
              <w:sz w:val="22"/>
              <w:szCs w:val="22"/>
              <w:lang w:val="en-GB" w:eastAsia="en-GB"/>
            </w:rPr>
          </w:pPr>
          <w:hyperlink w:anchor="_Toc85627867" w:history="1">
            <w:r w:rsidR="009C66F7" w:rsidRPr="00E13A48">
              <w:rPr>
                <w:rStyle w:val="Hyperlink"/>
                <w:noProof/>
              </w:rPr>
              <w:t>4</w:t>
            </w:r>
            <w:r w:rsidR="009C66F7">
              <w:rPr>
                <w:rFonts w:asciiTheme="minorHAnsi" w:eastAsiaTheme="minorEastAsia" w:hAnsiTheme="minorHAnsi" w:cstheme="minorBidi"/>
                <w:noProof/>
                <w:color w:val="auto"/>
                <w:sz w:val="22"/>
                <w:szCs w:val="22"/>
                <w:lang w:val="en-GB" w:eastAsia="en-GB"/>
              </w:rPr>
              <w:tab/>
            </w:r>
            <w:r w:rsidR="009C66F7" w:rsidRPr="00E13A48">
              <w:rPr>
                <w:rStyle w:val="Hyperlink"/>
                <w:noProof/>
              </w:rPr>
              <w:t>Future Market</w:t>
            </w:r>
            <w:r w:rsidR="009C66F7">
              <w:rPr>
                <w:noProof/>
                <w:webHidden/>
              </w:rPr>
              <w:tab/>
            </w:r>
            <w:r w:rsidR="009C66F7">
              <w:rPr>
                <w:noProof/>
                <w:webHidden/>
              </w:rPr>
              <w:fldChar w:fldCharType="begin"/>
            </w:r>
            <w:r w:rsidR="009C66F7">
              <w:rPr>
                <w:noProof/>
                <w:webHidden/>
              </w:rPr>
              <w:instrText xml:space="preserve"> PAGEREF _Toc85627867 \h </w:instrText>
            </w:r>
            <w:r w:rsidR="009C66F7">
              <w:rPr>
                <w:noProof/>
                <w:webHidden/>
              </w:rPr>
            </w:r>
            <w:r w:rsidR="009C66F7">
              <w:rPr>
                <w:noProof/>
                <w:webHidden/>
              </w:rPr>
              <w:fldChar w:fldCharType="separate"/>
            </w:r>
            <w:r>
              <w:rPr>
                <w:noProof/>
                <w:webHidden/>
              </w:rPr>
              <w:t>25</w:t>
            </w:r>
            <w:r w:rsidR="009C66F7">
              <w:rPr>
                <w:noProof/>
                <w:webHidden/>
              </w:rPr>
              <w:fldChar w:fldCharType="end"/>
            </w:r>
          </w:hyperlink>
        </w:p>
        <w:p w14:paraId="7418E077" w14:textId="2E106741" w:rsidR="009C66F7" w:rsidRDefault="008027AE" w:rsidP="009C66F7">
          <w:pPr>
            <w:pStyle w:val="TOC2"/>
            <w:tabs>
              <w:tab w:val="left" w:pos="880"/>
              <w:tab w:val="right" w:leader="dot" w:pos="9628"/>
            </w:tabs>
            <w:spacing w:after="0"/>
            <w:rPr>
              <w:rFonts w:asciiTheme="minorHAnsi" w:eastAsiaTheme="minorEastAsia" w:hAnsiTheme="minorHAnsi" w:cstheme="minorBidi"/>
              <w:noProof/>
              <w:color w:val="auto"/>
              <w:sz w:val="22"/>
              <w:szCs w:val="22"/>
              <w:lang w:val="en-GB" w:eastAsia="en-GB"/>
            </w:rPr>
          </w:pPr>
          <w:hyperlink w:anchor="_Toc85627868" w:history="1">
            <w:r w:rsidR="009C66F7" w:rsidRPr="00E13A48">
              <w:rPr>
                <w:rStyle w:val="Hyperlink"/>
                <w:rFonts w:asciiTheme="majorHAnsi" w:hAnsiTheme="majorHAnsi"/>
                <w:noProof/>
              </w:rPr>
              <w:t>4.1</w:t>
            </w:r>
            <w:r w:rsidR="009C66F7">
              <w:rPr>
                <w:rFonts w:asciiTheme="minorHAnsi" w:eastAsiaTheme="minorEastAsia" w:hAnsiTheme="minorHAnsi" w:cstheme="minorBidi"/>
                <w:noProof/>
                <w:color w:val="auto"/>
                <w:sz w:val="22"/>
                <w:szCs w:val="22"/>
                <w:lang w:val="en-GB" w:eastAsia="en-GB"/>
              </w:rPr>
              <w:tab/>
            </w:r>
            <w:r w:rsidR="009C66F7" w:rsidRPr="00E13A48">
              <w:rPr>
                <w:rStyle w:val="Hyperlink"/>
                <w:noProof/>
              </w:rPr>
              <w:t>Market Size</w:t>
            </w:r>
            <w:r w:rsidR="009C66F7">
              <w:rPr>
                <w:noProof/>
                <w:webHidden/>
              </w:rPr>
              <w:tab/>
            </w:r>
            <w:r w:rsidR="009C66F7">
              <w:rPr>
                <w:noProof/>
                <w:webHidden/>
              </w:rPr>
              <w:fldChar w:fldCharType="begin"/>
            </w:r>
            <w:r w:rsidR="009C66F7">
              <w:rPr>
                <w:noProof/>
                <w:webHidden/>
              </w:rPr>
              <w:instrText xml:space="preserve"> PAGEREF _Toc85627868 \h </w:instrText>
            </w:r>
            <w:r w:rsidR="009C66F7">
              <w:rPr>
                <w:noProof/>
                <w:webHidden/>
              </w:rPr>
            </w:r>
            <w:r w:rsidR="009C66F7">
              <w:rPr>
                <w:noProof/>
                <w:webHidden/>
              </w:rPr>
              <w:fldChar w:fldCharType="separate"/>
            </w:r>
            <w:r>
              <w:rPr>
                <w:noProof/>
                <w:webHidden/>
              </w:rPr>
              <w:t>25</w:t>
            </w:r>
            <w:r w:rsidR="009C66F7">
              <w:rPr>
                <w:noProof/>
                <w:webHidden/>
              </w:rPr>
              <w:fldChar w:fldCharType="end"/>
            </w:r>
          </w:hyperlink>
        </w:p>
        <w:p w14:paraId="79682EC3" w14:textId="68C945EE" w:rsidR="009C66F7" w:rsidRDefault="008027AE" w:rsidP="009C66F7">
          <w:pPr>
            <w:pStyle w:val="TOC2"/>
            <w:tabs>
              <w:tab w:val="left" w:pos="880"/>
              <w:tab w:val="right" w:leader="dot" w:pos="9628"/>
            </w:tabs>
            <w:spacing w:after="0"/>
            <w:rPr>
              <w:rFonts w:asciiTheme="minorHAnsi" w:eastAsiaTheme="minorEastAsia" w:hAnsiTheme="minorHAnsi" w:cstheme="minorBidi"/>
              <w:noProof/>
              <w:color w:val="auto"/>
              <w:sz w:val="22"/>
              <w:szCs w:val="22"/>
              <w:lang w:val="en-GB" w:eastAsia="en-GB"/>
            </w:rPr>
          </w:pPr>
          <w:hyperlink w:anchor="_Toc85627869" w:history="1">
            <w:r w:rsidR="009C66F7" w:rsidRPr="00E13A48">
              <w:rPr>
                <w:rStyle w:val="Hyperlink"/>
                <w:noProof/>
              </w:rPr>
              <w:t>4.2</w:t>
            </w:r>
            <w:r w:rsidR="009C66F7">
              <w:rPr>
                <w:rFonts w:asciiTheme="minorHAnsi" w:eastAsiaTheme="minorEastAsia" w:hAnsiTheme="minorHAnsi" w:cstheme="minorBidi"/>
                <w:noProof/>
                <w:color w:val="auto"/>
                <w:sz w:val="22"/>
                <w:szCs w:val="22"/>
                <w:lang w:val="en-GB" w:eastAsia="en-GB"/>
              </w:rPr>
              <w:tab/>
            </w:r>
            <w:r w:rsidR="009C66F7" w:rsidRPr="00E13A48">
              <w:rPr>
                <w:rStyle w:val="Hyperlink"/>
                <w:noProof/>
              </w:rPr>
              <w:t>Pricing</w:t>
            </w:r>
            <w:r w:rsidR="009C66F7">
              <w:rPr>
                <w:noProof/>
                <w:webHidden/>
              </w:rPr>
              <w:tab/>
            </w:r>
            <w:r w:rsidR="009C66F7">
              <w:rPr>
                <w:noProof/>
                <w:webHidden/>
              </w:rPr>
              <w:fldChar w:fldCharType="begin"/>
            </w:r>
            <w:r w:rsidR="009C66F7">
              <w:rPr>
                <w:noProof/>
                <w:webHidden/>
              </w:rPr>
              <w:instrText xml:space="preserve"> PAGEREF _Toc85627869 \h </w:instrText>
            </w:r>
            <w:r w:rsidR="009C66F7">
              <w:rPr>
                <w:noProof/>
                <w:webHidden/>
              </w:rPr>
            </w:r>
            <w:r w:rsidR="009C66F7">
              <w:rPr>
                <w:noProof/>
                <w:webHidden/>
              </w:rPr>
              <w:fldChar w:fldCharType="separate"/>
            </w:r>
            <w:r>
              <w:rPr>
                <w:noProof/>
                <w:webHidden/>
              </w:rPr>
              <w:t>26</w:t>
            </w:r>
            <w:r w:rsidR="009C66F7">
              <w:rPr>
                <w:noProof/>
                <w:webHidden/>
              </w:rPr>
              <w:fldChar w:fldCharType="end"/>
            </w:r>
          </w:hyperlink>
        </w:p>
        <w:p w14:paraId="2CD6E0A8" w14:textId="0AC3C011" w:rsidR="009C66F7" w:rsidRDefault="008027AE" w:rsidP="009C66F7">
          <w:pPr>
            <w:pStyle w:val="TOC2"/>
            <w:tabs>
              <w:tab w:val="left" w:pos="880"/>
              <w:tab w:val="right" w:leader="dot" w:pos="9628"/>
            </w:tabs>
            <w:spacing w:after="0"/>
            <w:rPr>
              <w:rFonts w:asciiTheme="minorHAnsi" w:eastAsiaTheme="minorEastAsia" w:hAnsiTheme="minorHAnsi" w:cstheme="minorBidi"/>
              <w:noProof/>
              <w:color w:val="auto"/>
              <w:sz w:val="22"/>
              <w:szCs w:val="22"/>
              <w:lang w:val="en-GB" w:eastAsia="en-GB"/>
            </w:rPr>
          </w:pPr>
          <w:hyperlink w:anchor="_Toc85627870" w:history="1">
            <w:r w:rsidR="009C66F7" w:rsidRPr="00E13A48">
              <w:rPr>
                <w:rStyle w:val="Hyperlink"/>
                <w:noProof/>
              </w:rPr>
              <w:t>4.3</w:t>
            </w:r>
            <w:r w:rsidR="009C66F7">
              <w:rPr>
                <w:rFonts w:asciiTheme="minorHAnsi" w:eastAsiaTheme="minorEastAsia" w:hAnsiTheme="minorHAnsi" w:cstheme="minorBidi"/>
                <w:noProof/>
                <w:color w:val="auto"/>
                <w:sz w:val="22"/>
                <w:szCs w:val="22"/>
                <w:lang w:val="en-GB" w:eastAsia="en-GB"/>
              </w:rPr>
              <w:tab/>
            </w:r>
            <w:r w:rsidR="009C66F7" w:rsidRPr="00E13A48">
              <w:rPr>
                <w:rStyle w:val="Hyperlink"/>
                <w:noProof/>
              </w:rPr>
              <w:t>Technology Maturity</w:t>
            </w:r>
            <w:r w:rsidR="009C66F7">
              <w:rPr>
                <w:noProof/>
                <w:webHidden/>
              </w:rPr>
              <w:tab/>
            </w:r>
            <w:r w:rsidR="009C66F7">
              <w:rPr>
                <w:noProof/>
                <w:webHidden/>
              </w:rPr>
              <w:fldChar w:fldCharType="begin"/>
            </w:r>
            <w:r w:rsidR="009C66F7">
              <w:rPr>
                <w:noProof/>
                <w:webHidden/>
              </w:rPr>
              <w:instrText xml:space="preserve"> PAGEREF _Toc85627870 \h </w:instrText>
            </w:r>
            <w:r w:rsidR="009C66F7">
              <w:rPr>
                <w:noProof/>
                <w:webHidden/>
              </w:rPr>
            </w:r>
            <w:r w:rsidR="009C66F7">
              <w:rPr>
                <w:noProof/>
                <w:webHidden/>
              </w:rPr>
              <w:fldChar w:fldCharType="separate"/>
            </w:r>
            <w:r>
              <w:rPr>
                <w:noProof/>
                <w:webHidden/>
              </w:rPr>
              <w:t>28</w:t>
            </w:r>
            <w:r w:rsidR="009C66F7">
              <w:rPr>
                <w:noProof/>
                <w:webHidden/>
              </w:rPr>
              <w:fldChar w:fldCharType="end"/>
            </w:r>
          </w:hyperlink>
        </w:p>
        <w:p w14:paraId="4A756393" w14:textId="6CE88AEA" w:rsidR="009C66F7" w:rsidRDefault="008027AE" w:rsidP="009C66F7">
          <w:pPr>
            <w:pStyle w:val="TOC2"/>
            <w:tabs>
              <w:tab w:val="left" w:pos="880"/>
              <w:tab w:val="right" w:leader="dot" w:pos="9628"/>
            </w:tabs>
            <w:spacing w:after="0"/>
            <w:rPr>
              <w:rFonts w:asciiTheme="minorHAnsi" w:eastAsiaTheme="minorEastAsia" w:hAnsiTheme="minorHAnsi" w:cstheme="minorBidi"/>
              <w:noProof/>
              <w:color w:val="auto"/>
              <w:sz w:val="22"/>
              <w:szCs w:val="22"/>
              <w:lang w:val="en-GB" w:eastAsia="en-GB"/>
            </w:rPr>
          </w:pPr>
          <w:hyperlink w:anchor="_Toc85627871" w:history="1">
            <w:r w:rsidR="009C66F7" w:rsidRPr="00E13A48">
              <w:rPr>
                <w:rStyle w:val="Hyperlink"/>
                <w:noProof/>
              </w:rPr>
              <w:t>4.1</w:t>
            </w:r>
            <w:r w:rsidR="009C66F7">
              <w:rPr>
                <w:rFonts w:asciiTheme="minorHAnsi" w:eastAsiaTheme="minorEastAsia" w:hAnsiTheme="minorHAnsi" w:cstheme="minorBidi"/>
                <w:noProof/>
                <w:color w:val="auto"/>
                <w:sz w:val="22"/>
                <w:szCs w:val="22"/>
                <w:lang w:val="en-GB" w:eastAsia="en-GB"/>
              </w:rPr>
              <w:tab/>
            </w:r>
            <w:r w:rsidR="009C66F7" w:rsidRPr="00E13A48">
              <w:rPr>
                <w:rStyle w:val="Hyperlink"/>
                <w:noProof/>
              </w:rPr>
              <w:t>Stakeholder mapping</w:t>
            </w:r>
            <w:r w:rsidR="009C66F7">
              <w:rPr>
                <w:noProof/>
                <w:webHidden/>
              </w:rPr>
              <w:tab/>
            </w:r>
            <w:r w:rsidR="009C66F7">
              <w:rPr>
                <w:noProof/>
                <w:webHidden/>
              </w:rPr>
              <w:fldChar w:fldCharType="begin"/>
            </w:r>
            <w:r w:rsidR="009C66F7">
              <w:rPr>
                <w:noProof/>
                <w:webHidden/>
              </w:rPr>
              <w:instrText xml:space="preserve"> PAGEREF _Toc85627871 \h </w:instrText>
            </w:r>
            <w:r w:rsidR="009C66F7">
              <w:rPr>
                <w:noProof/>
                <w:webHidden/>
              </w:rPr>
            </w:r>
            <w:r w:rsidR="009C66F7">
              <w:rPr>
                <w:noProof/>
                <w:webHidden/>
              </w:rPr>
              <w:fldChar w:fldCharType="separate"/>
            </w:r>
            <w:r>
              <w:rPr>
                <w:noProof/>
                <w:webHidden/>
              </w:rPr>
              <w:t>29</w:t>
            </w:r>
            <w:r w:rsidR="009C66F7">
              <w:rPr>
                <w:noProof/>
                <w:webHidden/>
              </w:rPr>
              <w:fldChar w:fldCharType="end"/>
            </w:r>
          </w:hyperlink>
        </w:p>
        <w:p w14:paraId="1479D060" w14:textId="40C47B9D" w:rsidR="009C66F7" w:rsidRDefault="008027AE" w:rsidP="009C66F7">
          <w:pPr>
            <w:pStyle w:val="TOC3"/>
            <w:tabs>
              <w:tab w:val="left" w:pos="1100"/>
              <w:tab w:val="right" w:leader="dot" w:pos="9628"/>
            </w:tabs>
            <w:spacing w:after="0"/>
            <w:rPr>
              <w:rFonts w:asciiTheme="minorHAnsi" w:eastAsiaTheme="minorEastAsia" w:hAnsiTheme="minorHAnsi" w:cstheme="minorBidi"/>
              <w:noProof/>
              <w:color w:val="auto"/>
              <w:sz w:val="22"/>
              <w:szCs w:val="22"/>
              <w:lang w:val="en-GB" w:eastAsia="en-GB"/>
            </w:rPr>
          </w:pPr>
          <w:hyperlink w:anchor="_Toc85627872" w:history="1">
            <w:r w:rsidR="009C66F7" w:rsidRPr="00E13A48">
              <w:rPr>
                <w:rStyle w:val="Hyperlink"/>
                <w:noProof/>
              </w:rPr>
              <w:t>4.1.1</w:t>
            </w:r>
            <w:r w:rsidR="009C66F7">
              <w:rPr>
                <w:rFonts w:asciiTheme="minorHAnsi" w:eastAsiaTheme="minorEastAsia" w:hAnsiTheme="minorHAnsi" w:cstheme="minorBidi"/>
                <w:noProof/>
                <w:color w:val="auto"/>
                <w:sz w:val="22"/>
                <w:szCs w:val="22"/>
                <w:lang w:val="en-GB" w:eastAsia="en-GB"/>
              </w:rPr>
              <w:tab/>
            </w:r>
            <w:r w:rsidR="009C66F7" w:rsidRPr="00E13A48">
              <w:rPr>
                <w:rStyle w:val="Hyperlink"/>
                <w:rFonts w:eastAsia="Calibri"/>
                <w:noProof/>
              </w:rPr>
              <w:t>Feedstock Providers</w:t>
            </w:r>
            <w:r w:rsidR="009C66F7">
              <w:rPr>
                <w:noProof/>
                <w:webHidden/>
              </w:rPr>
              <w:tab/>
            </w:r>
            <w:r w:rsidR="009C66F7">
              <w:rPr>
                <w:noProof/>
                <w:webHidden/>
              </w:rPr>
              <w:fldChar w:fldCharType="begin"/>
            </w:r>
            <w:r w:rsidR="009C66F7">
              <w:rPr>
                <w:noProof/>
                <w:webHidden/>
              </w:rPr>
              <w:instrText xml:space="preserve"> PAGEREF _Toc85627872 \h </w:instrText>
            </w:r>
            <w:r w:rsidR="009C66F7">
              <w:rPr>
                <w:noProof/>
                <w:webHidden/>
              </w:rPr>
            </w:r>
            <w:r w:rsidR="009C66F7">
              <w:rPr>
                <w:noProof/>
                <w:webHidden/>
              </w:rPr>
              <w:fldChar w:fldCharType="separate"/>
            </w:r>
            <w:r>
              <w:rPr>
                <w:noProof/>
                <w:webHidden/>
              </w:rPr>
              <w:t>29</w:t>
            </w:r>
            <w:r w:rsidR="009C66F7">
              <w:rPr>
                <w:noProof/>
                <w:webHidden/>
              </w:rPr>
              <w:fldChar w:fldCharType="end"/>
            </w:r>
          </w:hyperlink>
        </w:p>
        <w:p w14:paraId="203BC1C7" w14:textId="0B9377BB" w:rsidR="009C66F7" w:rsidRDefault="008027AE" w:rsidP="009C66F7">
          <w:pPr>
            <w:pStyle w:val="TOC3"/>
            <w:tabs>
              <w:tab w:val="left" w:pos="1100"/>
              <w:tab w:val="right" w:leader="dot" w:pos="9628"/>
            </w:tabs>
            <w:spacing w:after="0"/>
            <w:rPr>
              <w:rFonts w:asciiTheme="minorHAnsi" w:eastAsiaTheme="minorEastAsia" w:hAnsiTheme="minorHAnsi" w:cstheme="minorBidi"/>
              <w:noProof/>
              <w:color w:val="auto"/>
              <w:sz w:val="22"/>
              <w:szCs w:val="22"/>
              <w:lang w:val="en-GB" w:eastAsia="en-GB"/>
            </w:rPr>
          </w:pPr>
          <w:hyperlink w:anchor="_Toc85627873" w:history="1">
            <w:r w:rsidR="009C66F7" w:rsidRPr="00E13A48">
              <w:rPr>
                <w:rStyle w:val="Hyperlink"/>
                <w:noProof/>
              </w:rPr>
              <w:t>4.1.2</w:t>
            </w:r>
            <w:r w:rsidR="009C66F7">
              <w:rPr>
                <w:rFonts w:asciiTheme="minorHAnsi" w:eastAsiaTheme="minorEastAsia" w:hAnsiTheme="minorHAnsi" w:cstheme="minorBidi"/>
                <w:noProof/>
                <w:color w:val="auto"/>
                <w:sz w:val="22"/>
                <w:szCs w:val="22"/>
                <w:lang w:val="en-GB" w:eastAsia="en-GB"/>
              </w:rPr>
              <w:tab/>
            </w:r>
            <w:r w:rsidR="009C66F7" w:rsidRPr="00E13A48">
              <w:rPr>
                <w:rStyle w:val="Hyperlink"/>
                <w:rFonts w:eastAsia="Calibri"/>
                <w:noProof/>
              </w:rPr>
              <w:t>Cellulose users</w:t>
            </w:r>
            <w:r w:rsidR="009C66F7">
              <w:rPr>
                <w:noProof/>
                <w:webHidden/>
              </w:rPr>
              <w:tab/>
            </w:r>
            <w:r w:rsidR="009C66F7">
              <w:rPr>
                <w:noProof/>
                <w:webHidden/>
              </w:rPr>
              <w:fldChar w:fldCharType="begin"/>
            </w:r>
            <w:r w:rsidR="009C66F7">
              <w:rPr>
                <w:noProof/>
                <w:webHidden/>
              </w:rPr>
              <w:instrText xml:space="preserve"> PAGEREF _Toc85627873 \h </w:instrText>
            </w:r>
            <w:r w:rsidR="009C66F7">
              <w:rPr>
                <w:noProof/>
                <w:webHidden/>
              </w:rPr>
            </w:r>
            <w:r w:rsidR="009C66F7">
              <w:rPr>
                <w:noProof/>
                <w:webHidden/>
              </w:rPr>
              <w:fldChar w:fldCharType="separate"/>
            </w:r>
            <w:r>
              <w:rPr>
                <w:noProof/>
                <w:webHidden/>
              </w:rPr>
              <w:t>30</w:t>
            </w:r>
            <w:r w:rsidR="009C66F7">
              <w:rPr>
                <w:noProof/>
                <w:webHidden/>
              </w:rPr>
              <w:fldChar w:fldCharType="end"/>
            </w:r>
          </w:hyperlink>
        </w:p>
        <w:p w14:paraId="2F85AD09" w14:textId="45377857" w:rsidR="009C66F7" w:rsidRDefault="008027AE" w:rsidP="009C66F7">
          <w:pPr>
            <w:pStyle w:val="TOC3"/>
            <w:tabs>
              <w:tab w:val="left" w:pos="1100"/>
              <w:tab w:val="right" w:leader="dot" w:pos="9628"/>
            </w:tabs>
            <w:spacing w:after="0"/>
            <w:rPr>
              <w:rFonts w:asciiTheme="minorHAnsi" w:eastAsiaTheme="minorEastAsia" w:hAnsiTheme="minorHAnsi" w:cstheme="minorBidi"/>
              <w:noProof/>
              <w:color w:val="auto"/>
              <w:sz w:val="22"/>
              <w:szCs w:val="22"/>
              <w:lang w:val="en-GB" w:eastAsia="en-GB"/>
            </w:rPr>
          </w:pPr>
          <w:hyperlink w:anchor="_Toc85627874" w:history="1">
            <w:r w:rsidR="009C66F7" w:rsidRPr="00E13A48">
              <w:rPr>
                <w:rStyle w:val="Hyperlink"/>
                <w:noProof/>
              </w:rPr>
              <w:t>4.1.3</w:t>
            </w:r>
            <w:r w:rsidR="009C66F7">
              <w:rPr>
                <w:rFonts w:asciiTheme="minorHAnsi" w:eastAsiaTheme="minorEastAsia" w:hAnsiTheme="minorHAnsi" w:cstheme="minorBidi"/>
                <w:noProof/>
                <w:color w:val="auto"/>
                <w:sz w:val="22"/>
                <w:szCs w:val="22"/>
                <w:lang w:val="en-GB" w:eastAsia="en-GB"/>
              </w:rPr>
              <w:tab/>
            </w:r>
            <w:r w:rsidR="009C66F7" w:rsidRPr="00E13A48">
              <w:rPr>
                <w:rStyle w:val="Hyperlink"/>
                <w:rFonts w:eastAsia="Calibri"/>
                <w:noProof/>
              </w:rPr>
              <w:t>Ship owners</w:t>
            </w:r>
            <w:r w:rsidR="009C66F7">
              <w:rPr>
                <w:noProof/>
                <w:webHidden/>
              </w:rPr>
              <w:tab/>
            </w:r>
            <w:r w:rsidR="009C66F7">
              <w:rPr>
                <w:noProof/>
                <w:webHidden/>
              </w:rPr>
              <w:fldChar w:fldCharType="begin"/>
            </w:r>
            <w:r w:rsidR="009C66F7">
              <w:rPr>
                <w:noProof/>
                <w:webHidden/>
              </w:rPr>
              <w:instrText xml:space="preserve"> PAGEREF _Toc85627874 \h </w:instrText>
            </w:r>
            <w:r w:rsidR="009C66F7">
              <w:rPr>
                <w:noProof/>
                <w:webHidden/>
              </w:rPr>
            </w:r>
            <w:r w:rsidR="009C66F7">
              <w:rPr>
                <w:noProof/>
                <w:webHidden/>
              </w:rPr>
              <w:fldChar w:fldCharType="separate"/>
            </w:r>
            <w:r>
              <w:rPr>
                <w:noProof/>
                <w:webHidden/>
              </w:rPr>
              <w:t>31</w:t>
            </w:r>
            <w:r w:rsidR="009C66F7">
              <w:rPr>
                <w:noProof/>
                <w:webHidden/>
              </w:rPr>
              <w:fldChar w:fldCharType="end"/>
            </w:r>
          </w:hyperlink>
        </w:p>
        <w:p w14:paraId="364BFF86" w14:textId="1E5CC199" w:rsidR="009C66F7" w:rsidRDefault="008027AE" w:rsidP="009C66F7">
          <w:pPr>
            <w:pStyle w:val="TOC1"/>
            <w:tabs>
              <w:tab w:val="left" w:pos="420"/>
              <w:tab w:val="right" w:leader="dot" w:pos="9628"/>
            </w:tabs>
            <w:spacing w:after="0"/>
            <w:rPr>
              <w:rFonts w:asciiTheme="minorHAnsi" w:eastAsiaTheme="minorEastAsia" w:hAnsiTheme="minorHAnsi" w:cstheme="minorBidi"/>
              <w:noProof/>
              <w:color w:val="auto"/>
              <w:sz w:val="22"/>
              <w:szCs w:val="22"/>
              <w:lang w:val="en-GB" w:eastAsia="en-GB"/>
            </w:rPr>
          </w:pPr>
          <w:hyperlink w:anchor="_Toc85627875" w:history="1">
            <w:r w:rsidR="009C66F7" w:rsidRPr="00E13A48">
              <w:rPr>
                <w:rStyle w:val="Hyperlink"/>
                <w:noProof/>
              </w:rPr>
              <w:t>5</w:t>
            </w:r>
            <w:r w:rsidR="009C66F7">
              <w:rPr>
                <w:rFonts w:asciiTheme="minorHAnsi" w:eastAsiaTheme="minorEastAsia" w:hAnsiTheme="minorHAnsi" w:cstheme="minorBidi"/>
                <w:noProof/>
                <w:color w:val="auto"/>
                <w:sz w:val="22"/>
                <w:szCs w:val="22"/>
                <w:lang w:val="en-GB" w:eastAsia="en-GB"/>
              </w:rPr>
              <w:tab/>
            </w:r>
            <w:r w:rsidR="009C66F7" w:rsidRPr="00E13A48">
              <w:rPr>
                <w:rStyle w:val="Hyperlink"/>
                <w:noProof/>
              </w:rPr>
              <w:t>Conclusions and Recommendations</w:t>
            </w:r>
            <w:r w:rsidR="009C66F7">
              <w:rPr>
                <w:noProof/>
                <w:webHidden/>
              </w:rPr>
              <w:tab/>
            </w:r>
            <w:r w:rsidR="009C66F7">
              <w:rPr>
                <w:noProof/>
                <w:webHidden/>
              </w:rPr>
              <w:fldChar w:fldCharType="begin"/>
            </w:r>
            <w:r w:rsidR="009C66F7">
              <w:rPr>
                <w:noProof/>
                <w:webHidden/>
              </w:rPr>
              <w:instrText xml:space="preserve"> PAGEREF _Toc85627875 \h </w:instrText>
            </w:r>
            <w:r w:rsidR="009C66F7">
              <w:rPr>
                <w:noProof/>
                <w:webHidden/>
              </w:rPr>
            </w:r>
            <w:r w:rsidR="009C66F7">
              <w:rPr>
                <w:noProof/>
                <w:webHidden/>
              </w:rPr>
              <w:fldChar w:fldCharType="separate"/>
            </w:r>
            <w:r>
              <w:rPr>
                <w:noProof/>
                <w:webHidden/>
              </w:rPr>
              <w:t>32</w:t>
            </w:r>
            <w:r w:rsidR="009C66F7">
              <w:rPr>
                <w:noProof/>
                <w:webHidden/>
              </w:rPr>
              <w:fldChar w:fldCharType="end"/>
            </w:r>
          </w:hyperlink>
        </w:p>
        <w:p w14:paraId="1C967593" w14:textId="1461B2A7" w:rsidR="009C66F7" w:rsidRDefault="008027AE" w:rsidP="009C66F7">
          <w:pPr>
            <w:pStyle w:val="TOC1"/>
            <w:tabs>
              <w:tab w:val="left" w:pos="420"/>
              <w:tab w:val="right" w:leader="dot" w:pos="9628"/>
            </w:tabs>
            <w:spacing w:after="0"/>
            <w:rPr>
              <w:rFonts w:asciiTheme="minorHAnsi" w:eastAsiaTheme="minorEastAsia" w:hAnsiTheme="minorHAnsi" w:cstheme="minorBidi"/>
              <w:noProof/>
              <w:color w:val="auto"/>
              <w:sz w:val="22"/>
              <w:szCs w:val="22"/>
              <w:lang w:val="en-GB" w:eastAsia="en-GB"/>
            </w:rPr>
          </w:pPr>
          <w:hyperlink w:anchor="_Toc85627876" w:history="1">
            <w:r w:rsidR="009C66F7" w:rsidRPr="00E13A48">
              <w:rPr>
                <w:rStyle w:val="Hyperlink"/>
                <w:noProof/>
              </w:rPr>
              <w:t>6</w:t>
            </w:r>
            <w:r w:rsidR="009C66F7">
              <w:rPr>
                <w:rFonts w:asciiTheme="minorHAnsi" w:eastAsiaTheme="minorEastAsia" w:hAnsiTheme="minorHAnsi" w:cstheme="minorBidi"/>
                <w:noProof/>
                <w:color w:val="auto"/>
                <w:sz w:val="22"/>
                <w:szCs w:val="22"/>
                <w:lang w:val="en-GB" w:eastAsia="en-GB"/>
              </w:rPr>
              <w:tab/>
            </w:r>
            <w:r w:rsidR="009C66F7" w:rsidRPr="00E13A48">
              <w:rPr>
                <w:rStyle w:val="Hyperlink"/>
                <w:noProof/>
              </w:rPr>
              <w:t>Risk Register</w:t>
            </w:r>
            <w:r w:rsidR="009C66F7">
              <w:rPr>
                <w:noProof/>
                <w:webHidden/>
              </w:rPr>
              <w:tab/>
            </w:r>
            <w:r w:rsidR="009C66F7">
              <w:rPr>
                <w:noProof/>
                <w:webHidden/>
              </w:rPr>
              <w:fldChar w:fldCharType="begin"/>
            </w:r>
            <w:r w:rsidR="009C66F7">
              <w:rPr>
                <w:noProof/>
                <w:webHidden/>
              </w:rPr>
              <w:instrText xml:space="preserve"> PAGEREF _Toc85627876 \h </w:instrText>
            </w:r>
            <w:r w:rsidR="009C66F7">
              <w:rPr>
                <w:noProof/>
                <w:webHidden/>
              </w:rPr>
            </w:r>
            <w:r w:rsidR="009C66F7">
              <w:rPr>
                <w:noProof/>
                <w:webHidden/>
              </w:rPr>
              <w:fldChar w:fldCharType="separate"/>
            </w:r>
            <w:r>
              <w:rPr>
                <w:noProof/>
                <w:webHidden/>
              </w:rPr>
              <w:t>34</w:t>
            </w:r>
            <w:r w:rsidR="009C66F7">
              <w:rPr>
                <w:noProof/>
                <w:webHidden/>
              </w:rPr>
              <w:fldChar w:fldCharType="end"/>
            </w:r>
          </w:hyperlink>
        </w:p>
        <w:p w14:paraId="53293D3A" w14:textId="04810314" w:rsidR="009C66F7" w:rsidRDefault="008027AE" w:rsidP="009C66F7">
          <w:pPr>
            <w:pStyle w:val="TOC1"/>
            <w:tabs>
              <w:tab w:val="left" w:pos="420"/>
              <w:tab w:val="right" w:leader="dot" w:pos="9628"/>
            </w:tabs>
            <w:spacing w:after="0"/>
            <w:rPr>
              <w:rFonts w:asciiTheme="minorHAnsi" w:eastAsiaTheme="minorEastAsia" w:hAnsiTheme="minorHAnsi" w:cstheme="minorBidi"/>
              <w:noProof/>
              <w:color w:val="auto"/>
              <w:sz w:val="22"/>
              <w:szCs w:val="22"/>
              <w:lang w:val="en-GB" w:eastAsia="en-GB"/>
            </w:rPr>
          </w:pPr>
          <w:hyperlink w:anchor="_Toc85627877" w:history="1">
            <w:r w:rsidR="009C66F7" w:rsidRPr="00E13A48">
              <w:rPr>
                <w:rStyle w:val="Hyperlink"/>
                <w:noProof/>
              </w:rPr>
              <w:t>7</w:t>
            </w:r>
            <w:r w:rsidR="009C66F7">
              <w:rPr>
                <w:rFonts w:asciiTheme="minorHAnsi" w:eastAsiaTheme="minorEastAsia" w:hAnsiTheme="minorHAnsi" w:cstheme="minorBidi"/>
                <w:noProof/>
                <w:color w:val="auto"/>
                <w:sz w:val="22"/>
                <w:szCs w:val="22"/>
                <w:lang w:val="en-GB" w:eastAsia="en-GB"/>
              </w:rPr>
              <w:tab/>
            </w:r>
            <w:r w:rsidR="009C66F7" w:rsidRPr="00E13A48">
              <w:rPr>
                <w:rStyle w:val="Hyperlink"/>
                <w:noProof/>
              </w:rPr>
              <w:t>References</w:t>
            </w:r>
            <w:r w:rsidR="009C66F7">
              <w:rPr>
                <w:noProof/>
                <w:webHidden/>
              </w:rPr>
              <w:tab/>
            </w:r>
            <w:r w:rsidR="009C66F7">
              <w:rPr>
                <w:noProof/>
                <w:webHidden/>
              </w:rPr>
              <w:fldChar w:fldCharType="begin"/>
            </w:r>
            <w:r w:rsidR="009C66F7">
              <w:rPr>
                <w:noProof/>
                <w:webHidden/>
              </w:rPr>
              <w:instrText xml:space="preserve"> PAGEREF _Toc85627877 \h </w:instrText>
            </w:r>
            <w:r w:rsidR="009C66F7">
              <w:rPr>
                <w:noProof/>
                <w:webHidden/>
              </w:rPr>
            </w:r>
            <w:r w:rsidR="009C66F7">
              <w:rPr>
                <w:noProof/>
                <w:webHidden/>
              </w:rPr>
              <w:fldChar w:fldCharType="separate"/>
            </w:r>
            <w:r>
              <w:rPr>
                <w:noProof/>
                <w:webHidden/>
              </w:rPr>
              <w:t>35</w:t>
            </w:r>
            <w:r w:rsidR="009C66F7">
              <w:rPr>
                <w:noProof/>
                <w:webHidden/>
              </w:rPr>
              <w:fldChar w:fldCharType="end"/>
            </w:r>
          </w:hyperlink>
        </w:p>
        <w:p w14:paraId="701EB614" w14:textId="4855B780" w:rsidR="009C66F7" w:rsidRDefault="008027AE" w:rsidP="009C66F7">
          <w:pPr>
            <w:pStyle w:val="TOC1"/>
            <w:tabs>
              <w:tab w:val="right" w:leader="dot" w:pos="9628"/>
            </w:tabs>
            <w:spacing w:after="0"/>
            <w:rPr>
              <w:rFonts w:asciiTheme="minorHAnsi" w:eastAsiaTheme="minorEastAsia" w:hAnsiTheme="minorHAnsi" w:cstheme="minorBidi"/>
              <w:noProof/>
              <w:color w:val="auto"/>
              <w:sz w:val="22"/>
              <w:szCs w:val="22"/>
              <w:lang w:val="en-GB" w:eastAsia="en-GB"/>
            </w:rPr>
          </w:pPr>
          <w:hyperlink w:anchor="_Toc85627878" w:history="1">
            <w:r w:rsidR="009C66F7" w:rsidRPr="00E13A48">
              <w:rPr>
                <w:rStyle w:val="Hyperlink"/>
                <w:noProof/>
              </w:rPr>
              <w:t>Acknowledgement</w:t>
            </w:r>
            <w:r w:rsidR="009C66F7">
              <w:rPr>
                <w:noProof/>
                <w:webHidden/>
              </w:rPr>
              <w:tab/>
            </w:r>
            <w:r w:rsidR="009C66F7">
              <w:rPr>
                <w:noProof/>
                <w:webHidden/>
              </w:rPr>
              <w:fldChar w:fldCharType="begin"/>
            </w:r>
            <w:r w:rsidR="009C66F7">
              <w:rPr>
                <w:noProof/>
                <w:webHidden/>
              </w:rPr>
              <w:instrText xml:space="preserve"> PAGEREF _Toc85627878 \h </w:instrText>
            </w:r>
            <w:r w:rsidR="009C66F7">
              <w:rPr>
                <w:noProof/>
                <w:webHidden/>
              </w:rPr>
            </w:r>
            <w:r w:rsidR="009C66F7">
              <w:rPr>
                <w:noProof/>
                <w:webHidden/>
              </w:rPr>
              <w:fldChar w:fldCharType="separate"/>
            </w:r>
            <w:r>
              <w:rPr>
                <w:noProof/>
                <w:webHidden/>
              </w:rPr>
              <w:t>37</w:t>
            </w:r>
            <w:r w:rsidR="009C66F7">
              <w:rPr>
                <w:noProof/>
                <w:webHidden/>
              </w:rPr>
              <w:fldChar w:fldCharType="end"/>
            </w:r>
          </w:hyperlink>
        </w:p>
        <w:p w14:paraId="6D8DEB35" w14:textId="653C1F90" w:rsidR="004C14E2" w:rsidRPr="0045629F" w:rsidRDefault="00AF6EDB">
          <w:pPr>
            <w:rPr>
              <w:b/>
              <w:bCs/>
              <w:noProof/>
              <w:lang w:val="en-GB"/>
            </w:rPr>
          </w:pPr>
          <w:r w:rsidRPr="0045629F">
            <w:rPr>
              <w:b/>
              <w:bCs/>
              <w:noProof/>
              <w:lang w:val="en-GB"/>
            </w:rPr>
            <w:fldChar w:fldCharType="end"/>
          </w:r>
        </w:p>
      </w:sdtContent>
    </w:sdt>
    <w:p w14:paraId="6BA1E708" w14:textId="77777777" w:rsidR="00EC0977" w:rsidRPr="00EC0977" w:rsidRDefault="00EC0977" w:rsidP="00EC0977">
      <w:pPr>
        <w:rPr>
          <w:b/>
          <w:color w:val="002244" w:themeColor="accent1"/>
          <w:sz w:val="28"/>
          <w:szCs w:val="28"/>
          <w:lang w:val="en-GB"/>
        </w:rPr>
      </w:pPr>
      <w:r w:rsidRPr="00EC0977">
        <w:rPr>
          <w:b/>
          <w:color w:val="002244" w:themeColor="accent1"/>
          <w:sz w:val="28"/>
          <w:szCs w:val="28"/>
          <w:lang w:val="en-GB"/>
        </w:rPr>
        <w:t>Table of Figures</w:t>
      </w:r>
    </w:p>
    <w:p w14:paraId="00D75410" w14:textId="28985FC9" w:rsidR="009C66F7" w:rsidRDefault="00916415">
      <w:pPr>
        <w:pStyle w:val="TableofFigures"/>
        <w:tabs>
          <w:tab w:val="right" w:leader="dot" w:pos="9628"/>
        </w:tabs>
        <w:rPr>
          <w:rFonts w:asciiTheme="minorHAnsi" w:eastAsiaTheme="minorEastAsia" w:hAnsiTheme="minorHAnsi" w:cstheme="minorBidi"/>
          <w:noProof/>
          <w:color w:val="auto"/>
          <w:sz w:val="22"/>
          <w:szCs w:val="22"/>
          <w:lang w:val="en-GB" w:eastAsia="en-GB"/>
        </w:rPr>
      </w:pPr>
      <w:r>
        <w:rPr>
          <w:rFonts w:asciiTheme="minorHAnsi" w:eastAsiaTheme="majorEastAsia" w:hAnsiTheme="minorHAnsi" w:cstheme="majorBidi"/>
          <w:b/>
          <w:sz w:val="22"/>
          <w:szCs w:val="22"/>
          <w:lang w:val="en-GB"/>
        </w:rPr>
        <w:fldChar w:fldCharType="begin"/>
      </w:r>
      <w:r>
        <w:rPr>
          <w:rFonts w:asciiTheme="minorHAnsi" w:eastAsiaTheme="majorEastAsia" w:hAnsiTheme="minorHAnsi" w:cstheme="majorBidi"/>
          <w:b/>
          <w:sz w:val="22"/>
          <w:szCs w:val="22"/>
          <w:lang w:val="en-GB"/>
        </w:rPr>
        <w:instrText xml:space="preserve"> TOC \h \z \c "Figure" </w:instrText>
      </w:r>
      <w:r>
        <w:rPr>
          <w:rFonts w:asciiTheme="minorHAnsi" w:eastAsiaTheme="majorEastAsia" w:hAnsiTheme="minorHAnsi" w:cstheme="majorBidi"/>
          <w:b/>
          <w:sz w:val="22"/>
          <w:szCs w:val="22"/>
          <w:lang w:val="en-GB"/>
        </w:rPr>
        <w:fldChar w:fldCharType="separate"/>
      </w:r>
      <w:hyperlink w:anchor="_Toc85627879" w:history="1">
        <w:r w:rsidR="009C66F7" w:rsidRPr="00FD0AA8">
          <w:rPr>
            <w:rStyle w:val="Hyperlink"/>
            <w:noProof/>
          </w:rPr>
          <w:t>Figure 1. Emission control areas (ECA) ( Source: DND GL).</w:t>
        </w:r>
        <w:r w:rsidR="009C66F7">
          <w:rPr>
            <w:noProof/>
            <w:webHidden/>
          </w:rPr>
          <w:tab/>
        </w:r>
        <w:r w:rsidR="009C66F7">
          <w:rPr>
            <w:noProof/>
            <w:webHidden/>
          </w:rPr>
          <w:fldChar w:fldCharType="begin"/>
        </w:r>
        <w:r w:rsidR="009C66F7">
          <w:rPr>
            <w:noProof/>
            <w:webHidden/>
          </w:rPr>
          <w:instrText xml:space="preserve"> PAGEREF _Toc85627879 \h </w:instrText>
        </w:r>
        <w:r w:rsidR="009C66F7">
          <w:rPr>
            <w:noProof/>
            <w:webHidden/>
          </w:rPr>
        </w:r>
        <w:r w:rsidR="009C66F7">
          <w:rPr>
            <w:noProof/>
            <w:webHidden/>
          </w:rPr>
          <w:fldChar w:fldCharType="separate"/>
        </w:r>
        <w:r w:rsidR="008027AE">
          <w:rPr>
            <w:noProof/>
            <w:webHidden/>
          </w:rPr>
          <w:t>10</w:t>
        </w:r>
        <w:r w:rsidR="009C66F7">
          <w:rPr>
            <w:noProof/>
            <w:webHidden/>
          </w:rPr>
          <w:fldChar w:fldCharType="end"/>
        </w:r>
      </w:hyperlink>
    </w:p>
    <w:p w14:paraId="5FC0A262" w14:textId="149CAF6E" w:rsidR="009C66F7" w:rsidRDefault="008027AE">
      <w:pPr>
        <w:pStyle w:val="TableofFigures"/>
        <w:tabs>
          <w:tab w:val="right" w:leader="dot" w:pos="9628"/>
        </w:tabs>
        <w:rPr>
          <w:rFonts w:asciiTheme="minorHAnsi" w:eastAsiaTheme="minorEastAsia" w:hAnsiTheme="minorHAnsi" w:cstheme="minorBidi"/>
          <w:noProof/>
          <w:color w:val="auto"/>
          <w:sz w:val="22"/>
          <w:szCs w:val="22"/>
          <w:lang w:val="en-GB" w:eastAsia="en-GB"/>
        </w:rPr>
      </w:pPr>
      <w:hyperlink w:anchor="_Toc85627880" w:history="1">
        <w:r w:rsidR="009C66F7" w:rsidRPr="00FD0AA8">
          <w:rPr>
            <w:rStyle w:val="Hyperlink"/>
            <w:noProof/>
          </w:rPr>
          <w:t>Figure 2. Port of Rotterdam Bunker Sales 2018-2021 (source: Port of Rotterdam, 2021)</w:t>
        </w:r>
        <w:r w:rsidR="009C66F7">
          <w:rPr>
            <w:noProof/>
            <w:webHidden/>
          </w:rPr>
          <w:tab/>
        </w:r>
        <w:r w:rsidR="009C66F7">
          <w:rPr>
            <w:noProof/>
            <w:webHidden/>
          </w:rPr>
          <w:fldChar w:fldCharType="begin"/>
        </w:r>
        <w:r w:rsidR="009C66F7">
          <w:rPr>
            <w:noProof/>
            <w:webHidden/>
          </w:rPr>
          <w:instrText xml:space="preserve"> PAGEREF _Toc85627880 \h </w:instrText>
        </w:r>
        <w:r w:rsidR="009C66F7">
          <w:rPr>
            <w:noProof/>
            <w:webHidden/>
          </w:rPr>
        </w:r>
        <w:r w:rsidR="009C66F7">
          <w:rPr>
            <w:noProof/>
            <w:webHidden/>
          </w:rPr>
          <w:fldChar w:fldCharType="separate"/>
        </w:r>
        <w:r>
          <w:rPr>
            <w:noProof/>
            <w:webHidden/>
          </w:rPr>
          <w:t>15</w:t>
        </w:r>
        <w:r w:rsidR="009C66F7">
          <w:rPr>
            <w:noProof/>
            <w:webHidden/>
          </w:rPr>
          <w:fldChar w:fldCharType="end"/>
        </w:r>
      </w:hyperlink>
    </w:p>
    <w:p w14:paraId="7C2268C2" w14:textId="3A0370AB" w:rsidR="009C66F7" w:rsidRDefault="008027AE">
      <w:pPr>
        <w:pStyle w:val="TableofFigures"/>
        <w:tabs>
          <w:tab w:val="right" w:leader="dot" w:pos="9628"/>
        </w:tabs>
        <w:rPr>
          <w:rFonts w:asciiTheme="minorHAnsi" w:eastAsiaTheme="minorEastAsia" w:hAnsiTheme="minorHAnsi" w:cstheme="minorBidi"/>
          <w:noProof/>
          <w:color w:val="auto"/>
          <w:sz w:val="22"/>
          <w:szCs w:val="22"/>
          <w:lang w:val="en-GB" w:eastAsia="en-GB"/>
        </w:rPr>
      </w:pPr>
      <w:hyperlink w:anchor="_Toc85627881" w:history="1">
        <w:r w:rsidR="009C66F7" w:rsidRPr="00FD0AA8">
          <w:rPr>
            <w:rStyle w:val="Hyperlink"/>
            <w:noProof/>
          </w:rPr>
          <w:t>Figure 3. Energy density of several fuels considering tank weights and the low heating value (source: The Royal Society 2019) *LNG value will be similar to LPG</w:t>
        </w:r>
        <w:r w:rsidR="009C66F7">
          <w:rPr>
            <w:noProof/>
            <w:webHidden/>
          </w:rPr>
          <w:tab/>
        </w:r>
        <w:r w:rsidR="009C66F7">
          <w:rPr>
            <w:noProof/>
            <w:webHidden/>
          </w:rPr>
          <w:fldChar w:fldCharType="begin"/>
        </w:r>
        <w:r w:rsidR="009C66F7">
          <w:rPr>
            <w:noProof/>
            <w:webHidden/>
          </w:rPr>
          <w:instrText xml:space="preserve"> PAGEREF _Toc85627881 \h </w:instrText>
        </w:r>
        <w:r w:rsidR="009C66F7">
          <w:rPr>
            <w:noProof/>
            <w:webHidden/>
          </w:rPr>
        </w:r>
        <w:r w:rsidR="009C66F7">
          <w:rPr>
            <w:noProof/>
            <w:webHidden/>
          </w:rPr>
          <w:fldChar w:fldCharType="separate"/>
        </w:r>
        <w:r>
          <w:rPr>
            <w:noProof/>
            <w:webHidden/>
          </w:rPr>
          <w:t>16</w:t>
        </w:r>
        <w:r w:rsidR="009C66F7">
          <w:rPr>
            <w:noProof/>
            <w:webHidden/>
          </w:rPr>
          <w:fldChar w:fldCharType="end"/>
        </w:r>
      </w:hyperlink>
    </w:p>
    <w:p w14:paraId="4F19DA01" w14:textId="50B8FFC0" w:rsidR="009C66F7" w:rsidRDefault="008027AE">
      <w:pPr>
        <w:pStyle w:val="TableofFigures"/>
        <w:tabs>
          <w:tab w:val="right" w:leader="dot" w:pos="9628"/>
        </w:tabs>
        <w:rPr>
          <w:rFonts w:asciiTheme="minorHAnsi" w:eastAsiaTheme="minorEastAsia" w:hAnsiTheme="minorHAnsi" w:cstheme="minorBidi"/>
          <w:noProof/>
          <w:color w:val="auto"/>
          <w:sz w:val="22"/>
          <w:szCs w:val="22"/>
          <w:lang w:val="en-GB" w:eastAsia="en-GB"/>
        </w:rPr>
      </w:pPr>
      <w:hyperlink w:anchor="_Toc85627882" w:history="1">
        <w:r w:rsidR="009C66F7" w:rsidRPr="00FD0AA8">
          <w:rPr>
            <w:rStyle w:val="Hyperlink"/>
            <w:noProof/>
          </w:rPr>
          <w:t>Figure 4. Overall flowchart for biofuel production starting from different feedstocks (source: IEA Bioenergy 2017).</w:t>
        </w:r>
        <w:r w:rsidR="009C66F7">
          <w:rPr>
            <w:noProof/>
            <w:webHidden/>
          </w:rPr>
          <w:tab/>
        </w:r>
        <w:r w:rsidR="009C66F7">
          <w:rPr>
            <w:noProof/>
            <w:webHidden/>
          </w:rPr>
          <w:fldChar w:fldCharType="begin"/>
        </w:r>
        <w:r w:rsidR="009C66F7">
          <w:rPr>
            <w:noProof/>
            <w:webHidden/>
          </w:rPr>
          <w:instrText xml:space="preserve"> PAGEREF _Toc85627882 \h </w:instrText>
        </w:r>
        <w:r w:rsidR="009C66F7">
          <w:rPr>
            <w:noProof/>
            <w:webHidden/>
          </w:rPr>
        </w:r>
        <w:r w:rsidR="009C66F7">
          <w:rPr>
            <w:noProof/>
            <w:webHidden/>
          </w:rPr>
          <w:fldChar w:fldCharType="separate"/>
        </w:r>
        <w:r>
          <w:rPr>
            <w:noProof/>
            <w:webHidden/>
          </w:rPr>
          <w:t>21</w:t>
        </w:r>
        <w:r w:rsidR="009C66F7">
          <w:rPr>
            <w:noProof/>
            <w:webHidden/>
          </w:rPr>
          <w:fldChar w:fldCharType="end"/>
        </w:r>
      </w:hyperlink>
    </w:p>
    <w:p w14:paraId="2DCD3833" w14:textId="5F1458DE" w:rsidR="009C66F7" w:rsidRDefault="008027AE">
      <w:pPr>
        <w:pStyle w:val="TableofFigures"/>
        <w:tabs>
          <w:tab w:val="right" w:leader="dot" w:pos="9628"/>
        </w:tabs>
        <w:rPr>
          <w:rFonts w:asciiTheme="minorHAnsi" w:eastAsiaTheme="minorEastAsia" w:hAnsiTheme="minorHAnsi" w:cstheme="minorBidi"/>
          <w:noProof/>
          <w:color w:val="auto"/>
          <w:sz w:val="22"/>
          <w:szCs w:val="22"/>
          <w:lang w:val="en-GB" w:eastAsia="en-GB"/>
        </w:rPr>
      </w:pPr>
      <w:hyperlink w:anchor="_Toc85627883" w:history="1">
        <w:r w:rsidR="009C66F7" w:rsidRPr="00FD0AA8">
          <w:rPr>
            <w:rStyle w:val="Hyperlink"/>
            <w:noProof/>
          </w:rPr>
          <w:t>Figure 5. Emission profile for different fuels considering production background emissions (adapted from Balcombe 2018)</w:t>
        </w:r>
        <w:r w:rsidR="009C66F7">
          <w:rPr>
            <w:noProof/>
            <w:webHidden/>
          </w:rPr>
          <w:tab/>
        </w:r>
        <w:r w:rsidR="009C66F7">
          <w:rPr>
            <w:noProof/>
            <w:webHidden/>
          </w:rPr>
          <w:fldChar w:fldCharType="begin"/>
        </w:r>
        <w:r w:rsidR="009C66F7">
          <w:rPr>
            <w:noProof/>
            <w:webHidden/>
          </w:rPr>
          <w:instrText xml:space="preserve"> PAGEREF _Toc85627883 \h </w:instrText>
        </w:r>
        <w:r w:rsidR="009C66F7">
          <w:rPr>
            <w:noProof/>
            <w:webHidden/>
          </w:rPr>
        </w:r>
        <w:r w:rsidR="009C66F7">
          <w:rPr>
            <w:noProof/>
            <w:webHidden/>
          </w:rPr>
          <w:fldChar w:fldCharType="separate"/>
        </w:r>
        <w:r>
          <w:rPr>
            <w:noProof/>
            <w:webHidden/>
          </w:rPr>
          <w:t>22</w:t>
        </w:r>
        <w:r w:rsidR="009C66F7">
          <w:rPr>
            <w:noProof/>
            <w:webHidden/>
          </w:rPr>
          <w:fldChar w:fldCharType="end"/>
        </w:r>
      </w:hyperlink>
    </w:p>
    <w:p w14:paraId="34F1BC38" w14:textId="2B111F5F" w:rsidR="009C66F7" w:rsidRDefault="008027AE">
      <w:pPr>
        <w:pStyle w:val="TableofFigures"/>
        <w:tabs>
          <w:tab w:val="right" w:leader="dot" w:pos="9628"/>
        </w:tabs>
        <w:rPr>
          <w:rFonts w:asciiTheme="minorHAnsi" w:eastAsiaTheme="minorEastAsia" w:hAnsiTheme="minorHAnsi" w:cstheme="minorBidi"/>
          <w:noProof/>
          <w:color w:val="auto"/>
          <w:sz w:val="22"/>
          <w:szCs w:val="22"/>
          <w:lang w:val="en-GB" w:eastAsia="en-GB"/>
        </w:rPr>
      </w:pPr>
      <w:hyperlink w:anchor="_Toc85627884" w:history="1">
        <w:r w:rsidR="009C66F7" w:rsidRPr="00FD0AA8">
          <w:rPr>
            <w:rStyle w:val="Hyperlink"/>
            <w:noProof/>
          </w:rPr>
          <w:t>Figure 6. Public consultation: How likely is the uptake of renewable fuels in the marine sector without specific policy intervention? (Source: European Commission Proposal 2021 – Amending Directive 2009/16/EC)</w:t>
        </w:r>
        <w:r w:rsidR="009C66F7">
          <w:rPr>
            <w:noProof/>
            <w:webHidden/>
          </w:rPr>
          <w:tab/>
        </w:r>
        <w:r w:rsidR="009C66F7">
          <w:rPr>
            <w:noProof/>
            <w:webHidden/>
          </w:rPr>
          <w:fldChar w:fldCharType="begin"/>
        </w:r>
        <w:r w:rsidR="009C66F7">
          <w:rPr>
            <w:noProof/>
            <w:webHidden/>
          </w:rPr>
          <w:instrText xml:space="preserve"> PAGEREF _Toc85627884 \h </w:instrText>
        </w:r>
        <w:r w:rsidR="009C66F7">
          <w:rPr>
            <w:noProof/>
            <w:webHidden/>
          </w:rPr>
        </w:r>
        <w:r w:rsidR="009C66F7">
          <w:rPr>
            <w:noProof/>
            <w:webHidden/>
          </w:rPr>
          <w:fldChar w:fldCharType="separate"/>
        </w:r>
        <w:r>
          <w:rPr>
            <w:noProof/>
            <w:webHidden/>
          </w:rPr>
          <w:t>25</w:t>
        </w:r>
        <w:r w:rsidR="009C66F7">
          <w:rPr>
            <w:noProof/>
            <w:webHidden/>
          </w:rPr>
          <w:fldChar w:fldCharType="end"/>
        </w:r>
      </w:hyperlink>
    </w:p>
    <w:p w14:paraId="38CE72F5" w14:textId="0CB23894" w:rsidR="009C66F7" w:rsidRDefault="008027AE">
      <w:pPr>
        <w:pStyle w:val="TableofFigures"/>
        <w:tabs>
          <w:tab w:val="right" w:leader="dot" w:pos="9628"/>
        </w:tabs>
        <w:rPr>
          <w:rFonts w:asciiTheme="minorHAnsi" w:eastAsiaTheme="minorEastAsia" w:hAnsiTheme="minorHAnsi" w:cstheme="minorBidi"/>
          <w:noProof/>
          <w:color w:val="auto"/>
          <w:sz w:val="22"/>
          <w:szCs w:val="22"/>
          <w:lang w:val="en-GB" w:eastAsia="en-GB"/>
        </w:rPr>
      </w:pPr>
      <w:hyperlink w:anchor="_Toc85627885" w:history="1">
        <w:r w:rsidR="009C66F7" w:rsidRPr="00FD0AA8">
          <w:rPr>
            <w:rStyle w:val="Hyperlink"/>
            <w:noProof/>
          </w:rPr>
          <w:t>Figure 7. European Commission 2050 long-term scenarios for maritime fuel mix (source: Prussi et al., 2021)</w:t>
        </w:r>
        <w:r w:rsidR="009C66F7">
          <w:rPr>
            <w:noProof/>
            <w:webHidden/>
          </w:rPr>
          <w:tab/>
        </w:r>
        <w:r w:rsidR="009C66F7">
          <w:rPr>
            <w:noProof/>
            <w:webHidden/>
          </w:rPr>
          <w:fldChar w:fldCharType="begin"/>
        </w:r>
        <w:r w:rsidR="009C66F7">
          <w:rPr>
            <w:noProof/>
            <w:webHidden/>
          </w:rPr>
          <w:instrText xml:space="preserve"> PAGEREF _Toc85627885 \h </w:instrText>
        </w:r>
        <w:r w:rsidR="009C66F7">
          <w:rPr>
            <w:noProof/>
            <w:webHidden/>
          </w:rPr>
        </w:r>
        <w:r w:rsidR="009C66F7">
          <w:rPr>
            <w:noProof/>
            <w:webHidden/>
          </w:rPr>
          <w:fldChar w:fldCharType="separate"/>
        </w:r>
        <w:r>
          <w:rPr>
            <w:noProof/>
            <w:webHidden/>
          </w:rPr>
          <w:t>26</w:t>
        </w:r>
        <w:r w:rsidR="009C66F7">
          <w:rPr>
            <w:noProof/>
            <w:webHidden/>
          </w:rPr>
          <w:fldChar w:fldCharType="end"/>
        </w:r>
      </w:hyperlink>
    </w:p>
    <w:p w14:paraId="631CE6D6" w14:textId="7AE8E91A" w:rsidR="009C66F7" w:rsidRDefault="008027AE">
      <w:pPr>
        <w:pStyle w:val="TableofFigures"/>
        <w:tabs>
          <w:tab w:val="right" w:leader="dot" w:pos="9628"/>
        </w:tabs>
        <w:rPr>
          <w:rFonts w:asciiTheme="minorHAnsi" w:eastAsiaTheme="minorEastAsia" w:hAnsiTheme="minorHAnsi" w:cstheme="minorBidi"/>
          <w:noProof/>
          <w:color w:val="auto"/>
          <w:sz w:val="22"/>
          <w:szCs w:val="22"/>
          <w:lang w:val="en-GB" w:eastAsia="en-GB"/>
        </w:rPr>
      </w:pPr>
      <w:hyperlink w:anchor="_Toc85627886" w:history="1">
        <w:r w:rsidR="009C66F7" w:rsidRPr="00FD0AA8">
          <w:rPr>
            <w:rStyle w:val="Hyperlink"/>
            <w:noProof/>
          </w:rPr>
          <w:t>Figure 8.  Price record of FAME, RMG (IFO) 380, ULSFO and MGO (source: Platts, Ship and Bunker).</w:t>
        </w:r>
        <w:r w:rsidR="009C66F7">
          <w:rPr>
            <w:noProof/>
            <w:webHidden/>
          </w:rPr>
          <w:tab/>
        </w:r>
        <w:r w:rsidR="009C66F7">
          <w:rPr>
            <w:noProof/>
            <w:webHidden/>
          </w:rPr>
          <w:fldChar w:fldCharType="begin"/>
        </w:r>
        <w:r w:rsidR="009C66F7">
          <w:rPr>
            <w:noProof/>
            <w:webHidden/>
          </w:rPr>
          <w:instrText xml:space="preserve"> PAGEREF _Toc85627886 \h </w:instrText>
        </w:r>
        <w:r w:rsidR="009C66F7">
          <w:rPr>
            <w:noProof/>
            <w:webHidden/>
          </w:rPr>
        </w:r>
        <w:r w:rsidR="009C66F7">
          <w:rPr>
            <w:noProof/>
            <w:webHidden/>
          </w:rPr>
          <w:fldChar w:fldCharType="separate"/>
        </w:r>
        <w:r>
          <w:rPr>
            <w:noProof/>
            <w:webHidden/>
          </w:rPr>
          <w:t>27</w:t>
        </w:r>
        <w:r w:rsidR="009C66F7">
          <w:rPr>
            <w:noProof/>
            <w:webHidden/>
          </w:rPr>
          <w:fldChar w:fldCharType="end"/>
        </w:r>
      </w:hyperlink>
    </w:p>
    <w:p w14:paraId="71442182" w14:textId="66D084AB" w:rsidR="00710F7F" w:rsidRPr="00DC3405" w:rsidRDefault="00916415" w:rsidP="00710F7F">
      <w:pPr>
        <w:rPr>
          <w:sz w:val="22"/>
          <w:szCs w:val="22"/>
          <w:lang w:val="en-GB"/>
        </w:rPr>
      </w:pPr>
      <w:r>
        <w:rPr>
          <w:rFonts w:asciiTheme="minorHAnsi" w:eastAsiaTheme="majorEastAsia" w:hAnsiTheme="minorHAnsi" w:cstheme="majorBidi"/>
          <w:b/>
          <w:sz w:val="22"/>
          <w:szCs w:val="22"/>
          <w:lang w:val="en-GB"/>
        </w:rPr>
        <w:fldChar w:fldCharType="end"/>
      </w:r>
    </w:p>
    <w:p w14:paraId="71D78036" w14:textId="77777777" w:rsidR="004D4CE4" w:rsidRDefault="005202D0" w:rsidP="00EC0977">
      <w:pPr>
        <w:rPr>
          <w:b/>
          <w:color w:val="002244" w:themeColor="accent1"/>
          <w:sz w:val="28"/>
          <w:szCs w:val="28"/>
          <w:lang w:val="en-GB"/>
        </w:rPr>
      </w:pPr>
      <w:bookmarkStart w:id="2" w:name="_Toc42783544"/>
      <w:r>
        <w:rPr>
          <w:b/>
          <w:color w:val="002244" w:themeColor="accent1"/>
          <w:sz w:val="28"/>
          <w:szCs w:val="28"/>
          <w:lang w:val="en-GB"/>
        </w:rPr>
        <w:t xml:space="preserve">List of </w:t>
      </w:r>
      <w:r w:rsidR="006B7DF1" w:rsidRPr="00EC0977">
        <w:rPr>
          <w:b/>
          <w:color w:val="002244" w:themeColor="accent1"/>
          <w:sz w:val="28"/>
          <w:szCs w:val="28"/>
          <w:lang w:val="en-GB"/>
        </w:rPr>
        <w:t>Tables</w:t>
      </w:r>
      <w:bookmarkEnd w:id="2"/>
    </w:p>
    <w:p w14:paraId="4F043ED7" w14:textId="3C5EE8BF" w:rsidR="009C66F7" w:rsidRDefault="006B7DF1">
      <w:pPr>
        <w:pStyle w:val="TableofFigures"/>
        <w:tabs>
          <w:tab w:val="right" w:leader="dot" w:pos="9628"/>
        </w:tabs>
        <w:rPr>
          <w:rFonts w:asciiTheme="minorHAnsi" w:eastAsiaTheme="minorEastAsia" w:hAnsiTheme="minorHAnsi" w:cstheme="minorBidi"/>
          <w:noProof/>
          <w:color w:val="auto"/>
          <w:sz w:val="22"/>
          <w:szCs w:val="22"/>
          <w:lang w:val="en-GB" w:eastAsia="en-GB"/>
        </w:rPr>
      </w:pPr>
      <w:r w:rsidRPr="00131E03">
        <w:rPr>
          <w:rStyle w:val="Heading1Char"/>
        </w:rPr>
        <w:fldChar w:fldCharType="begin"/>
      </w:r>
      <w:r w:rsidRPr="00131E03">
        <w:rPr>
          <w:rStyle w:val="Heading1Char"/>
        </w:rPr>
        <w:instrText xml:space="preserve"> TOC \h \z \c "Table" </w:instrText>
      </w:r>
      <w:r w:rsidRPr="00131E03">
        <w:rPr>
          <w:rStyle w:val="Heading1Char"/>
        </w:rPr>
        <w:fldChar w:fldCharType="separate"/>
      </w:r>
      <w:hyperlink w:anchor="_Toc85627887" w:history="1">
        <w:r w:rsidR="009C66F7" w:rsidRPr="00B13D11">
          <w:rPr>
            <w:rStyle w:val="Hyperlink"/>
            <w:noProof/>
          </w:rPr>
          <w:t>Table 1. Annex VI NO</w:t>
        </w:r>
        <w:r w:rsidR="009C66F7" w:rsidRPr="00B13D11">
          <w:rPr>
            <w:rStyle w:val="Hyperlink"/>
            <w:noProof/>
            <w:vertAlign w:val="subscript"/>
          </w:rPr>
          <w:t>x</w:t>
        </w:r>
        <w:r w:rsidR="009C66F7" w:rsidRPr="00B13D11">
          <w:rPr>
            <w:rStyle w:val="Hyperlink"/>
            <w:noProof/>
          </w:rPr>
          <w:t xml:space="preserve"> emissions limits by Tier</w:t>
        </w:r>
        <w:r w:rsidR="009C66F7">
          <w:rPr>
            <w:noProof/>
            <w:webHidden/>
          </w:rPr>
          <w:tab/>
        </w:r>
        <w:r w:rsidR="009C66F7">
          <w:rPr>
            <w:noProof/>
            <w:webHidden/>
          </w:rPr>
          <w:fldChar w:fldCharType="begin"/>
        </w:r>
        <w:r w:rsidR="009C66F7">
          <w:rPr>
            <w:noProof/>
            <w:webHidden/>
          </w:rPr>
          <w:instrText xml:space="preserve"> PAGEREF _Toc85627887 \h </w:instrText>
        </w:r>
        <w:r w:rsidR="009C66F7">
          <w:rPr>
            <w:noProof/>
            <w:webHidden/>
          </w:rPr>
        </w:r>
        <w:r w:rsidR="009C66F7">
          <w:rPr>
            <w:noProof/>
            <w:webHidden/>
          </w:rPr>
          <w:fldChar w:fldCharType="separate"/>
        </w:r>
        <w:r w:rsidR="008027AE">
          <w:rPr>
            <w:noProof/>
            <w:webHidden/>
          </w:rPr>
          <w:t>9</w:t>
        </w:r>
        <w:r w:rsidR="009C66F7">
          <w:rPr>
            <w:noProof/>
            <w:webHidden/>
          </w:rPr>
          <w:fldChar w:fldCharType="end"/>
        </w:r>
      </w:hyperlink>
    </w:p>
    <w:p w14:paraId="70EBA31C" w14:textId="2D36EA4B" w:rsidR="009C66F7" w:rsidRDefault="008027AE">
      <w:pPr>
        <w:pStyle w:val="TableofFigures"/>
        <w:tabs>
          <w:tab w:val="right" w:leader="dot" w:pos="9628"/>
        </w:tabs>
        <w:rPr>
          <w:rFonts w:asciiTheme="minorHAnsi" w:eastAsiaTheme="minorEastAsia" w:hAnsiTheme="minorHAnsi" w:cstheme="minorBidi"/>
          <w:noProof/>
          <w:color w:val="auto"/>
          <w:sz w:val="22"/>
          <w:szCs w:val="22"/>
          <w:lang w:val="en-GB" w:eastAsia="en-GB"/>
        </w:rPr>
      </w:pPr>
      <w:hyperlink w:anchor="_Toc85627888" w:history="1">
        <w:r w:rsidR="009C66F7" w:rsidRPr="00B13D11">
          <w:rPr>
            <w:rStyle w:val="Hyperlink"/>
            <w:noProof/>
          </w:rPr>
          <w:t>Table 2. Marine gas oil (MGO) and marine diesel oil (MDO) specifications.</w:t>
        </w:r>
        <w:r w:rsidR="009C66F7">
          <w:rPr>
            <w:noProof/>
            <w:webHidden/>
          </w:rPr>
          <w:tab/>
        </w:r>
        <w:r w:rsidR="009C66F7">
          <w:rPr>
            <w:noProof/>
            <w:webHidden/>
          </w:rPr>
          <w:fldChar w:fldCharType="begin"/>
        </w:r>
        <w:r w:rsidR="009C66F7">
          <w:rPr>
            <w:noProof/>
            <w:webHidden/>
          </w:rPr>
          <w:instrText xml:space="preserve"> PAGEREF _Toc85627888 \h </w:instrText>
        </w:r>
        <w:r w:rsidR="009C66F7">
          <w:rPr>
            <w:noProof/>
            <w:webHidden/>
          </w:rPr>
        </w:r>
        <w:r w:rsidR="009C66F7">
          <w:rPr>
            <w:noProof/>
            <w:webHidden/>
          </w:rPr>
          <w:fldChar w:fldCharType="separate"/>
        </w:r>
        <w:r>
          <w:rPr>
            <w:noProof/>
            <w:webHidden/>
          </w:rPr>
          <w:t>17</w:t>
        </w:r>
        <w:r w:rsidR="009C66F7">
          <w:rPr>
            <w:noProof/>
            <w:webHidden/>
          </w:rPr>
          <w:fldChar w:fldCharType="end"/>
        </w:r>
      </w:hyperlink>
    </w:p>
    <w:p w14:paraId="1ADD5452" w14:textId="23403F06" w:rsidR="009C66F7" w:rsidRDefault="008027AE">
      <w:pPr>
        <w:pStyle w:val="TableofFigures"/>
        <w:tabs>
          <w:tab w:val="right" w:leader="dot" w:pos="9628"/>
        </w:tabs>
        <w:rPr>
          <w:rFonts w:asciiTheme="minorHAnsi" w:eastAsiaTheme="minorEastAsia" w:hAnsiTheme="minorHAnsi" w:cstheme="minorBidi"/>
          <w:noProof/>
          <w:color w:val="auto"/>
          <w:sz w:val="22"/>
          <w:szCs w:val="22"/>
          <w:lang w:val="en-GB" w:eastAsia="en-GB"/>
        </w:rPr>
      </w:pPr>
      <w:hyperlink w:anchor="_Toc85627889" w:history="1">
        <w:r w:rsidR="009C66F7" w:rsidRPr="00B13D11">
          <w:rPr>
            <w:rStyle w:val="Hyperlink"/>
            <w:noProof/>
          </w:rPr>
          <w:t>Table 3. Fuel and engine compatibility (adapted from Uslu, 2019).</w:t>
        </w:r>
        <w:r w:rsidR="009C66F7">
          <w:rPr>
            <w:noProof/>
            <w:webHidden/>
          </w:rPr>
          <w:tab/>
        </w:r>
        <w:r w:rsidR="009C66F7">
          <w:rPr>
            <w:noProof/>
            <w:webHidden/>
          </w:rPr>
          <w:fldChar w:fldCharType="begin"/>
        </w:r>
        <w:r w:rsidR="009C66F7">
          <w:rPr>
            <w:noProof/>
            <w:webHidden/>
          </w:rPr>
          <w:instrText xml:space="preserve"> PAGEREF _Toc85627889 \h </w:instrText>
        </w:r>
        <w:r w:rsidR="009C66F7">
          <w:rPr>
            <w:noProof/>
            <w:webHidden/>
          </w:rPr>
        </w:r>
        <w:r w:rsidR="009C66F7">
          <w:rPr>
            <w:noProof/>
            <w:webHidden/>
          </w:rPr>
          <w:fldChar w:fldCharType="separate"/>
        </w:r>
        <w:r>
          <w:rPr>
            <w:noProof/>
            <w:webHidden/>
          </w:rPr>
          <w:t>24</w:t>
        </w:r>
        <w:r w:rsidR="009C66F7">
          <w:rPr>
            <w:noProof/>
            <w:webHidden/>
          </w:rPr>
          <w:fldChar w:fldCharType="end"/>
        </w:r>
      </w:hyperlink>
    </w:p>
    <w:p w14:paraId="37F89E0A" w14:textId="158C737C" w:rsidR="009C66F7" w:rsidRDefault="008027AE">
      <w:pPr>
        <w:pStyle w:val="TableofFigures"/>
        <w:tabs>
          <w:tab w:val="right" w:leader="dot" w:pos="9628"/>
        </w:tabs>
        <w:rPr>
          <w:rFonts w:asciiTheme="minorHAnsi" w:eastAsiaTheme="minorEastAsia" w:hAnsiTheme="minorHAnsi" w:cstheme="minorBidi"/>
          <w:noProof/>
          <w:color w:val="auto"/>
          <w:sz w:val="22"/>
          <w:szCs w:val="22"/>
          <w:lang w:val="en-GB" w:eastAsia="en-GB"/>
        </w:rPr>
      </w:pPr>
      <w:hyperlink w:anchor="_Toc85627890" w:history="1">
        <w:r w:rsidR="009C66F7" w:rsidRPr="00B13D11">
          <w:rPr>
            <w:rStyle w:val="Hyperlink"/>
            <w:noProof/>
          </w:rPr>
          <w:t>Table 4. Decarbonization premium per ton of product in comparison to HFO, assuming equivalent densities and heat value and a carbon price of $58/ton CO</w:t>
        </w:r>
        <w:r w:rsidR="009C66F7" w:rsidRPr="00B13D11">
          <w:rPr>
            <w:rStyle w:val="Hyperlink"/>
            <w:noProof/>
            <w:vertAlign w:val="subscript"/>
          </w:rPr>
          <w:t>2eq</w:t>
        </w:r>
        <w:r w:rsidR="009C66F7" w:rsidRPr="00B13D11">
          <w:rPr>
            <w:rStyle w:val="Hyperlink"/>
            <w:noProof/>
          </w:rPr>
          <w:t>.</w:t>
        </w:r>
        <w:r w:rsidR="009C66F7">
          <w:rPr>
            <w:noProof/>
            <w:webHidden/>
          </w:rPr>
          <w:tab/>
        </w:r>
        <w:r w:rsidR="009C66F7">
          <w:rPr>
            <w:noProof/>
            <w:webHidden/>
          </w:rPr>
          <w:fldChar w:fldCharType="begin"/>
        </w:r>
        <w:r w:rsidR="009C66F7">
          <w:rPr>
            <w:noProof/>
            <w:webHidden/>
          </w:rPr>
          <w:instrText xml:space="preserve"> PAGEREF _Toc85627890 \h </w:instrText>
        </w:r>
        <w:r w:rsidR="009C66F7">
          <w:rPr>
            <w:noProof/>
            <w:webHidden/>
          </w:rPr>
        </w:r>
        <w:r w:rsidR="009C66F7">
          <w:rPr>
            <w:noProof/>
            <w:webHidden/>
          </w:rPr>
          <w:fldChar w:fldCharType="separate"/>
        </w:r>
        <w:r>
          <w:rPr>
            <w:noProof/>
            <w:webHidden/>
          </w:rPr>
          <w:t>27</w:t>
        </w:r>
        <w:r w:rsidR="009C66F7">
          <w:rPr>
            <w:noProof/>
            <w:webHidden/>
          </w:rPr>
          <w:fldChar w:fldCharType="end"/>
        </w:r>
      </w:hyperlink>
    </w:p>
    <w:p w14:paraId="57D3ADB6" w14:textId="040D9156" w:rsidR="009C66F7" w:rsidRDefault="008027AE">
      <w:pPr>
        <w:pStyle w:val="TableofFigures"/>
        <w:tabs>
          <w:tab w:val="right" w:leader="dot" w:pos="9628"/>
        </w:tabs>
        <w:rPr>
          <w:rFonts w:asciiTheme="minorHAnsi" w:eastAsiaTheme="minorEastAsia" w:hAnsiTheme="minorHAnsi" w:cstheme="minorBidi"/>
          <w:noProof/>
          <w:color w:val="auto"/>
          <w:sz w:val="22"/>
          <w:szCs w:val="22"/>
          <w:lang w:val="en-GB" w:eastAsia="en-GB"/>
        </w:rPr>
      </w:pPr>
      <w:hyperlink w:anchor="_Toc85627891" w:history="1">
        <w:r w:rsidR="009C66F7" w:rsidRPr="00B13D11">
          <w:rPr>
            <w:rStyle w:val="Hyperlink"/>
            <w:noProof/>
          </w:rPr>
          <w:t>Table 5. Comparative of biofuels and their development status (source: Panoutsou et al., 2021; Prussi et al., 2021; Verbeek et al., 2020; Final, 2021)</w:t>
        </w:r>
        <w:r w:rsidR="009C66F7">
          <w:rPr>
            <w:noProof/>
            <w:webHidden/>
          </w:rPr>
          <w:tab/>
        </w:r>
        <w:r w:rsidR="009C66F7">
          <w:rPr>
            <w:noProof/>
            <w:webHidden/>
          </w:rPr>
          <w:fldChar w:fldCharType="begin"/>
        </w:r>
        <w:r w:rsidR="009C66F7">
          <w:rPr>
            <w:noProof/>
            <w:webHidden/>
          </w:rPr>
          <w:instrText xml:space="preserve"> PAGEREF _Toc85627891 \h </w:instrText>
        </w:r>
        <w:r w:rsidR="009C66F7">
          <w:rPr>
            <w:noProof/>
            <w:webHidden/>
          </w:rPr>
        </w:r>
        <w:r w:rsidR="009C66F7">
          <w:rPr>
            <w:noProof/>
            <w:webHidden/>
          </w:rPr>
          <w:fldChar w:fldCharType="separate"/>
        </w:r>
        <w:r>
          <w:rPr>
            <w:noProof/>
            <w:webHidden/>
          </w:rPr>
          <w:t>28</w:t>
        </w:r>
        <w:r w:rsidR="009C66F7">
          <w:rPr>
            <w:noProof/>
            <w:webHidden/>
          </w:rPr>
          <w:fldChar w:fldCharType="end"/>
        </w:r>
      </w:hyperlink>
    </w:p>
    <w:p w14:paraId="6EBC1547" w14:textId="234EA5CA" w:rsidR="009C66F7" w:rsidRDefault="008027AE">
      <w:pPr>
        <w:pStyle w:val="TableofFigures"/>
        <w:tabs>
          <w:tab w:val="right" w:leader="dot" w:pos="9628"/>
        </w:tabs>
        <w:rPr>
          <w:rFonts w:asciiTheme="minorHAnsi" w:eastAsiaTheme="minorEastAsia" w:hAnsiTheme="minorHAnsi" w:cstheme="minorBidi"/>
          <w:noProof/>
          <w:color w:val="auto"/>
          <w:sz w:val="22"/>
          <w:szCs w:val="22"/>
          <w:lang w:val="en-GB" w:eastAsia="en-GB"/>
        </w:rPr>
      </w:pPr>
      <w:hyperlink w:anchor="_Toc85627892" w:history="1">
        <w:r w:rsidR="009C66F7" w:rsidRPr="00B13D11">
          <w:rPr>
            <w:rStyle w:val="Hyperlink"/>
            <w:noProof/>
          </w:rPr>
          <w:t>Table 6. Marine fuels map</w:t>
        </w:r>
        <w:r w:rsidR="009C66F7">
          <w:rPr>
            <w:noProof/>
            <w:webHidden/>
          </w:rPr>
          <w:tab/>
        </w:r>
        <w:r w:rsidR="009C66F7">
          <w:rPr>
            <w:noProof/>
            <w:webHidden/>
          </w:rPr>
          <w:fldChar w:fldCharType="begin"/>
        </w:r>
        <w:r w:rsidR="009C66F7">
          <w:rPr>
            <w:noProof/>
            <w:webHidden/>
          </w:rPr>
          <w:instrText xml:space="preserve"> PAGEREF _Toc85627892 \h </w:instrText>
        </w:r>
        <w:r w:rsidR="009C66F7">
          <w:rPr>
            <w:noProof/>
            <w:webHidden/>
          </w:rPr>
        </w:r>
        <w:r w:rsidR="009C66F7">
          <w:rPr>
            <w:noProof/>
            <w:webHidden/>
          </w:rPr>
          <w:fldChar w:fldCharType="separate"/>
        </w:r>
        <w:r>
          <w:rPr>
            <w:noProof/>
            <w:webHidden/>
          </w:rPr>
          <w:t>33</w:t>
        </w:r>
        <w:r w:rsidR="009C66F7">
          <w:rPr>
            <w:noProof/>
            <w:webHidden/>
          </w:rPr>
          <w:fldChar w:fldCharType="end"/>
        </w:r>
      </w:hyperlink>
    </w:p>
    <w:p w14:paraId="503680FB" w14:textId="77777777" w:rsidR="009C66F7" w:rsidRDefault="006B7DF1" w:rsidP="00DC3405">
      <w:pPr>
        <w:rPr>
          <w:noProof/>
        </w:rPr>
      </w:pPr>
      <w:r w:rsidRPr="00131E03">
        <w:rPr>
          <w:rFonts w:asciiTheme="minorHAnsi" w:eastAsiaTheme="majorEastAsia" w:hAnsiTheme="minorHAnsi" w:cstheme="majorBidi"/>
          <w:bCs/>
          <w:noProof/>
          <w:sz w:val="22"/>
          <w:szCs w:val="22"/>
          <w:lang w:val="en-GB"/>
        </w:rPr>
        <w:fldChar w:fldCharType="end"/>
      </w:r>
      <w:r w:rsidR="00D10E5F" w:rsidRPr="0045629F">
        <w:rPr>
          <w:lang w:val="en-GB"/>
        </w:rPr>
        <w:fldChar w:fldCharType="begin"/>
      </w:r>
      <w:r w:rsidR="00D10E5F" w:rsidRPr="0045629F">
        <w:rPr>
          <w:lang w:val="en-GB"/>
        </w:rPr>
        <w:instrText xml:space="preserve"> TOC \h \z \c "Table" </w:instrText>
      </w:r>
      <w:r w:rsidR="00D10E5F" w:rsidRPr="0045629F">
        <w:rPr>
          <w:lang w:val="en-GB"/>
        </w:rPr>
        <w:fldChar w:fldCharType="separate"/>
      </w:r>
    </w:p>
    <w:p w14:paraId="679333E1" w14:textId="7C0B1B7F" w:rsidR="007E0446" w:rsidRPr="007E0446" w:rsidRDefault="00D10E5F" w:rsidP="007E0446">
      <w:pPr>
        <w:pStyle w:val="TableofFigures"/>
        <w:tabs>
          <w:tab w:val="right" w:leader="dot" w:pos="9628"/>
        </w:tabs>
        <w:rPr>
          <w:lang w:val="en-GB"/>
        </w:rPr>
      </w:pPr>
      <w:r w:rsidRPr="0045629F">
        <w:rPr>
          <w:lang w:val="en-GB"/>
        </w:rPr>
        <w:fldChar w:fldCharType="end"/>
      </w:r>
      <w:r w:rsidR="00DC3405">
        <w:rPr>
          <w:lang w:val="en-GB"/>
        </w:rPr>
        <w:br w:type="page"/>
      </w:r>
      <w:r w:rsidR="007E0446" w:rsidRPr="0045629F">
        <w:rPr>
          <w:lang w:val="en-GB"/>
        </w:rPr>
        <w:fldChar w:fldCharType="begin"/>
      </w:r>
      <w:r w:rsidR="007E0446" w:rsidRPr="0045629F">
        <w:rPr>
          <w:lang w:val="en-GB"/>
        </w:rPr>
        <w:instrText xml:space="preserve"> TOC \h \z \c "Table" </w:instrText>
      </w:r>
      <w:r w:rsidR="007E0446" w:rsidRPr="0045629F">
        <w:rPr>
          <w:lang w:val="en-GB"/>
        </w:rPr>
        <w:fldChar w:fldCharType="separate"/>
      </w:r>
    </w:p>
    <w:p w14:paraId="153A2F49" w14:textId="77777777" w:rsidR="007E0446" w:rsidRPr="00EC0977" w:rsidRDefault="007E0446" w:rsidP="007E0446">
      <w:pPr>
        <w:rPr>
          <w:b/>
          <w:color w:val="002244" w:themeColor="accent1"/>
          <w:sz w:val="28"/>
          <w:szCs w:val="28"/>
          <w:lang w:val="en-GB"/>
        </w:rPr>
      </w:pPr>
      <w:bookmarkStart w:id="3" w:name="_Toc505697544"/>
      <w:bookmarkStart w:id="4" w:name="_Toc42783545"/>
      <w:r w:rsidRPr="00EC0977">
        <w:rPr>
          <w:b/>
          <w:color w:val="002244" w:themeColor="accent1"/>
          <w:sz w:val="28"/>
          <w:szCs w:val="28"/>
          <w:lang w:val="en-GB"/>
        </w:rPr>
        <w:lastRenderedPageBreak/>
        <w:t>Abbreviations</w:t>
      </w:r>
      <w:bookmarkEnd w:id="3"/>
      <w:bookmarkEnd w:id="4"/>
      <w:r>
        <w:rPr>
          <w:b/>
          <w:color w:val="002244" w:themeColor="accent1"/>
          <w:sz w:val="28"/>
          <w:szCs w:val="28"/>
          <w:lang w:val="en-GB"/>
        </w:rPr>
        <w:t xml:space="preserve"> </w:t>
      </w:r>
    </w:p>
    <w:p w14:paraId="7434B040" w14:textId="77777777" w:rsidR="007E0446" w:rsidRPr="0045629F" w:rsidRDefault="007E0446" w:rsidP="007E0446">
      <w:pPr>
        <w:rPr>
          <w:lang w:val="en-GB"/>
        </w:rPr>
      </w:pPr>
    </w:p>
    <w:tbl>
      <w:tblPr>
        <w:tblStyle w:val="GridTable1Light"/>
        <w:tblW w:w="9498" w:type="dxa"/>
        <w:tblLook w:val="04A0" w:firstRow="1" w:lastRow="0" w:firstColumn="1" w:lastColumn="0" w:noHBand="0" w:noVBand="1"/>
      </w:tblPr>
      <w:tblGrid>
        <w:gridCol w:w="3118"/>
        <w:gridCol w:w="6380"/>
      </w:tblGrid>
      <w:tr w:rsidR="007E0446" w:rsidRPr="0045629F" w14:paraId="6984D454" w14:textId="77777777" w:rsidTr="00182AD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12" w:space="0" w:color="002244"/>
              <w:right w:val="single" w:sz="4" w:space="0" w:color="002244"/>
            </w:tcBorders>
            <w:shd w:val="clear" w:color="auto" w:fill="0075B0"/>
            <w:noWrap/>
          </w:tcPr>
          <w:p w14:paraId="245A71F3" w14:textId="77777777" w:rsidR="007E0446" w:rsidRPr="00CE2C42" w:rsidRDefault="007E0446" w:rsidP="00182AD5">
            <w:pPr>
              <w:pStyle w:val="Informal1"/>
              <w:rPr>
                <w:rFonts w:asciiTheme="majorHAnsi" w:hAnsiTheme="majorHAnsi" w:cstheme="majorHAnsi"/>
                <w:b w:val="0"/>
                <w:sz w:val="20"/>
                <w:lang w:eastAsia="en-GB"/>
              </w:rPr>
            </w:pPr>
            <w:r w:rsidRPr="00CE2C42">
              <w:rPr>
                <w:rFonts w:asciiTheme="majorHAnsi" w:hAnsiTheme="majorHAnsi" w:cstheme="majorHAnsi"/>
                <w:b w:val="0"/>
                <w:sz w:val="20"/>
                <w:lang w:eastAsia="en-GB"/>
              </w:rPr>
              <w:t>Symbol / short name</w:t>
            </w:r>
          </w:p>
        </w:tc>
        <w:tc>
          <w:tcPr>
            <w:tcW w:w="6380" w:type="dxa"/>
            <w:tcBorders>
              <w:top w:val="single" w:sz="4" w:space="0" w:color="002244"/>
              <w:left w:val="single" w:sz="4" w:space="0" w:color="002244"/>
              <w:bottom w:val="single" w:sz="12" w:space="0" w:color="002244"/>
              <w:right w:val="single" w:sz="4" w:space="0" w:color="002244"/>
            </w:tcBorders>
            <w:shd w:val="clear" w:color="auto" w:fill="0075B0"/>
          </w:tcPr>
          <w:p w14:paraId="3CD243EE" w14:textId="77777777" w:rsidR="007E0446" w:rsidRPr="00CE2C42" w:rsidRDefault="007E0446" w:rsidP="00182AD5">
            <w:pPr>
              <w:ind w:firstLine="720"/>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auto"/>
                <w:sz w:val="20"/>
                <w:lang w:val="en-GB" w:eastAsia="en-GB"/>
              </w:rPr>
            </w:pPr>
          </w:p>
        </w:tc>
      </w:tr>
      <w:tr w:rsidR="007E0446" w:rsidRPr="0045629F" w14:paraId="5AD7893F" w14:textId="77777777" w:rsidTr="00182AD5">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12" w:space="0" w:color="002244"/>
              <w:left w:val="single" w:sz="4" w:space="0" w:color="002244"/>
              <w:bottom w:val="single" w:sz="4" w:space="0" w:color="002244"/>
              <w:right w:val="single" w:sz="4" w:space="0" w:color="002244"/>
            </w:tcBorders>
            <w:noWrap/>
          </w:tcPr>
          <w:p w14:paraId="27D296AC" w14:textId="77777777" w:rsidR="007E0446" w:rsidRPr="00D10E5F" w:rsidRDefault="007E0446" w:rsidP="00182AD5">
            <w:pPr>
              <w:rPr>
                <w:rFonts w:asciiTheme="majorHAnsi" w:hAnsiTheme="majorHAnsi" w:cstheme="majorHAnsi"/>
                <w:b w:val="0"/>
                <w:color w:val="auto"/>
                <w:sz w:val="20"/>
                <w:lang w:val="en-GB"/>
              </w:rPr>
            </w:pPr>
            <w:r w:rsidRPr="00D10E5F">
              <w:rPr>
                <w:rFonts w:asciiTheme="majorHAnsi" w:hAnsiTheme="majorHAnsi" w:cstheme="majorHAnsi"/>
                <w:b w:val="0"/>
                <w:color w:val="auto"/>
                <w:sz w:val="20"/>
                <w:lang w:val="en-GB"/>
              </w:rPr>
              <w:t>GHG</w:t>
            </w:r>
          </w:p>
        </w:tc>
        <w:tc>
          <w:tcPr>
            <w:tcW w:w="6380" w:type="dxa"/>
            <w:tcBorders>
              <w:top w:val="single" w:sz="12" w:space="0" w:color="002244"/>
              <w:left w:val="single" w:sz="4" w:space="0" w:color="002244"/>
              <w:bottom w:val="single" w:sz="4" w:space="0" w:color="002244"/>
              <w:right w:val="single" w:sz="4" w:space="0" w:color="002244"/>
            </w:tcBorders>
          </w:tcPr>
          <w:p w14:paraId="54EB1D80" w14:textId="77777777" w:rsidR="007E0446" w:rsidRPr="00D10E5F" w:rsidRDefault="007E0446" w:rsidP="00182AD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sz w:val="20"/>
                <w:lang w:val="en-GB"/>
              </w:rPr>
            </w:pPr>
            <w:r w:rsidRPr="00D10E5F">
              <w:rPr>
                <w:rFonts w:asciiTheme="majorHAnsi" w:hAnsiTheme="majorHAnsi" w:cstheme="majorHAnsi"/>
                <w:bCs/>
                <w:sz w:val="20"/>
              </w:rPr>
              <w:t>Greenhouse Gases</w:t>
            </w:r>
          </w:p>
        </w:tc>
      </w:tr>
      <w:tr w:rsidR="007E0446" w:rsidRPr="0045629F" w14:paraId="00723468" w14:textId="77777777" w:rsidTr="00182AD5">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19B9163F" w14:textId="77777777" w:rsidR="007E0446" w:rsidRPr="00D10E5F" w:rsidRDefault="007E0446" w:rsidP="00182AD5">
            <w:pPr>
              <w:rPr>
                <w:rFonts w:asciiTheme="majorHAnsi" w:hAnsiTheme="majorHAnsi" w:cstheme="majorHAnsi"/>
                <w:b w:val="0"/>
                <w:color w:val="auto"/>
                <w:sz w:val="20"/>
                <w:lang w:val="en-GB"/>
              </w:rPr>
            </w:pPr>
            <w:r w:rsidRPr="00D10E5F">
              <w:rPr>
                <w:rFonts w:asciiTheme="majorHAnsi" w:hAnsiTheme="majorHAnsi" w:cstheme="majorHAnsi"/>
                <w:b w:val="0"/>
                <w:color w:val="auto"/>
                <w:sz w:val="20"/>
                <w:lang w:val="en-GB"/>
              </w:rPr>
              <w:t>IMO</w:t>
            </w:r>
          </w:p>
        </w:tc>
        <w:tc>
          <w:tcPr>
            <w:tcW w:w="6380" w:type="dxa"/>
            <w:tcBorders>
              <w:top w:val="single" w:sz="4" w:space="0" w:color="002244"/>
              <w:left w:val="single" w:sz="4" w:space="0" w:color="002244"/>
              <w:bottom w:val="single" w:sz="4" w:space="0" w:color="002244"/>
              <w:right w:val="single" w:sz="4" w:space="0" w:color="002244"/>
            </w:tcBorders>
          </w:tcPr>
          <w:p w14:paraId="6C9738FD" w14:textId="77777777" w:rsidR="007E0446" w:rsidRPr="00D10E5F" w:rsidRDefault="007E0446" w:rsidP="00182AD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sz w:val="20"/>
                <w:lang w:val="en-GB"/>
              </w:rPr>
            </w:pPr>
            <w:r w:rsidRPr="00D10E5F">
              <w:rPr>
                <w:rFonts w:asciiTheme="majorHAnsi" w:hAnsiTheme="majorHAnsi" w:cstheme="majorHAnsi"/>
                <w:bCs/>
                <w:sz w:val="20"/>
              </w:rPr>
              <w:t>International Maritime Organization</w:t>
            </w:r>
          </w:p>
        </w:tc>
      </w:tr>
      <w:tr w:rsidR="007E0446" w:rsidRPr="0045629F" w14:paraId="1A68E487" w14:textId="77777777" w:rsidTr="00182AD5">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38511BE0" w14:textId="77777777" w:rsidR="007E0446" w:rsidRPr="00137154" w:rsidRDefault="007E0446" w:rsidP="00182AD5">
            <w:pPr>
              <w:rPr>
                <w:rFonts w:asciiTheme="majorHAnsi" w:hAnsiTheme="majorHAnsi" w:cstheme="majorHAnsi"/>
                <w:b w:val="0"/>
                <w:color w:val="auto"/>
                <w:sz w:val="20"/>
                <w:lang w:val="en-GB"/>
              </w:rPr>
            </w:pPr>
            <w:r w:rsidRPr="00137154">
              <w:rPr>
                <w:rFonts w:asciiTheme="majorHAnsi" w:hAnsiTheme="majorHAnsi" w:cstheme="majorHAnsi"/>
                <w:b w:val="0"/>
                <w:color w:val="auto"/>
                <w:sz w:val="20"/>
                <w:lang w:val="en-GB"/>
              </w:rPr>
              <w:t>EEA</w:t>
            </w:r>
          </w:p>
        </w:tc>
        <w:tc>
          <w:tcPr>
            <w:tcW w:w="6380" w:type="dxa"/>
            <w:tcBorders>
              <w:top w:val="single" w:sz="4" w:space="0" w:color="002244"/>
              <w:left w:val="single" w:sz="4" w:space="0" w:color="002244"/>
              <w:bottom w:val="single" w:sz="4" w:space="0" w:color="002244"/>
              <w:right w:val="single" w:sz="4" w:space="0" w:color="002244"/>
            </w:tcBorders>
          </w:tcPr>
          <w:p w14:paraId="1AA72CA8" w14:textId="77777777" w:rsidR="007E0446" w:rsidRPr="00D10E5F" w:rsidRDefault="007E0446" w:rsidP="00182AD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sz w:val="20"/>
                <w:lang w:val="en-GB"/>
              </w:rPr>
            </w:pPr>
            <w:r w:rsidRPr="00D10E5F">
              <w:rPr>
                <w:rFonts w:asciiTheme="majorHAnsi" w:hAnsiTheme="majorHAnsi" w:cstheme="majorHAnsi"/>
                <w:bCs/>
                <w:sz w:val="20"/>
              </w:rPr>
              <w:t>European Economic Area</w:t>
            </w:r>
          </w:p>
        </w:tc>
      </w:tr>
      <w:tr w:rsidR="007E0446" w:rsidRPr="0045629F" w14:paraId="7E8A9FD5" w14:textId="77777777" w:rsidTr="00182AD5">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4513CB10" w14:textId="77777777" w:rsidR="007E0446" w:rsidRPr="00D10E5F" w:rsidRDefault="007E0446" w:rsidP="00182AD5">
            <w:pPr>
              <w:rPr>
                <w:rFonts w:asciiTheme="majorHAnsi" w:hAnsiTheme="majorHAnsi" w:cstheme="majorHAnsi"/>
                <w:b w:val="0"/>
                <w:color w:val="auto"/>
                <w:sz w:val="20"/>
                <w:lang w:val="en-GB"/>
              </w:rPr>
            </w:pPr>
            <w:r w:rsidRPr="00D10E5F">
              <w:rPr>
                <w:rFonts w:asciiTheme="majorHAnsi" w:hAnsiTheme="majorHAnsi" w:cstheme="majorHAnsi"/>
                <w:b w:val="0"/>
                <w:color w:val="auto"/>
                <w:sz w:val="20"/>
                <w:lang w:val="en-GB"/>
              </w:rPr>
              <w:t>UNFCC</w:t>
            </w:r>
          </w:p>
        </w:tc>
        <w:tc>
          <w:tcPr>
            <w:tcW w:w="6380" w:type="dxa"/>
            <w:tcBorders>
              <w:top w:val="single" w:sz="4" w:space="0" w:color="002244"/>
              <w:left w:val="single" w:sz="4" w:space="0" w:color="002244"/>
              <w:bottom w:val="single" w:sz="4" w:space="0" w:color="002244"/>
              <w:right w:val="single" w:sz="4" w:space="0" w:color="002244"/>
            </w:tcBorders>
          </w:tcPr>
          <w:p w14:paraId="2361EB3F" w14:textId="77777777" w:rsidR="007E0446" w:rsidRPr="00D10E5F" w:rsidRDefault="007E0446" w:rsidP="00182AD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sz w:val="20"/>
                <w:lang w:val="en-GB"/>
              </w:rPr>
            </w:pPr>
            <w:r w:rsidRPr="00D10E5F">
              <w:rPr>
                <w:rFonts w:asciiTheme="majorHAnsi" w:hAnsiTheme="majorHAnsi" w:cstheme="majorHAnsi"/>
                <w:bCs/>
                <w:color w:val="auto"/>
                <w:sz w:val="20"/>
                <w:lang w:val="en-GB"/>
              </w:rPr>
              <w:t xml:space="preserve">United Nations Framework Convention </w:t>
            </w:r>
            <w:r w:rsidRPr="00D10E5F">
              <w:rPr>
                <w:rFonts w:asciiTheme="majorHAnsi" w:hAnsiTheme="majorHAnsi" w:cstheme="majorHAnsi"/>
                <w:bCs/>
                <w:sz w:val="20"/>
              </w:rPr>
              <w:t xml:space="preserve">on </w:t>
            </w:r>
            <w:r w:rsidRPr="00D10E5F">
              <w:rPr>
                <w:rFonts w:asciiTheme="majorHAnsi" w:hAnsiTheme="majorHAnsi" w:cstheme="majorHAnsi"/>
                <w:bCs/>
                <w:color w:val="auto"/>
                <w:sz w:val="20"/>
                <w:lang w:val="en-GB"/>
              </w:rPr>
              <w:t>Climate Change</w:t>
            </w:r>
          </w:p>
        </w:tc>
      </w:tr>
      <w:tr w:rsidR="007E0446" w:rsidRPr="0045629F" w14:paraId="0C764136" w14:textId="77777777" w:rsidTr="00182AD5">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2722A751" w14:textId="77777777" w:rsidR="007E0446" w:rsidRPr="00D10E5F" w:rsidRDefault="007E0446" w:rsidP="00182AD5">
            <w:pPr>
              <w:rPr>
                <w:rFonts w:asciiTheme="majorHAnsi" w:hAnsiTheme="majorHAnsi" w:cstheme="majorHAnsi"/>
                <w:b w:val="0"/>
                <w:color w:val="auto"/>
                <w:sz w:val="20"/>
                <w:lang w:val="en-GB"/>
              </w:rPr>
            </w:pPr>
            <w:r w:rsidRPr="00D10E5F">
              <w:rPr>
                <w:rFonts w:asciiTheme="majorHAnsi" w:hAnsiTheme="majorHAnsi" w:cstheme="majorHAnsi"/>
                <w:b w:val="0"/>
                <w:color w:val="auto"/>
                <w:sz w:val="20"/>
                <w:lang w:val="en-GB"/>
              </w:rPr>
              <w:t>MARPOL</w:t>
            </w:r>
          </w:p>
        </w:tc>
        <w:tc>
          <w:tcPr>
            <w:tcW w:w="6380" w:type="dxa"/>
            <w:tcBorders>
              <w:top w:val="single" w:sz="4" w:space="0" w:color="002244"/>
              <w:left w:val="single" w:sz="4" w:space="0" w:color="002244"/>
              <w:bottom w:val="single" w:sz="4" w:space="0" w:color="002244"/>
              <w:right w:val="single" w:sz="4" w:space="0" w:color="002244"/>
            </w:tcBorders>
          </w:tcPr>
          <w:p w14:paraId="7779887E" w14:textId="77777777" w:rsidR="007E0446" w:rsidRPr="00D10E5F" w:rsidRDefault="007E0446" w:rsidP="00182AD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sz w:val="20"/>
                <w:lang w:val="en-GB"/>
              </w:rPr>
            </w:pPr>
            <w:r w:rsidRPr="00D10E5F">
              <w:rPr>
                <w:rFonts w:asciiTheme="majorHAnsi" w:hAnsiTheme="majorHAnsi" w:cstheme="majorHAnsi"/>
                <w:bCs/>
                <w:color w:val="auto"/>
                <w:sz w:val="20"/>
              </w:rPr>
              <w:t xml:space="preserve">International Convention </w:t>
            </w:r>
            <w:r w:rsidRPr="00D10E5F">
              <w:rPr>
                <w:rFonts w:asciiTheme="majorHAnsi" w:hAnsiTheme="majorHAnsi" w:cstheme="majorHAnsi"/>
                <w:bCs/>
                <w:sz w:val="20"/>
              </w:rPr>
              <w:t xml:space="preserve">for the </w:t>
            </w:r>
            <w:r w:rsidRPr="00D10E5F">
              <w:rPr>
                <w:rFonts w:asciiTheme="majorHAnsi" w:hAnsiTheme="majorHAnsi" w:cstheme="majorHAnsi"/>
                <w:bCs/>
                <w:color w:val="auto"/>
                <w:sz w:val="20"/>
              </w:rPr>
              <w:t xml:space="preserve">Prevention </w:t>
            </w:r>
            <w:r w:rsidRPr="00D10E5F">
              <w:rPr>
                <w:rFonts w:asciiTheme="majorHAnsi" w:hAnsiTheme="majorHAnsi" w:cstheme="majorHAnsi"/>
                <w:bCs/>
                <w:sz w:val="20"/>
              </w:rPr>
              <w:t xml:space="preserve">of </w:t>
            </w:r>
            <w:r w:rsidRPr="00D10E5F">
              <w:rPr>
                <w:rFonts w:asciiTheme="majorHAnsi" w:hAnsiTheme="majorHAnsi" w:cstheme="majorHAnsi"/>
                <w:bCs/>
                <w:color w:val="auto"/>
                <w:sz w:val="20"/>
              </w:rPr>
              <w:t xml:space="preserve">Pollution </w:t>
            </w:r>
            <w:r w:rsidRPr="00D10E5F">
              <w:rPr>
                <w:rFonts w:asciiTheme="majorHAnsi" w:hAnsiTheme="majorHAnsi" w:cstheme="majorHAnsi"/>
                <w:bCs/>
                <w:sz w:val="20"/>
              </w:rPr>
              <w:t xml:space="preserve">From </w:t>
            </w:r>
            <w:r w:rsidRPr="00D10E5F">
              <w:rPr>
                <w:rFonts w:asciiTheme="majorHAnsi" w:hAnsiTheme="majorHAnsi" w:cstheme="majorHAnsi"/>
                <w:bCs/>
                <w:color w:val="auto"/>
                <w:sz w:val="20"/>
              </w:rPr>
              <w:t>Ships</w:t>
            </w:r>
          </w:p>
        </w:tc>
      </w:tr>
      <w:tr w:rsidR="007E0446" w:rsidRPr="0045629F" w14:paraId="0A02298B" w14:textId="77777777" w:rsidTr="00182AD5">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2FB07CC6" w14:textId="77777777" w:rsidR="007E0446" w:rsidRPr="00D10E5F" w:rsidRDefault="007E0446" w:rsidP="00182AD5">
            <w:pPr>
              <w:rPr>
                <w:rFonts w:asciiTheme="majorHAnsi" w:hAnsiTheme="majorHAnsi" w:cstheme="majorHAnsi"/>
                <w:b w:val="0"/>
                <w:color w:val="auto"/>
                <w:sz w:val="20"/>
                <w:lang w:val="en-GB"/>
              </w:rPr>
            </w:pPr>
            <w:r w:rsidRPr="00D10E5F">
              <w:rPr>
                <w:rFonts w:asciiTheme="majorHAnsi" w:hAnsiTheme="majorHAnsi" w:cstheme="majorHAnsi"/>
                <w:b w:val="0"/>
                <w:sz w:val="20"/>
              </w:rPr>
              <w:t>UN</w:t>
            </w:r>
          </w:p>
        </w:tc>
        <w:tc>
          <w:tcPr>
            <w:tcW w:w="6380" w:type="dxa"/>
            <w:tcBorders>
              <w:top w:val="single" w:sz="4" w:space="0" w:color="002244"/>
              <w:left w:val="single" w:sz="4" w:space="0" w:color="002244"/>
              <w:bottom w:val="single" w:sz="4" w:space="0" w:color="002244"/>
              <w:right w:val="single" w:sz="4" w:space="0" w:color="002244"/>
            </w:tcBorders>
          </w:tcPr>
          <w:p w14:paraId="20AF8EB3" w14:textId="77777777" w:rsidR="007E0446" w:rsidRPr="00D10E5F" w:rsidRDefault="007E0446" w:rsidP="00182AD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sz w:val="20"/>
                <w:lang w:val="en-GB"/>
              </w:rPr>
            </w:pPr>
            <w:r w:rsidRPr="00D10E5F">
              <w:rPr>
                <w:rFonts w:asciiTheme="majorHAnsi" w:hAnsiTheme="majorHAnsi" w:cstheme="majorHAnsi"/>
                <w:bCs/>
                <w:sz w:val="20"/>
              </w:rPr>
              <w:t>United Nations</w:t>
            </w:r>
          </w:p>
        </w:tc>
      </w:tr>
      <w:tr w:rsidR="007E0446" w:rsidRPr="0045629F" w14:paraId="76AE1566" w14:textId="77777777" w:rsidTr="00182AD5">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10007C09" w14:textId="77777777" w:rsidR="007E0446" w:rsidRPr="00D10E5F" w:rsidRDefault="007E0446" w:rsidP="00182AD5">
            <w:pPr>
              <w:rPr>
                <w:rFonts w:asciiTheme="majorHAnsi" w:hAnsiTheme="majorHAnsi" w:cstheme="majorHAnsi"/>
                <w:b w:val="0"/>
                <w:color w:val="auto"/>
                <w:sz w:val="20"/>
                <w:lang w:val="en-GB"/>
              </w:rPr>
            </w:pPr>
            <w:r w:rsidRPr="00D10E5F">
              <w:rPr>
                <w:rFonts w:asciiTheme="majorHAnsi" w:hAnsiTheme="majorHAnsi" w:cstheme="majorHAnsi"/>
                <w:b w:val="0"/>
                <w:sz w:val="20"/>
              </w:rPr>
              <w:t>ECA</w:t>
            </w:r>
          </w:p>
        </w:tc>
        <w:tc>
          <w:tcPr>
            <w:tcW w:w="6380" w:type="dxa"/>
            <w:tcBorders>
              <w:top w:val="single" w:sz="4" w:space="0" w:color="002244"/>
              <w:left w:val="single" w:sz="4" w:space="0" w:color="002244"/>
              <w:bottom w:val="single" w:sz="4" w:space="0" w:color="002244"/>
              <w:right w:val="single" w:sz="4" w:space="0" w:color="002244"/>
            </w:tcBorders>
          </w:tcPr>
          <w:p w14:paraId="7DA32422" w14:textId="77777777" w:rsidR="007E0446" w:rsidRPr="00D10E5F" w:rsidRDefault="007E0446" w:rsidP="00182AD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sz w:val="20"/>
                <w:lang w:val="en-GB"/>
              </w:rPr>
            </w:pPr>
            <w:r w:rsidRPr="00D10E5F">
              <w:rPr>
                <w:rFonts w:asciiTheme="majorHAnsi" w:hAnsiTheme="majorHAnsi" w:cstheme="majorHAnsi"/>
                <w:bCs/>
                <w:sz w:val="20"/>
              </w:rPr>
              <w:t>Emission Control Areas</w:t>
            </w:r>
          </w:p>
        </w:tc>
      </w:tr>
      <w:tr w:rsidR="007E0446" w:rsidRPr="0045629F" w14:paraId="7CDFEF5E" w14:textId="77777777" w:rsidTr="00182AD5">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0F77DD5F" w14:textId="77777777" w:rsidR="007E0446" w:rsidRPr="00D10E5F" w:rsidRDefault="007E0446" w:rsidP="00182AD5">
            <w:pPr>
              <w:rPr>
                <w:rFonts w:asciiTheme="majorHAnsi" w:hAnsiTheme="majorHAnsi" w:cstheme="majorHAnsi"/>
                <w:b w:val="0"/>
                <w:color w:val="auto"/>
                <w:sz w:val="20"/>
                <w:lang w:val="en-GB"/>
              </w:rPr>
            </w:pPr>
            <w:r w:rsidRPr="00D10E5F">
              <w:rPr>
                <w:rFonts w:asciiTheme="majorHAnsi" w:hAnsiTheme="majorHAnsi" w:cstheme="majorHAnsi"/>
                <w:b w:val="0"/>
                <w:color w:val="auto"/>
                <w:sz w:val="20"/>
                <w:lang w:val="en-GB"/>
              </w:rPr>
              <w:t>NOx</w:t>
            </w:r>
          </w:p>
        </w:tc>
        <w:tc>
          <w:tcPr>
            <w:tcW w:w="6380" w:type="dxa"/>
            <w:tcBorders>
              <w:top w:val="single" w:sz="4" w:space="0" w:color="002244"/>
              <w:left w:val="single" w:sz="4" w:space="0" w:color="002244"/>
              <w:bottom w:val="single" w:sz="4" w:space="0" w:color="002244"/>
              <w:right w:val="single" w:sz="4" w:space="0" w:color="002244"/>
            </w:tcBorders>
          </w:tcPr>
          <w:p w14:paraId="04744DF9" w14:textId="77777777" w:rsidR="007E0446" w:rsidRPr="00D10E5F" w:rsidRDefault="007E0446" w:rsidP="00182AD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sz w:val="20"/>
                <w:lang w:val="en-GB"/>
              </w:rPr>
            </w:pPr>
            <w:r w:rsidRPr="00D10E5F">
              <w:rPr>
                <w:rFonts w:asciiTheme="majorHAnsi" w:hAnsiTheme="majorHAnsi" w:cstheme="majorHAnsi"/>
                <w:bCs/>
                <w:sz w:val="20"/>
              </w:rPr>
              <w:t>N</w:t>
            </w:r>
            <w:r w:rsidRPr="00D10E5F">
              <w:rPr>
                <w:rFonts w:asciiTheme="majorHAnsi" w:hAnsiTheme="majorHAnsi" w:cstheme="majorHAnsi"/>
                <w:bCs/>
                <w:color w:val="auto"/>
                <w:sz w:val="20"/>
                <w:lang w:val="en-GB"/>
              </w:rPr>
              <w:t xml:space="preserve">itrogen </w:t>
            </w:r>
            <w:r w:rsidRPr="00D10E5F">
              <w:rPr>
                <w:rFonts w:asciiTheme="majorHAnsi" w:hAnsiTheme="majorHAnsi" w:cstheme="majorHAnsi"/>
                <w:bCs/>
                <w:sz w:val="20"/>
              </w:rPr>
              <w:t>Oxide</w:t>
            </w:r>
          </w:p>
        </w:tc>
      </w:tr>
      <w:tr w:rsidR="007E0446" w:rsidRPr="0045629F" w14:paraId="1C330F71" w14:textId="77777777" w:rsidTr="00182AD5">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35EEE5E8" w14:textId="77777777" w:rsidR="007E0446" w:rsidRPr="00D10E5F" w:rsidRDefault="007E0446" w:rsidP="00182AD5">
            <w:pPr>
              <w:rPr>
                <w:rFonts w:asciiTheme="majorHAnsi" w:hAnsiTheme="majorHAnsi" w:cstheme="majorHAnsi"/>
                <w:b w:val="0"/>
                <w:color w:val="auto"/>
                <w:sz w:val="20"/>
                <w:lang w:val="en-GB"/>
              </w:rPr>
            </w:pPr>
            <w:r w:rsidRPr="00D10E5F">
              <w:rPr>
                <w:rFonts w:asciiTheme="majorHAnsi" w:hAnsiTheme="majorHAnsi" w:cstheme="majorHAnsi"/>
                <w:b w:val="0"/>
                <w:color w:val="auto"/>
                <w:sz w:val="20"/>
                <w:lang w:val="en-GB"/>
              </w:rPr>
              <w:t>SOx</w:t>
            </w:r>
          </w:p>
        </w:tc>
        <w:tc>
          <w:tcPr>
            <w:tcW w:w="6380" w:type="dxa"/>
            <w:tcBorders>
              <w:top w:val="single" w:sz="4" w:space="0" w:color="002244"/>
              <w:left w:val="single" w:sz="4" w:space="0" w:color="002244"/>
              <w:bottom w:val="single" w:sz="4" w:space="0" w:color="002244"/>
              <w:right w:val="single" w:sz="4" w:space="0" w:color="002244"/>
            </w:tcBorders>
          </w:tcPr>
          <w:p w14:paraId="28F6B965" w14:textId="77777777" w:rsidR="007E0446" w:rsidRPr="00D10E5F" w:rsidRDefault="007E0446" w:rsidP="00182AD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sz w:val="20"/>
                <w:lang w:val="en-GB"/>
              </w:rPr>
            </w:pPr>
            <w:r w:rsidRPr="00D10E5F">
              <w:rPr>
                <w:rFonts w:asciiTheme="majorHAnsi" w:hAnsiTheme="majorHAnsi" w:cstheme="majorHAnsi"/>
                <w:bCs/>
                <w:sz w:val="20"/>
              </w:rPr>
              <w:t>S</w:t>
            </w:r>
            <w:r w:rsidRPr="00D10E5F">
              <w:rPr>
                <w:rFonts w:asciiTheme="majorHAnsi" w:hAnsiTheme="majorHAnsi" w:cstheme="majorHAnsi"/>
                <w:bCs/>
                <w:color w:val="auto"/>
                <w:sz w:val="20"/>
                <w:lang w:val="en-GB"/>
              </w:rPr>
              <w:t xml:space="preserve">ulfur </w:t>
            </w:r>
            <w:r w:rsidRPr="00D10E5F">
              <w:rPr>
                <w:rFonts w:asciiTheme="majorHAnsi" w:hAnsiTheme="majorHAnsi" w:cstheme="majorHAnsi"/>
                <w:bCs/>
                <w:sz w:val="20"/>
              </w:rPr>
              <w:t>Oxide</w:t>
            </w:r>
          </w:p>
        </w:tc>
      </w:tr>
      <w:tr w:rsidR="007E0446" w:rsidRPr="0045629F" w14:paraId="3854E726" w14:textId="77777777" w:rsidTr="00182AD5">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6DE41AEB" w14:textId="77777777" w:rsidR="007E0446" w:rsidRPr="00D10E5F" w:rsidRDefault="007E0446" w:rsidP="00182AD5">
            <w:pPr>
              <w:rPr>
                <w:rFonts w:asciiTheme="majorHAnsi" w:hAnsiTheme="majorHAnsi" w:cstheme="majorHAnsi"/>
                <w:b w:val="0"/>
                <w:color w:val="auto"/>
                <w:sz w:val="20"/>
                <w:lang w:val="en-GB"/>
              </w:rPr>
            </w:pPr>
            <w:r w:rsidRPr="00D10E5F">
              <w:rPr>
                <w:rFonts w:asciiTheme="majorHAnsi" w:hAnsiTheme="majorHAnsi" w:cstheme="majorHAnsi"/>
                <w:b w:val="0"/>
                <w:color w:val="auto"/>
                <w:sz w:val="20"/>
                <w:lang w:val="en-GB"/>
              </w:rPr>
              <w:t>VOC</w:t>
            </w:r>
          </w:p>
        </w:tc>
        <w:tc>
          <w:tcPr>
            <w:tcW w:w="6380" w:type="dxa"/>
            <w:tcBorders>
              <w:top w:val="single" w:sz="4" w:space="0" w:color="002244"/>
              <w:left w:val="single" w:sz="4" w:space="0" w:color="002244"/>
              <w:bottom w:val="single" w:sz="4" w:space="0" w:color="002244"/>
              <w:right w:val="single" w:sz="4" w:space="0" w:color="002244"/>
            </w:tcBorders>
          </w:tcPr>
          <w:p w14:paraId="62E9A467" w14:textId="77777777" w:rsidR="007E0446" w:rsidRPr="00D10E5F" w:rsidRDefault="007E0446" w:rsidP="00182AD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sz w:val="20"/>
                <w:lang w:val="en-GB"/>
              </w:rPr>
            </w:pPr>
            <w:r w:rsidRPr="00D10E5F">
              <w:rPr>
                <w:rFonts w:asciiTheme="majorHAnsi" w:hAnsiTheme="majorHAnsi" w:cstheme="majorHAnsi"/>
                <w:bCs/>
                <w:sz w:val="20"/>
              </w:rPr>
              <w:t>V</w:t>
            </w:r>
            <w:r w:rsidRPr="00D10E5F">
              <w:rPr>
                <w:rFonts w:asciiTheme="majorHAnsi" w:hAnsiTheme="majorHAnsi" w:cstheme="majorHAnsi"/>
                <w:bCs/>
                <w:color w:val="auto"/>
                <w:sz w:val="20"/>
                <w:lang w:val="en-GB"/>
              </w:rPr>
              <w:t xml:space="preserve">olatile </w:t>
            </w:r>
            <w:r w:rsidRPr="00D10E5F">
              <w:rPr>
                <w:rFonts w:asciiTheme="majorHAnsi" w:hAnsiTheme="majorHAnsi" w:cstheme="majorHAnsi"/>
                <w:bCs/>
                <w:sz w:val="20"/>
              </w:rPr>
              <w:t>Organic Compounds</w:t>
            </w:r>
          </w:p>
        </w:tc>
      </w:tr>
      <w:tr w:rsidR="007E0446" w:rsidRPr="0045629F" w14:paraId="657078A7" w14:textId="77777777" w:rsidTr="00182AD5">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2C346D94" w14:textId="77777777" w:rsidR="007E0446" w:rsidRPr="00137154" w:rsidRDefault="007E0446" w:rsidP="00182AD5">
            <w:pPr>
              <w:rPr>
                <w:rFonts w:asciiTheme="majorHAnsi" w:hAnsiTheme="majorHAnsi" w:cstheme="majorHAnsi"/>
                <w:b w:val="0"/>
                <w:color w:val="auto"/>
                <w:sz w:val="22"/>
                <w:szCs w:val="22"/>
                <w:lang w:val="en-GB"/>
              </w:rPr>
            </w:pPr>
            <w:r w:rsidRPr="00D10E5F">
              <w:rPr>
                <w:rFonts w:asciiTheme="majorHAnsi" w:hAnsiTheme="majorHAnsi" w:cstheme="majorHAnsi"/>
                <w:b w:val="0"/>
                <w:color w:val="auto"/>
                <w:sz w:val="20"/>
                <w:lang w:val="en-GB"/>
              </w:rPr>
              <w:t>PM</w:t>
            </w:r>
          </w:p>
        </w:tc>
        <w:tc>
          <w:tcPr>
            <w:tcW w:w="6380" w:type="dxa"/>
            <w:tcBorders>
              <w:top w:val="single" w:sz="4" w:space="0" w:color="002244"/>
              <w:left w:val="single" w:sz="4" w:space="0" w:color="002244"/>
              <w:bottom w:val="single" w:sz="4" w:space="0" w:color="002244"/>
              <w:right w:val="single" w:sz="4" w:space="0" w:color="002244"/>
            </w:tcBorders>
          </w:tcPr>
          <w:p w14:paraId="725C9942" w14:textId="77777777" w:rsidR="007E0446" w:rsidRPr="00D10E5F" w:rsidRDefault="007E0446" w:rsidP="00182AD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sz w:val="22"/>
                <w:szCs w:val="22"/>
                <w:lang w:val="en-GB"/>
              </w:rPr>
            </w:pPr>
            <w:r w:rsidRPr="00D10E5F">
              <w:rPr>
                <w:rFonts w:asciiTheme="majorHAnsi" w:hAnsiTheme="majorHAnsi" w:cstheme="majorHAnsi"/>
                <w:bCs/>
                <w:sz w:val="20"/>
              </w:rPr>
              <w:t>Particular Matter</w:t>
            </w:r>
          </w:p>
        </w:tc>
      </w:tr>
      <w:tr w:rsidR="007E0446" w:rsidRPr="0045629F" w14:paraId="21DF5815" w14:textId="77777777" w:rsidTr="00182AD5">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26D18C4A" w14:textId="77777777" w:rsidR="007E0446" w:rsidRPr="00137154" w:rsidRDefault="007E0446" w:rsidP="00182AD5">
            <w:pPr>
              <w:rPr>
                <w:rFonts w:asciiTheme="majorHAnsi" w:hAnsiTheme="majorHAnsi" w:cstheme="majorHAnsi"/>
                <w:b w:val="0"/>
                <w:lang w:val="en-GB"/>
              </w:rPr>
            </w:pPr>
            <w:r w:rsidRPr="00137154">
              <w:rPr>
                <w:rFonts w:asciiTheme="majorHAnsi" w:hAnsiTheme="majorHAnsi" w:cstheme="majorHAnsi"/>
                <w:b w:val="0"/>
              </w:rPr>
              <w:t>RED</w:t>
            </w:r>
          </w:p>
        </w:tc>
        <w:tc>
          <w:tcPr>
            <w:tcW w:w="6380" w:type="dxa"/>
            <w:tcBorders>
              <w:top w:val="single" w:sz="4" w:space="0" w:color="002244"/>
              <w:left w:val="single" w:sz="4" w:space="0" w:color="002244"/>
              <w:bottom w:val="single" w:sz="4" w:space="0" w:color="002244"/>
              <w:right w:val="single" w:sz="4" w:space="0" w:color="002244"/>
            </w:tcBorders>
          </w:tcPr>
          <w:p w14:paraId="4FFFC2C1" w14:textId="77777777" w:rsidR="007E0446" w:rsidRPr="00D10E5F" w:rsidRDefault="007E0446" w:rsidP="00182AD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lang w:val="en-GB"/>
              </w:rPr>
            </w:pPr>
            <w:r w:rsidRPr="00D10E5F">
              <w:rPr>
                <w:rFonts w:asciiTheme="majorHAnsi" w:hAnsiTheme="majorHAnsi" w:cstheme="majorHAnsi"/>
                <w:bCs/>
              </w:rPr>
              <w:t>Renewable Energy Directive</w:t>
            </w:r>
          </w:p>
        </w:tc>
      </w:tr>
      <w:tr w:rsidR="007E0446" w:rsidRPr="0045629F" w14:paraId="3598FCA8" w14:textId="77777777" w:rsidTr="00182AD5">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1042DBAC" w14:textId="77777777" w:rsidR="007E0446" w:rsidRPr="00137154" w:rsidRDefault="007E0446" w:rsidP="00182AD5">
            <w:pPr>
              <w:rPr>
                <w:rFonts w:asciiTheme="majorHAnsi" w:hAnsiTheme="majorHAnsi" w:cstheme="majorHAnsi"/>
                <w:b w:val="0"/>
                <w:lang w:val="en-GB"/>
              </w:rPr>
            </w:pPr>
            <w:r w:rsidRPr="00137154">
              <w:rPr>
                <w:rFonts w:asciiTheme="majorHAnsi" w:hAnsiTheme="majorHAnsi" w:cstheme="majorHAnsi"/>
                <w:b w:val="0"/>
              </w:rPr>
              <w:t>ILUC</w:t>
            </w:r>
          </w:p>
        </w:tc>
        <w:tc>
          <w:tcPr>
            <w:tcW w:w="6380" w:type="dxa"/>
            <w:tcBorders>
              <w:top w:val="single" w:sz="4" w:space="0" w:color="002244"/>
              <w:left w:val="single" w:sz="4" w:space="0" w:color="002244"/>
              <w:bottom w:val="single" w:sz="4" w:space="0" w:color="002244"/>
              <w:right w:val="single" w:sz="4" w:space="0" w:color="002244"/>
            </w:tcBorders>
          </w:tcPr>
          <w:p w14:paraId="6FF2183E" w14:textId="77777777" w:rsidR="007E0446" w:rsidRPr="00D10E5F" w:rsidRDefault="007E0446" w:rsidP="00182AD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lang w:val="en-GB"/>
              </w:rPr>
            </w:pPr>
            <w:r w:rsidRPr="00D10E5F">
              <w:rPr>
                <w:rFonts w:asciiTheme="majorHAnsi" w:hAnsiTheme="majorHAnsi" w:cstheme="majorHAnsi"/>
                <w:bCs/>
              </w:rPr>
              <w:t>Indirect Land Use Change</w:t>
            </w:r>
          </w:p>
        </w:tc>
      </w:tr>
      <w:tr w:rsidR="007E0446" w:rsidRPr="0045629F" w14:paraId="35010C97" w14:textId="77777777" w:rsidTr="00182AD5">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492195DE" w14:textId="77777777" w:rsidR="007E0446" w:rsidRPr="00137154" w:rsidRDefault="007E0446" w:rsidP="00182AD5">
            <w:pPr>
              <w:rPr>
                <w:rFonts w:asciiTheme="majorHAnsi" w:hAnsiTheme="majorHAnsi" w:cstheme="majorHAnsi"/>
                <w:b w:val="0"/>
                <w:lang w:val="en-GB"/>
              </w:rPr>
            </w:pPr>
            <w:r w:rsidRPr="00137154">
              <w:rPr>
                <w:rFonts w:asciiTheme="majorHAnsi" w:hAnsiTheme="majorHAnsi" w:cstheme="majorHAnsi"/>
                <w:b w:val="0"/>
              </w:rPr>
              <w:t>HBE</w:t>
            </w:r>
          </w:p>
        </w:tc>
        <w:tc>
          <w:tcPr>
            <w:tcW w:w="6380" w:type="dxa"/>
            <w:tcBorders>
              <w:top w:val="single" w:sz="4" w:space="0" w:color="002244"/>
              <w:left w:val="single" w:sz="4" w:space="0" w:color="002244"/>
              <w:bottom w:val="single" w:sz="4" w:space="0" w:color="002244"/>
              <w:right w:val="single" w:sz="4" w:space="0" w:color="002244"/>
            </w:tcBorders>
          </w:tcPr>
          <w:p w14:paraId="287F4183" w14:textId="77777777" w:rsidR="007E0446" w:rsidRPr="00D10E5F" w:rsidRDefault="007E0446" w:rsidP="00182AD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lang w:val="en-GB"/>
              </w:rPr>
            </w:pPr>
            <w:r w:rsidRPr="00D10E5F">
              <w:rPr>
                <w:rFonts w:asciiTheme="majorHAnsi" w:hAnsiTheme="majorHAnsi" w:cstheme="majorHAnsi"/>
                <w:bCs/>
              </w:rPr>
              <w:t>Hernieuwbare Brandstofeenheden</w:t>
            </w:r>
          </w:p>
        </w:tc>
      </w:tr>
      <w:tr w:rsidR="007E0446" w:rsidRPr="0045629F" w14:paraId="7BD925B5" w14:textId="77777777" w:rsidTr="00182AD5">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044CDA12" w14:textId="77777777" w:rsidR="007E0446" w:rsidRPr="00137154" w:rsidRDefault="007E0446" w:rsidP="00182AD5">
            <w:pPr>
              <w:rPr>
                <w:rFonts w:asciiTheme="majorHAnsi" w:hAnsiTheme="majorHAnsi" w:cstheme="majorHAnsi"/>
                <w:b w:val="0"/>
                <w:lang w:val="en-GB"/>
              </w:rPr>
            </w:pPr>
            <w:r w:rsidRPr="00137154">
              <w:rPr>
                <w:rFonts w:asciiTheme="majorHAnsi" w:hAnsiTheme="majorHAnsi" w:cstheme="majorHAnsi"/>
                <w:b w:val="0"/>
              </w:rPr>
              <w:t>EGD</w:t>
            </w:r>
          </w:p>
        </w:tc>
        <w:tc>
          <w:tcPr>
            <w:tcW w:w="6380" w:type="dxa"/>
            <w:tcBorders>
              <w:top w:val="single" w:sz="4" w:space="0" w:color="002244"/>
              <w:left w:val="single" w:sz="4" w:space="0" w:color="002244"/>
              <w:bottom w:val="single" w:sz="4" w:space="0" w:color="002244"/>
              <w:right w:val="single" w:sz="4" w:space="0" w:color="002244"/>
            </w:tcBorders>
          </w:tcPr>
          <w:p w14:paraId="13569685" w14:textId="77777777" w:rsidR="007E0446" w:rsidRPr="00D10E5F" w:rsidRDefault="007E0446" w:rsidP="00182AD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lang w:val="en-GB"/>
              </w:rPr>
            </w:pPr>
            <w:r w:rsidRPr="00D10E5F">
              <w:rPr>
                <w:rFonts w:asciiTheme="majorHAnsi" w:hAnsiTheme="majorHAnsi" w:cstheme="majorHAnsi"/>
                <w:bCs/>
              </w:rPr>
              <w:t>European Green Deal</w:t>
            </w:r>
          </w:p>
        </w:tc>
      </w:tr>
      <w:tr w:rsidR="007E0446" w:rsidRPr="0045629F" w14:paraId="1F221275" w14:textId="77777777" w:rsidTr="00182AD5">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54889633" w14:textId="77777777" w:rsidR="007E0446" w:rsidRPr="00137154" w:rsidRDefault="007E0446" w:rsidP="00182AD5">
            <w:pPr>
              <w:rPr>
                <w:rFonts w:asciiTheme="majorHAnsi" w:hAnsiTheme="majorHAnsi" w:cstheme="majorHAnsi"/>
                <w:b w:val="0"/>
                <w:color w:val="auto"/>
                <w:sz w:val="22"/>
                <w:szCs w:val="22"/>
                <w:lang w:val="en-GB"/>
              </w:rPr>
            </w:pPr>
            <w:r w:rsidRPr="00137154">
              <w:rPr>
                <w:rFonts w:asciiTheme="majorHAnsi" w:hAnsiTheme="majorHAnsi" w:cstheme="majorHAnsi"/>
                <w:b w:val="0"/>
              </w:rPr>
              <w:t>ETS</w:t>
            </w:r>
          </w:p>
        </w:tc>
        <w:tc>
          <w:tcPr>
            <w:tcW w:w="6380" w:type="dxa"/>
            <w:tcBorders>
              <w:top w:val="single" w:sz="4" w:space="0" w:color="002244"/>
              <w:left w:val="single" w:sz="4" w:space="0" w:color="002244"/>
              <w:bottom w:val="single" w:sz="4" w:space="0" w:color="002244"/>
              <w:right w:val="single" w:sz="4" w:space="0" w:color="002244"/>
            </w:tcBorders>
          </w:tcPr>
          <w:p w14:paraId="16F70FB3" w14:textId="77777777" w:rsidR="007E0446" w:rsidRPr="00D10E5F" w:rsidRDefault="007E0446" w:rsidP="00182AD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sz w:val="22"/>
                <w:szCs w:val="22"/>
                <w:lang w:val="en-GB"/>
              </w:rPr>
            </w:pPr>
            <w:r w:rsidRPr="00D10E5F">
              <w:rPr>
                <w:rFonts w:asciiTheme="majorHAnsi" w:hAnsiTheme="majorHAnsi" w:cstheme="majorHAnsi"/>
                <w:bCs/>
              </w:rPr>
              <w:t>Emission Trading System</w:t>
            </w:r>
          </w:p>
        </w:tc>
      </w:tr>
      <w:tr w:rsidR="007E0446" w:rsidRPr="0045629F" w14:paraId="785B36CA" w14:textId="77777777" w:rsidTr="00182AD5">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792AD077" w14:textId="77777777" w:rsidR="007E0446" w:rsidRPr="00137154" w:rsidRDefault="007E0446" w:rsidP="00182AD5">
            <w:pPr>
              <w:rPr>
                <w:rFonts w:asciiTheme="majorHAnsi" w:hAnsiTheme="majorHAnsi" w:cstheme="majorHAnsi"/>
                <w:b w:val="0"/>
                <w:sz w:val="20"/>
                <w:lang w:val="en-GB"/>
              </w:rPr>
            </w:pPr>
            <w:r w:rsidRPr="00D10E5F">
              <w:rPr>
                <w:rFonts w:asciiTheme="majorHAnsi" w:hAnsiTheme="majorHAnsi" w:cstheme="majorHAnsi"/>
                <w:b w:val="0"/>
                <w:color w:val="auto"/>
                <w:sz w:val="20"/>
                <w:lang w:val="en-GB"/>
              </w:rPr>
              <w:t>HFO</w:t>
            </w:r>
          </w:p>
        </w:tc>
        <w:tc>
          <w:tcPr>
            <w:tcW w:w="6380" w:type="dxa"/>
            <w:tcBorders>
              <w:top w:val="single" w:sz="4" w:space="0" w:color="002244"/>
              <w:left w:val="single" w:sz="4" w:space="0" w:color="002244"/>
              <w:bottom w:val="single" w:sz="4" w:space="0" w:color="002244"/>
              <w:right w:val="single" w:sz="4" w:space="0" w:color="002244"/>
            </w:tcBorders>
          </w:tcPr>
          <w:p w14:paraId="7A8C6DBF" w14:textId="77777777" w:rsidR="007E0446" w:rsidRPr="00D10E5F" w:rsidRDefault="007E0446" w:rsidP="00182AD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lang w:val="en-GB"/>
              </w:rPr>
            </w:pPr>
            <w:r w:rsidRPr="00D10E5F">
              <w:rPr>
                <w:rFonts w:asciiTheme="majorHAnsi" w:hAnsiTheme="majorHAnsi" w:cstheme="majorHAnsi"/>
                <w:bCs/>
                <w:sz w:val="20"/>
              </w:rPr>
              <w:t>Heavy Fuel Oil</w:t>
            </w:r>
          </w:p>
        </w:tc>
      </w:tr>
      <w:tr w:rsidR="007E0446" w:rsidRPr="0045629F" w14:paraId="4BC21372" w14:textId="77777777" w:rsidTr="00182AD5">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5E51CDB4" w14:textId="77777777" w:rsidR="007E0446" w:rsidRPr="00137154" w:rsidRDefault="007E0446" w:rsidP="00182AD5">
            <w:pPr>
              <w:rPr>
                <w:rFonts w:cs="Calibri"/>
                <w:b w:val="0"/>
                <w:color w:val="auto"/>
                <w:sz w:val="22"/>
                <w:szCs w:val="22"/>
                <w:lang w:val="en-GB"/>
              </w:rPr>
            </w:pPr>
            <w:r w:rsidRPr="00137154">
              <w:rPr>
                <w:rFonts w:cs="Calibri"/>
                <w:b w:val="0"/>
              </w:rPr>
              <w:t xml:space="preserve">LNG </w:t>
            </w:r>
          </w:p>
        </w:tc>
        <w:tc>
          <w:tcPr>
            <w:tcW w:w="6380" w:type="dxa"/>
            <w:tcBorders>
              <w:top w:val="single" w:sz="4" w:space="0" w:color="002244"/>
              <w:left w:val="single" w:sz="4" w:space="0" w:color="002244"/>
              <w:bottom w:val="single" w:sz="4" w:space="0" w:color="002244"/>
              <w:right w:val="single" w:sz="4" w:space="0" w:color="002244"/>
            </w:tcBorders>
          </w:tcPr>
          <w:p w14:paraId="034D6902" w14:textId="77777777" w:rsidR="007E0446" w:rsidRPr="00D10E5F" w:rsidRDefault="007E0446" w:rsidP="00182AD5">
            <w:pPr>
              <w:cnfStyle w:val="000000000000" w:firstRow="0" w:lastRow="0" w:firstColumn="0" w:lastColumn="0" w:oddVBand="0" w:evenVBand="0" w:oddHBand="0" w:evenHBand="0" w:firstRowFirstColumn="0" w:firstRowLastColumn="0" w:lastRowFirstColumn="0" w:lastRowLastColumn="0"/>
              <w:rPr>
                <w:rFonts w:cs="Calibri"/>
                <w:bCs/>
                <w:color w:val="auto"/>
                <w:sz w:val="22"/>
                <w:szCs w:val="22"/>
                <w:lang w:val="en-GB"/>
              </w:rPr>
            </w:pPr>
            <w:r w:rsidRPr="00D10E5F">
              <w:rPr>
                <w:rFonts w:cs="Calibri"/>
                <w:bCs/>
              </w:rPr>
              <w:t>Liquefied Natural Gas</w:t>
            </w:r>
          </w:p>
        </w:tc>
      </w:tr>
      <w:tr w:rsidR="007E0446" w:rsidRPr="0045629F" w14:paraId="0DB0CDEF" w14:textId="77777777" w:rsidTr="00182AD5">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6F70CC36" w14:textId="77777777" w:rsidR="007E0446" w:rsidRPr="00137154" w:rsidRDefault="007E0446" w:rsidP="00182AD5">
            <w:pPr>
              <w:rPr>
                <w:rFonts w:cs="Calibri"/>
                <w:b w:val="0"/>
              </w:rPr>
            </w:pPr>
            <w:r w:rsidRPr="00137154">
              <w:rPr>
                <w:rFonts w:cs="Calibri"/>
                <w:b w:val="0"/>
              </w:rPr>
              <w:t>MGO</w:t>
            </w:r>
          </w:p>
        </w:tc>
        <w:tc>
          <w:tcPr>
            <w:tcW w:w="6380" w:type="dxa"/>
            <w:tcBorders>
              <w:top w:val="single" w:sz="4" w:space="0" w:color="002244"/>
              <w:left w:val="single" w:sz="4" w:space="0" w:color="002244"/>
              <w:bottom w:val="single" w:sz="4" w:space="0" w:color="002244"/>
              <w:right w:val="single" w:sz="4" w:space="0" w:color="002244"/>
            </w:tcBorders>
          </w:tcPr>
          <w:p w14:paraId="5557359E" w14:textId="77777777" w:rsidR="007E0446" w:rsidRPr="00D10E5F" w:rsidRDefault="007E0446" w:rsidP="00182AD5">
            <w:pPr>
              <w:cnfStyle w:val="000000000000" w:firstRow="0" w:lastRow="0" w:firstColumn="0" w:lastColumn="0" w:oddVBand="0" w:evenVBand="0" w:oddHBand="0" w:evenHBand="0" w:firstRowFirstColumn="0" w:firstRowLastColumn="0" w:lastRowFirstColumn="0" w:lastRowLastColumn="0"/>
              <w:rPr>
                <w:rFonts w:cs="Calibri"/>
                <w:bCs/>
              </w:rPr>
            </w:pPr>
            <w:r w:rsidRPr="00D10E5F">
              <w:rPr>
                <w:rFonts w:cs="Calibri"/>
                <w:bCs/>
              </w:rPr>
              <w:t>Marine Gas Oil</w:t>
            </w:r>
          </w:p>
        </w:tc>
      </w:tr>
      <w:tr w:rsidR="007E0446" w:rsidRPr="0045629F" w14:paraId="17FF9C34" w14:textId="77777777" w:rsidTr="00182AD5">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52D91401" w14:textId="77777777" w:rsidR="007E0446" w:rsidRPr="00137154" w:rsidRDefault="007E0446" w:rsidP="00182AD5">
            <w:pPr>
              <w:rPr>
                <w:rFonts w:cs="Calibri"/>
                <w:b w:val="0"/>
              </w:rPr>
            </w:pPr>
            <w:r w:rsidRPr="00137154">
              <w:rPr>
                <w:rFonts w:cs="Calibri"/>
                <w:b w:val="0"/>
              </w:rPr>
              <w:t>MDO</w:t>
            </w:r>
          </w:p>
        </w:tc>
        <w:tc>
          <w:tcPr>
            <w:tcW w:w="6380" w:type="dxa"/>
            <w:tcBorders>
              <w:top w:val="single" w:sz="4" w:space="0" w:color="002244"/>
              <w:left w:val="single" w:sz="4" w:space="0" w:color="002244"/>
              <w:bottom w:val="single" w:sz="4" w:space="0" w:color="002244"/>
              <w:right w:val="single" w:sz="4" w:space="0" w:color="002244"/>
            </w:tcBorders>
          </w:tcPr>
          <w:p w14:paraId="6CE13D75" w14:textId="77777777" w:rsidR="007E0446" w:rsidRPr="00D10E5F" w:rsidRDefault="007E0446" w:rsidP="00182AD5">
            <w:pPr>
              <w:cnfStyle w:val="000000000000" w:firstRow="0" w:lastRow="0" w:firstColumn="0" w:lastColumn="0" w:oddVBand="0" w:evenVBand="0" w:oddHBand="0" w:evenHBand="0" w:firstRowFirstColumn="0" w:firstRowLastColumn="0" w:lastRowFirstColumn="0" w:lastRowLastColumn="0"/>
              <w:rPr>
                <w:rFonts w:cs="Calibri"/>
                <w:bCs/>
              </w:rPr>
            </w:pPr>
            <w:r w:rsidRPr="00D10E5F">
              <w:rPr>
                <w:rFonts w:asciiTheme="majorHAnsi" w:hAnsiTheme="majorHAnsi" w:cstheme="majorBidi"/>
                <w:bCs/>
              </w:rPr>
              <w:t>Marine Diesel Oil</w:t>
            </w:r>
          </w:p>
        </w:tc>
      </w:tr>
      <w:tr w:rsidR="007E0446" w:rsidRPr="0045629F" w14:paraId="52A231F1" w14:textId="77777777" w:rsidTr="00182AD5">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4418438B" w14:textId="77777777" w:rsidR="007E0446" w:rsidRPr="00137154" w:rsidRDefault="007E0446" w:rsidP="00182AD5">
            <w:pPr>
              <w:rPr>
                <w:rFonts w:cs="Calibri"/>
                <w:b w:val="0"/>
              </w:rPr>
            </w:pPr>
            <w:r w:rsidRPr="00137154">
              <w:rPr>
                <w:rFonts w:cs="Calibri"/>
                <w:b w:val="0"/>
              </w:rPr>
              <w:t>HVO</w:t>
            </w:r>
          </w:p>
        </w:tc>
        <w:tc>
          <w:tcPr>
            <w:tcW w:w="6380" w:type="dxa"/>
            <w:tcBorders>
              <w:top w:val="single" w:sz="4" w:space="0" w:color="002244"/>
              <w:left w:val="single" w:sz="4" w:space="0" w:color="002244"/>
              <w:bottom w:val="single" w:sz="4" w:space="0" w:color="002244"/>
              <w:right w:val="single" w:sz="4" w:space="0" w:color="002244"/>
            </w:tcBorders>
          </w:tcPr>
          <w:p w14:paraId="71E3FE5D" w14:textId="77777777" w:rsidR="007E0446" w:rsidRPr="00D10E5F" w:rsidRDefault="007E0446" w:rsidP="00182AD5">
            <w:pPr>
              <w:cnfStyle w:val="000000000000" w:firstRow="0" w:lastRow="0" w:firstColumn="0" w:lastColumn="0" w:oddVBand="0" w:evenVBand="0" w:oddHBand="0" w:evenHBand="0" w:firstRowFirstColumn="0" w:firstRowLastColumn="0" w:lastRowFirstColumn="0" w:lastRowLastColumn="0"/>
              <w:rPr>
                <w:rFonts w:cs="Calibri"/>
                <w:bCs/>
              </w:rPr>
            </w:pPr>
            <w:r w:rsidRPr="00D10E5F">
              <w:rPr>
                <w:rFonts w:asciiTheme="majorHAnsi" w:hAnsiTheme="majorHAnsi" w:cstheme="majorBidi"/>
                <w:bCs/>
              </w:rPr>
              <w:t>Hydrotreated Vegetal Oil</w:t>
            </w:r>
          </w:p>
        </w:tc>
      </w:tr>
      <w:tr w:rsidR="007E0446" w:rsidRPr="0045629F" w14:paraId="453A707C" w14:textId="77777777" w:rsidTr="00182AD5">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3362C3A4" w14:textId="77777777" w:rsidR="007E0446" w:rsidRPr="00137154" w:rsidRDefault="007E0446" w:rsidP="00182AD5">
            <w:pPr>
              <w:rPr>
                <w:rFonts w:cs="Calibri"/>
                <w:b w:val="0"/>
              </w:rPr>
            </w:pPr>
            <w:r w:rsidRPr="00137154">
              <w:rPr>
                <w:rFonts w:cs="Calibri"/>
                <w:b w:val="0"/>
              </w:rPr>
              <w:t>FAME</w:t>
            </w:r>
          </w:p>
        </w:tc>
        <w:tc>
          <w:tcPr>
            <w:tcW w:w="6380" w:type="dxa"/>
            <w:tcBorders>
              <w:top w:val="single" w:sz="4" w:space="0" w:color="002244"/>
              <w:left w:val="single" w:sz="4" w:space="0" w:color="002244"/>
              <w:bottom w:val="single" w:sz="4" w:space="0" w:color="002244"/>
              <w:right w:val="single" w:sz="4" w:space="0" w:color="002244"/>
            </w:tcBorders>
          </w:tcPr>
          <w:p w14:paraId="6EF8434A" w14:textId="77777777" w:rsidR="007E0446" w:rsidRPr="00D10E5F" w:rsidRDefault="007E0446" w:rsidP="00182AD5">
            <w:pPr>
              <w:cnfStyle w:val="000000000000" w:firstRow="0" w:lastRow="0" w:firstColumn="0" w:lastColumn="0" w:oddVBand="0" w:evenVBand="0" w:oddHBand="0" w:evenHBand="0" w:firstRowFirstColumn="0" w:firstRowLastColumn="0" w:lastRowFirstColumn="0" w:lastRowLastColumn="0"/>
              <w:rPr>
                <w:rFonts w:cs="Calibri"/>
                <w:bCs/>
              </w:rPr>
            </w:pPr>
            <w:r w:rsidRPr="00D10E5F">
              <w:rPr>
                <w:rFonts w:asciiTheme="majorHAnsi" w:hAnsiTheme="majorHAnsi" w:cstheme="majorBidi"/>
                <w:bCs/>
              </w:rPr>
              <w:t>Fatty Acid Methyl Ester</w:t>
            </w:r>
          </w:p>
        </w:tc>
      </w:tr>
    </w:tbl>
    <w:p w14:paraId="194B116B" w14:textId="70E7D521" w:rsidR="00CF57E9" w:rsidRDefault="007E0446">
      <w:pPr>
        <w:spacing w:after="160" w:line="259" w:lineRule="auto"/>
        <w:jc w:val="left"/>
        <w:rPr>
          <w:lang w:val="en-GB"/>
        </w:rPr>
      </w:pPr>
      <w:r w:rsidRPr="0045629F">
        <w:rPr>
          <w:lang w:val="en-GB"/>
        </w:rPr>
        <w:fldChar w:fldCharType="end"/>
      </w:r>
    </w:p>
    <w:p w14:paraId="7C8967D5" w14:textId="09B5AA18" w:rsidR="00CF57E9" w:rsidRDefault="00CF57E9">
      <w:pPr>
        <w:spacing w:after="160" w:line="259" w:lineRule="auto"/>
        <w:jc w:val="left"/>
        <w:rPr>
          <w:lang w:val="en-GB"/>
        </w:rPr>
      </w:pPr>
      <w:r>
        <w:rPr>
          <w:lang w:val="en-GB"/>
        </w:rPr>
        <w:br w:type="page"/>
      </w:r>
    </w:p>
    <w:p w14:paraId="79D53088" w14:textId="77777777" w:rsidR="00EC0977" w:rsidRPr="00C31319" w:rsidRDefault="00EC0977" w:rsidP="00DC3405">
      <w:pPr>
        <w:pStyle w:val="Heading1"/>
      </w:pPr>
      <w:bookmarkStart w:id="5" w:name="_Toc42678637"/>
      <w:bookmarkStart w:id="6" w:name="_Toc85627853"/>
      <w:r>
        <w:lastRenderedPageBreak/>
        <w:t>Introduction</w:t>
      </w:r>
      <w:bookmarkEnd w:id="5"/>
      <w:bookmarkEnd w:id="6"/>
    </w:p>
    <w:p w14:paraId="4103B56E" w14:textId="6DE8D254" w:rsidR="362A3EC5" w:rsidRDefault="362A3EC5" w:rsidP="362A3EC5">
      <w:pPr>
        <w:rPr>
          <w:szCs w:val="21"/>
        </w:rPr>
      </w:pPr>
    </w:p>
    <w:p w14:paraId="02B3C76C" w14:textId="1A474AAB" w:rsidR="00EC0977" w:rsidRDefault="18F1886A" w:rsidP="005D6854">
      <w:pPr>
        <w:pStyle w:val="Heading2"/>
      </w:pPr>
      <w:bookmarkStart w:id="7" w:name="_Toc85627854"/>
      <w:r>
        <w:t>Background</w:t>
      </w:r>
      <w:r w:rsidR="3CAD31CD">
        <w:t xml:space="preserve"> IDEALFUEL Bio-HFO</w:t>
      </w:r>
      <w:bookmarkEnd w:id="7"/>
    </w:p>
    <w:p w14:paraId="448F6000" w14:textId="0C47194C" w:rsidR="5937A937" w:rsidRDefault="5937A937" w:rsidP="5937A937">
      <w:pPr>
        <w:rPr>
          <w:szCs w:val="21"/>
        </w:rPr>
      </w:pPr>
    </w:p>
    <w:p w14:paraId="22B8B703" w14:textId="66C0D252" w:rsidR="009E3767" w:rsidRPr="000B393A" w:rsidRDefault="6B49D179" w:rsidP="00766A25">
      <w:pPr>
        <w:spacing w:after="120" w:line="360" w:lineRule="auto"/>
        <w:ind w:firstLine="444"/>
        <w:rPr>
          <w:rFonts w:asciiTheme="majorHAnsi" w:hAnsiTheme="majorHAnsi" w:cstheme="majorBidi"/>
          <w:sz w:val="22"/>
          <w:szCs w:val="22"/>
        </w:rPr>
      </w:pPr>
      <w:r w:rsidRPr="5937A937">
        <w:rPr>
          <w:rFonts w:asciiTheme="majorHAnsi" w:hAnsiTheme="majorHAnsi" w:cstheme="majorBidi"/>
          <w:sz w:val="22"/>
          <w:szCs w:val="22"/>
          <w:lang w:val="en-GB"/>
        </w:rPr>
        <w:t xml:space="preserve">The maritime </w:t>
      </w:r>
      <w:r w:rsidR="0DAD5EA3" w:rsidRPr="5937A937">
        <w:rPr>
          <w:rFonts w:asciiTheme="majorHAnsi" w:hAnsiTheme="majorHAnsi" w:cstheme="majorBidi"/>
          <w:sz w:val="22"/>
          <w:szCs w:val="22"/>
          <w:lang w:val="en-GB"/>
        </w:rPr>
        <w:t xml:space="preserve">industry </w:t>
      </w:r>
      <w:r w:rsidRPr="5937A937">
        <w:rPr>
          <w:rFonts w:asciiTheme="majorHAnsi" w:hAnsiTheme="majorHAnsi" w:cstheme="majorBidi"/>
          <w:sz w:val="22"/>
          <w:szCs w:val="22"/>
          <w:lang w:val="en-GB"/>
        </w:rPr>
        <w:t xml:space="preserve">is a growing </w:t>
      </w:r>
      <w:r w:rsidR="0244E872" w:rsidRPr="5937A937">
        <w:rPr>
          <w:rFonts w:asciiTheme="majorHAnsi" w:hAnsiTheme="majorHAnsi" w:cstheme="majorBidi"/>
          <w:sz w:val="22"/>
          <w:szCs w:val="22"/>
          <w:lang w:val="en-GB"/>
        </w:rPr>
        <w:t>business</w:t>
      </w:r>
      <w:r w:rsidRPr="5937A937">
        <w:rPr>
          <w:rFonts w:asciiTheme="majorHAnsi" w:hAnsiTheme="majorHAnsi" w:cstheme="majorBidi"/>
          <w:sz w:val="22"/>
          <w:szCs w:val="22"/>
          <w:lang w:val="en-GB"/>
        </w:rPr>
        <w:t>, w</w:t>
      </w:r>
      <w:r w:rsidR="5FB205B6" w:rsidRPr="5937A937">
        <w:rPr>
          <w:rFonts w:asciiTheme="majorHAnsi" w:hAnsiTheme="majorHAnsi" w:cstheme="majorBidi"/>
          <w:sz w:val="22"/>
          <w:szCs w:val="22"/>
          <w:lang w:val="en-GB"/>
        </w:rPr>
        <w:t xml:space="preserve">hich accounts for </w:t>
      </w:r>
      <w:r w:rsidR="726196C0" w:rsidRPr="5937A937">
        <w:rPr>
          <w:rFonts w:asciiTheme="majorHAnsi" w:hAnsiTheme="majorHAnsi" w:cstheme="majorBidi"/>
          <w:sz w:val="22"/>
          <w:szCs w:val="22"/>
          <w:lang w:val="en-GB"/>
        </w:rPr>
        <w:t xml:space="preserve">12 % of total transport </w:t>
      </w:r>
      <w:r w:rsidR="00862D32" w:rsidRPr="5937A937">
        <w:rPr>
          <w:rFonts w:asciiTheme="majorHAnsi" w:hAnsiTheme="majorHAnsi" w:cstheme="majorBidi"/>
          <w:sz w:val="22"/>
          <w:szCs w:val="22"/>
          <w:lang w:val="en-GB"/>
        </w:rPr>
        <w:t xml:space="preserve">global </w:t>
      </w:r>
      <w:r w:rsidR="726196C0" w:rsidRPr="5937A937">
        <w:rPr>
          <w:rFonts w:asciiTheme="majorHAnsi" w:hAnsiTheme="majorHAnsi" w:cstheme="majorBidi"/>
          <w:sz w:val="22"/>
          <w:szCs w:val="22"/>
          <w:lang w:val="en-GB"/>
        </w:rPr>
        <w:t xml:space="preserve">energy demand </w:t>
      </w:r>
      <w:r w:rsidR="187486A6" w:rsidRPr="5937A937">
        <w:rPr>
          <w:rFonts w:asciiTheme="majorHAnsi" w:hAnsiTheme="majorHAnsi" w:cstheme="majorBidi"/>
          <w:sz w:val="22"/>
          <w:szCs w:val="22"/>
          <w:lang w:val="en-GB"/>
        </w:rPr>
        <w:t xml:space="preserve">with </w:t>
      </w:r>
      <w:r w:rsidR="00766A25">
        <w:rPr>
          <w:rFonts w:asciiTheme="majorHAnsi" w:hAnsiTheme="majorHAnsi" w:cstheme="majorBidi"/>
          <w:sz w:val="22"/>
          <w:szCs w:val="22"/>
          <w:lang w:val="en-GB"/>
        </w:rPr>
        <w:t>a significant share on</w:t>
      </w:r>
      <w:r w:rsidR="008A0DFD" w:rsidRPr="008A0DFD">
        <w:rPr>
          <w:rFonts w:asciiTheme="majorHAnsi" w:hAnsiTheme="majorHAnsi" w:cstheme="majorBidi"/>
          <w:sz w:val="22"/>
          <w:szCs w:val="22"/>
          <w:lang w:val="en-GB"/>
        </w:rPr>
        <w:t xml:space="preserve"> </w:t>
      </w:r>
      <w:r w:rsidR="008A0DFD" w:rsidRPr="5937A937">
        <w:rPr>
          <w:rFonts w:asciiTheme="majorHAnsi" w:hAnsiTheme="majorHAnsi" w:cstheme="majorBidi"/>
          <w:sz w:val="22"/>
          <w:szCs w:val="22"/>
          <w:lang w:val="en-GB"/>
        </w:rPr>
        <w:t>CO</w:t>
      </w:r>
      <w:r w:rsidR="008A0DFD" w:rsidRPr="00D852D9">
        <w:rPr>
          <w:rFonts w:asciiTheme="majorHAnsi" w:hAnsiTheme="majorHAnsi" w:cstheme="majorBidi"/>
          <w:sz w:val="22"/>
          <w:szCs w:val="22"/>
          <w:vertAlign w:val="subscript"/>
          <w:lang w:val="en-GB"/>
        </w:rPr>
        <w:t>2</w:t>
      </w:r>
      <w:r w:rsidR="187486A6" w:rsidRPr="5937A937">
        <w:rPr>
          <w:rFonts w:asciiTheme="majorHAnsi" w:hAnsiTheme="majorHAnsi" w:cstheme="majorBidi"/>
          <w:sz w:val="22"/>
          <w:szCs w:val="22"/>
          <w:lang w:val="en-GB"/>
        </w:rPr>
        <w:t xml:space="preserve"> emissions</w:t>
      </w:r>
      <w:r w:rsidR="003B4A74">
        <w:rPr>
          <w:rFonts w:asciiTheme="majorHAnsi" w:hAnsiTheme="majorHAnsi" w:cstheme="majorBidi"/>
          <w:sz w:val="22"/>
          <w:szCs w:val="22"/>
          <w:lang w:val="en-GB"/>
        </w:rPr>
        <w:t xml:space="preserve"> </w:t>
      </w:r>
      <w:r w:rsidR="003B4A74">
        <w:rPr>
          <w:rFonts w:asciiTheme="majorHAnsi" w:hAnsiTheme="majorHAnsi" w:cstheme="majorBidi"/>
          <w:sz w:val="22"/>
          <w:szCs w:val="22"/>
          <w:lang w:val="en-GB"/>
        </w:rPr>
        <w:fldChar w:fldCharType="begin" w:fldLock="1"/>
      </w:r>
      <w:r w:rsidR="003B4A74">
        <w:rPr>
          <w:rFonts w:asciiTheme="majorHAnsi" w:hAnsiTheme="majorHAnsi" w:cstheme="majorBidi"/>
          <w:sz w:val="22"/>
          <w:szCs w:val="22"/>
          <w:lang w:val="en-GB"/>
        </w:rPr>
        <w:instrText>ADDIN CSL_CITATION {"citationItems":[{"id":"ITEM-1","itemData":{"DOI":"10.1016/j.enconman.2018.12.080","ISSN":"01968904","abstract":"International shipping provides 80–90% of global trade, but strict environmental regulations around NOX, SOX and greenhouse gas (GHG) emissions are set to cause major technological shifts. The pathway to achieving the international target of 50% GHG reduction by 2050 is unclear, but numerous promising options exist. This study provides a holistic assessment of these options and their combined potential to decarbonise international shipping, from a technology, environmental and policy perspective. Liquefied natural gas (LNG) is reaching mainstream and provides 20–30% CO2 reductions whilst minimising SOX and other emissions. Costs are favourable, but GHG benefits are reduced by methane slip, which varies across engine types. Biofuels, hydrogen, nuclear and carbon capture and storage (CCS) could all decarbonise much further, but each faces significant barriers around their economics, resource potentials and public acceptability. Regarding efficiency measures, considerable fuel and GHG savings could be attained by slow-steaming, ship design changes and utilising renewable resources. There is clearly no single route and a multifaceted response is required for deep decarbonisation. The scale of this challenge is explored by estimating the combined decarbonisation potential of multiple options. Achieving 50% decarbonisation with LNG or electric propulsion would likely require 4 or more complementary efficiency measures to be applied simultaneously. Broadly, larger GHG reductions require stronger policy and may differentiate between short- and long-term approaches. With LNG being economically feasible and offering moderate environmental benefits, this may have short-term promise with minor policy intervention. Longer term, deeper decarbonisation will require strong financial incentives. Lowest-cost policy options should be fuel- or technology-agnostic, internationally applied and will require action now to ensure targets are met by 2050.","author":[{"dropping-particle":"","family":"Balcombe","given":"Paul","non-dropping-particle":"","parse-names":false,"suffix":""},{"dropping-particle":"","family":"Brierley","given":"James","non-dropping-particle":"","parse-names":false,"suffix":""},{"dropping-particle":"","family":"Lewis","given":"Chester","non-dropping-particle":"","parse-names":false,"suffix":""},{"dropping-particle":"","family":"Skatvedt","given":"Line","non-dropping-particle":"","parse-names":false,"suffix":""},{"dropping-particle":"","family":"Speirs","given":"Jamie","non-dropping-particle":"","parse-names":false,"suffix":""},{"dropping-particle":"","family":"Hawkes","given":"Adam","non-dropping-particle":"","parse-names":false,"suffix":""},{"dropping-particle":"","family":"Staffell","given":"Iain","non-dropping-particle":"","parse-names":false,"suffix":""}],"container-title":"Energy Conversion and Management","id":"ITEM-1","issue":"December 2018","issued":{"date-parts":[["2019"]]},"page":"72-88","title":"How to decarbonise international shipping: Options for fuels, technologies and policies","type":"article-journal","volume":"182"},"uris":["http://www.mendeley.com/documents/?uuid=96546af7-7da1-41da-8ebe-86d293776d81"]}],"mendeley":{"formattedCitation":"(Balcombe et al., 2019)","plainTextFormattedCitation":"(Balcombe et al., 2019)","previouslyFormattedCitation":"(Balcombe et al., 2019)"},"properties":{"noteIndex":0},"schema":"https://github.com/citation-style-language/schema/raw/master/csl-citation.json"}</w:instrText>
      </w:r>
      <w:r w:rsidR="003B4A74">
        <w:rPr>
          <w:rFonts w:asciiTheme="majorHAnsi" w:hAnsiTheme="majorHAnsi" w:cstheme="majorBidi"/>
          <w:sz w:val="22"/>
          <w:szCs w:val="22"/>
          <w:lang w:val="en-GB"/>
        </w:rPr>
        <w:fldChar w:fldCharType="separate"/>
      </w:r>
      <w:r w:rsidR="003B4A74" w:rsidRPr="003B4A74">
        <w:rPr>
          <w:rFonts w:asciiTheme="majorHAnsi" w:hAnsiTheme="majorHAnsi" w:cstheme="majorBidi"/>
          <w:noProof/>
          <w:sz w:val="22"/>
          <w:szCs w:val="22"/>
          <w:lang w:val="en-GB"/>
        </w:rPr>
        <w:t>(Balcombe et al., 2019)</w:t>
      </w:r>
      <w:r w:rsidR="003B4A74">
        <w:rPr>
          <w:rFonts w:asciiTheme="majorHAnsi" w:hAnsiTheme="majorHAnsi" w:cstheme="majorBidi"/>
          <w:sz w:val="22"/>
          <w:szCs w:val="22"/>
          <w:lang w:val="en-GB"/>
        </w:rPr>
        <w:fldChar w:fldCharType="end"/>
      </w:r>
      <w:r w:rsidR="187486A6" w:rsidRPr="5937A937">
        <w:rPr>
          <w:rFonts w:asciiTheme="majorHAnsi" w:hAnsiTheme="majorHAnsi" w:cstheme="majorBidi"/>
          <w:sz w:val="22"/>
          <w:szCs w:val="22"/>
          <w:lang w:val="en-GB"/>
        </w:rPr>
        <w:t>.</w:t>
      </w:r>
      <w:r w:rsidRPr="5937A937">
        <w:rPr>
          <w:rFonts w:asciiTheme="majorHAnsi" w:hAnsiTheme="majorHAnsi" w:cstheme="majorBidi"/>
          <w:sz w:val="22"/>
          <w:szCs w:val="22"/>
          <w:lang w:val="en-GB"/>
        </w:rPr>
        <w:t xml:space="preserve"> </w:t>
      </w:r>
      <w:r w:rsidR="7A59A4E0" w:rsidRPr="5937A937">
        <w:rPr>
          <w:rFonts w:asciiTheme="majorHAnsi" w:hAnsiTheme="majorHAnsi" w:cstheme="majorBidi"/>
          <w:sz w:val="22"/>
          <w:szCs w:val="22"/>
          <w:lang w:val="en-GB"/>
        </w:rPr>
        <w:t xml:space="preserve">Currently, </w:t>
      </w:r>
      <w:r w:rsidR="57196BD7" w:rsidRPr="5937A937">
        <w:rPr>
          <w:rFonts w:asciiTheme="majorHAnsi" w:hAnsiTheme="majorHAnsi" w:cstheme="majorBidi"/>
          <w:sz w:val="22"/>
          <w:szCs w:val="22"/>
          <w:lang w:val="en-GB"/>
        </w:rPr>
        <w:t>it represents</w:t>
      </w:r>
      <w:r w:rsidR="49B0A269" w:rsidRPr="5937A937">
        <w:rPr>
          <w:rFonts w:asciiTheme="majorHAnsi" w:hAnsiTheme="majorHAnsi" w:cstheme="majorBidi"/>
          <w:sz w:val="22"/>
          <w:szCs w:val="22"/>
          <w:lang w:val="en-GB"/>
        </w:rPr>
        <w:t xml:space="preserve"> </w:t>
      </w:r>
      <w:r w:rsidRPr="5937A937">
        <w:rPr>
          <w:rFonts w:asciiTheme="majorHAnsi" w:hAnsiTheme="majorHAnsi" w:cstheme="majorBidi"/>
          <w:sz w:val="22"/>
          <w:szCs w:val="22"/>
          <w:lang w:val="en-GB"/>
        </w:rPr>
        <w:t>940 million tonnes of CO</w:t>
      </w:r>
      <w:r w:rsidRPr="00D852D9">
        <w:rPr>
          <w:rFonts w:asciiTheme="majorHAnsi" w:hAnsiTheme="majorHAnsi" w:cstheme="majorBidi"/>
          <w:sz w:val="22"/>
          <w:szCs w:val="22"/>
          <w:vertAlign w:val="subscript"/>
          <w:lang w:val="en-GB"/>
        </w:rPr>
        <w:t>2</w:t>
      </w:r>
      <w:r w:rsidR="4F0438C2" w:rsidRPr="5937A937">
        <w:rPr>
          <w:rFonts w:asciiTheme="majorHAnsi" w:hAnsiTheme="majorHAnsi" w:cstheme="majorBidi"/>
          <w:sz w:val="22"/>
          <w:szCs w:val="22"/>
          <w:lang w:val="en-GB"/>
        </w:rPr>
        <w:t xml:space="preserve"> emissions globally</w:t>
      </w:r>
      <w:r w:rsidRPr="5937A937">
        <w:rPr>
          <w:rFonts w:asciiTheme="majorHAnsi" w:hAnsiTheme="majorHAnsi" w:cstheme="majorBidi"/>
          <w:sz w:val="22"/>
          <w:szCs w:val="22"/>
          <w:lang w:val="en-GB"/>
        </w:rPr>
        <w:t xml:space="preserve"> </w:t>
      </w:r>
      <w:r w:rsidR="003B4A74">
        <w:rPr>
          <w:rFonts w:asciiTheme="majorHAnsi" w:hAnsiTheme="majorHAnsi" w:cstheme="majorBidi"/>
          <w:sz w:val="22"/>
          <w:szCs w:val="22"/>
          <w:lang w:val="en-GB"/>
        </w:rPr>
        <w:fldChar w:fldCharType="begin" w:fldLock="1"/>
      </w:r>
      <w:r w:rsidR="003B4A74">
        <w:rPr>
          <w:rFonts w:asciiTheme="majorHAnsi" w:hAnsiTheme="majorHAnsi" w:cstheme="majorBidi"/>
          <w:sz w:val="22"/>
          <w:szCs w:val="22"/>
          <w:lang w:val="en-GB"/>
        </w:rPr>
        <w:instrText>ADDIN CSL_CITATION {"citationItems":[{"id":"ITEM-1","itemData":{"DOI":"10.4324/9781003139836-21","URL":"https://ec.europa.eu/clima/policies/transport/shipping_en","abstract":"EU climate actions","accessed":{"date-parts":[["2021","8","31"]]},"author":[{"dropping-particle":"","family":"Abdenur","given":"Adriana Erthal","non-dropping-particle":"","parse-names":false,"suffix":""}],"container-title":"Global Governance Futures","id":"ITEM-1","issued":{"date-parts":[["2021"]]},"page":"238-252","title":"Climate action","type":"webpage"},"uris":["http://www.mendeley.com/documents/?uuid=e48ab161-a69a-483c-a511-9e430f0b5fa6"]}],"mendeley":{"formattedCitation":"(Abdenur, 2021)","plainTextFormattedCitation":"(Abdenur, 2021)","previouslyFormattedCitation":"(Abdenur, 2021)"},"properties":{"noteIndex":0},"schema":"https://github.com/citation-style-language/schema/raw/master/csl-citation.json"}</w:instrText>
      </w:r>
      <w:r w:rsidR="003B4A74">
        <w:rPr>
          <w:rFonts w:asciiTheme="majorHAnsi" w:hAnsiTheme="majorHAnsi" w:cstheme="majorBidi"/>
          <w:sz w:val="22"/>
          <w:szCs w:val="22"/>
          <w:lang w:val="en-GB"/>
        </w:rPr>
        <w:fldChar w:fldCharType="separate"/>
      </w:r>
      <w:r w:rsidR="003B4A74" w:rsidRPr="003B4A74">
        <w:rPr>
          <w:rFonts w:asciiTheme="majorHAnsi" w:hAnsiTheme="majorHAnsi" w:cstheme="majorBidi"/>
          <w:noProof/>
          <w:sz w:val="22"/>
          <w:szCs w:val="22"/>
          <w:lang w:val="en-GB"/>
        </w:rPr>
        <w:t>(Abdenur, 2021)</w:t>
      </w:r>
      <w:r w:rsidR="003B4A74">
        <w:rPr>
          <w:rFonts w:asciiTheme="majorHAnsi" w:hAnsiTheme="majorHAnsi" w:cstheme="majorBidi"/>
          <w:sz w:val="22"/>
          <w:szCs w:val="22"/>
          <w:lang w:val="en-GB"/>
        </w:rPr>
        <w:fldChar w:fldCharType="end"/>
      </w:r>
      <w:r w:rsidR="003B4A74">
        <w:rPr>
          <w:rFonts w:asciiTheme="majorHAnsi" w:hAnsiTheme="majorHAnsi" w:cstheme="majorBidi"/>
          <w:color w:val="113355"/>
          <w:sz w:val="22"/>
          <w:szCs w:val="22"/>
          <w:lang w:val="en-GB"/>
        </w:rPr>
        <w:t>.</w:t>
      </w:r>
      <w:r w:rsidRPr="5937A937">
        <w:rPr>
          <w:rFonts w:asciiTheme="majorHAnsi" w:hAnsiTheme="majorHAnsi" w:cstheme="majorBidi"/>
          <w:sz w:val="22"/>
          <w:szCs w:val="22"/>
          <w:lang w:val="en-GB"/>
        </w:rPr>
        <w:t xml:space="preserve"> </w:t>
      </w:r>
      <w:r w:rsidR="2D10C027" w:rsidRPr="5937A937">
        <w:rPr>
          <w:rFonts w:asciiTheme="majorHAnsi" w:hAnsiTheme="majorHAnsi" w:cstheme="majorBidi"/>
          <w:sz w:val="22"/>
          <w:szCs w:val="22"/>
          <w:lang w:val="en-GB"/>
        </w:rPr>
        <w:t>Although e</w:t>
      </w:r>
      <w:r w:rsidRPr="5937A937">
        <w:rPr>
          <w:rFonts w:asciiTheme="majorHAnsi" w:hAnsiTheme="majorHAnsi" w:cstheme="majorBidi"/>
          <w:sz w:val="22"/>
          <w:szCs w:val="22"/>
          <w:lang w:val="en-GB"/>
        </w:rPr>
        <w:t xml:space="preserve">fforts have already taken place to reduce </w:t>
      </w:r>
      <w:r w:rsidR="00766A25">
        <w:rPr>
          <w:rFonts w:asciiTheme="majorHAnsi" w:hAnsiTheme="majorHAnsi" w:cstheme="majorBidi"/>
          <w:sz w:val="22"/>
          <w:szCs w:val="22"/>
          <w:lang w:val="en-GB"/>
        </w:rPr>
        <w:t xml:space="preserve">in </w:t>
      </w:r>
      <w:r w:rsidRPr="5937A937">
        <w:rPr>
          <w:rFonts w:asciiTheme="majorHAnsi" w:hAnsiTheme="majorHAnsi" w:cstheme="majorBidi"/>
          <w:sz w:val="22"/>
          <w:szCs w:val="22"/>
          <w:lang w:val="en-GB"/>
        </w:rPr>
        <w:t xml:space="preserve">8% </w:t>
      </w:r>
      <w:r w:rsidR="00766A25">
        <w:rPr>
          <w:rFonts w:asciiTheme="majorHAnsi" w:hAnsiTheme="majorHAnsi" w:cstheme="majorBidi"/>
          <w:sz w:val="22"/>
          <w:szCs w:val="22"/>
          <w:lang w:val="en-GB"/>
        </w:rPr>
        <w:t xml:space="preserve">the </w:t>
      </w:r>
      <w:r w:rsidRPr="5937A937">
        <w:rPr>
          <w:rFonts w:asciiTheme="majorHAnsi" w:hAnsiTheme="majorHAnsi" w:cstheme="majorBidi"/>
          <w:sz w:val="22"/>
          <w:szCs w:val="22"/>
          <w:lang w:val="en-GB"/>
        </w:rPr>
        <w:t>CO</w:t>
      </w:r>
      <w:r w:rsidRPr="00D852D9">
        <w:rPr>
          <w:rFonts w:asciiTheme="majorHAnsi" w:hAnsiTheme="majorHAnsi" w:cstheme="majorBidi"/>
          <w:sz w:val="22"/>
          <w:szCs w:val="22"/>
          <w:vertAlign w:val="subscript"/>
          <w:lang w:val="en-GB"/>
        </w:rPr>
        <w:t>2</w:t>
      </w:r>
      <w:r w:rsidRPr="5937A937">
        <w:rPr>
          <w:rFonts w:asciiTheme="majorHAnsi" w:hAnsiTheme="majorHAnsi" w:cstheme="majorBidi"/>
          <w:sz w:val="22"/>
          <w:szCs w:val="22"/>
          <w:lang w:val="en-GB"/>
        </w:rPr>
        <w:t xml:space="preserve"> emissions between 2008 and 2015, the</w:t>
      </w:r>
      <w:r w:rsidR="3FA5692B" w:rsidRPr="5937A937">
        <w:rPr>
          <w:rFonts w:asciiTheme="majorHAnsi" w:hAnsiTheme="majorHAnsi" w:cstheme="majorBidi"/>
          <w:sz w:val="22"/>
          <w:szCs w:val="22"/>
          <w:lang w:val="en-GB"/>
        </w:rPr>
        <w:t>re is room for improv</w:t>
      </w:r>
      <w:r w:rsidR="00766A25">
        <w:rPr>
          <w:rFonts w:asciiTheme="majorHAnsi" w:hAnsiTheme="majorHAnsi" w:cstheme="majorBidi"/>
          <w:sz w:val="22"/>
          <w:szCs w:val="22"/>
          <w:lang w:val="en-GB"/>
        </w:rPr>
        <w:t xml:space="preserve">ed </w:t>
      </w:r>
      <w:r w:rsidR="3FA5692B" w:rsidRPr="5937A937">
        <w:rPr>
          <w:rFonts w:asciiTheme="majorHAnsi" w:hAnsiTheme="majorHAnsi" w:cstheme="majorBidi"/>
          <w:sz w:val="22"/>
          <w:szCs w:val="22"/>
          <w:lang w:val="en-GB"/>
        </w:rPr>
        <w:t>practices</w:t>
      </w:r>
      <w:r w:rsidRPr="5937A937">
        <w:rPr>
          <w:rFonts w:asciiTheme="majorHAnsi" w:hAnsiTheme="majorHAnsi" w:cstheme="majorBidi"/>
          <w:sz w:val="22"/>
          <w:szCs w:val="22"/>
          <w:lang w:val="en-GB"/>
        </w:rPr>
        <w:t xml:space="preserve">. According to the International Maritime Organization (IMO) </w:t>
      </w:r>
      <w:r w:rsidR="106AC49E" w:rsidRPr="5937A937">
        <w:rPr>
          <w:rFonts w:asciiTheme="majorHAnsi" w:hAnsiTheme="majorHAnsi" w:cstheme="majorBidi"/>
          <w:sz w:val="22"/>
          <w:szCs w:val="22"/>
          <w:lang w:val="en-GB"/>
        </w:rPr>
        <w:t xml:space="preserve">and </w:t>
      </w:r>
      <w:r w:rsidR="1126BFEC" w:rsidRPr="5937A937">
        <w:rPr>
          <w:rFonts w:asciiTheme="majorHAnsi" w:hAnsiTheme="majorHAnsi" w:cstheme="majorBidi"/>
          <w:sz w:val="22"/>
          <w:szCs w:val="22"/>
          <w:lang w:val="en-GB"/>
        </w:rPr>
        <w:t>considering the</w:t>
      </w:r>
      <w:r w:rsidRPr="5937A937">
        <w:rPr>
          <w:rFonts w:asciiTheme="majorHAnsi" w:hAnsiTheme="majorHAnsi" w:cstheme="majorBidi"/>
          <w:sz w:val="22"/>
          <w:szCs w:val="22"/>
          <w:lang w:val="en-GB"/>
        </w:rPr>
        <w:t xml:space="preserve"> business-as-usual </w:t>
      </w:r>
      <w:r w:rsidR="4C843D2E" w:rsidRPr="5937A937">
        <w:rPr>
          <w:rFonts w:asciiTheme="majorHAnsi" w:hAnsiTheme="majorHAnsi" w:cstheme="majorBidi"/>
          <w:sz w:val="22"/>
          <w:szCs w:val="22"/>
          <w:lang w:val="en-GB"/>
        </w:rPr>
        <w:t>scenario</w:t>
      </w:r>
      <w:r w:rsidR="6A5F3F94" w:rsidRPr="5937A937">
        <w:rPr>
          <w:rFonts w:asciiTheme="majorHAnsi" w:hAnsiTheme="majorHAnsi" w:cstheme="majorBidi"/>
          <w:sz w:val="22"/>
          <w:szCs w:val="22"/>
          <w:lang w:val="en-GB"/>
        </w:rPr>
        <w:t>,</w:t>
      </w:r>
      <w:r w:rsidR="4C843D2E" w:rsidRPr="5937A937">
        <w:rPr>
          <w:rFonts w:asciiTheme="majorHAnsi" w:hAnsiTheme="majorHAnsi" w:cstheme="majorBidi"/>
          <w:sz w:val="22"/>
          <w:szCs w:val="22"/>
          <w:lang w:val="en-GB"/>
        </w:rPr>
        <w:t xml:space="preserve"> </w:t>
      </w:r>
      <w:r w:rsidRPr="5937A937">
        <w:rPr>
          <w:rFonts w:asciiTheme="majorHAnsi" w:hAnsiTheme="majorHAnsi" w:cstheme="majorBidi"/>
          <w:sz w:val="22"/>
          <w:szCs w:val="22"/>
          <w:lang w:val="en-GB"/>
        </w:rPr>
        <w:t>emissions are expected to increase 50</w:t>
      </w:r>
      <w:r w:rsidR="00FA3DB1">
        <w:rPr>
          <w:rFonts w:asciiTheme="majorHAnsi" w:hAnsiTheme="majorHAnsi" w:cstheme="majorBidi"/>
          <w:sz w:val="22"/>
          <w:szCs w:val="22"/>
          <w:lang w:val="en-GB"/>
        </w:rPr>
        <w:t xml:space="preserve"> </w:t>
      </w:r>
      <w:r w:rsidRPr="5937A937">
        <w:rPr>
          <w:rFonts w:asciiTheme="majorHAnsi" w:hAnsiTheme="majorHAnsi" w:cstheme="majorBidi"/>
          <w:sz w:val="22"/>
          <w:szCs w:val="22"/>
          <w:lang w:val="en-GB"/>
        </w:rPr>
        <w:t>% to 250</w:t>
      </w:r>
      <w:r w:rsidR="00FA3DB1">
        <w:rPr>
          <w:rFonts w:asciiTheme="majorHAnsi" w:hAnsiTheme="majorHAnsi" w:cstheme="majorBidi"/>
          <w:sz w:val="22"/>
          <w:szCs w:val="22"/>
          <w:lang w:val="en-GB"/>
        </w:rPr>
        <w:t xml:space="preserve"> </w:t>
      </w:r>
      <w:r w:rsidRPr="5937A937">
        <w:rPr>
          <w:rFonts w:asciiTheme="majorHAnsi" w:hAnsiTheme="majorHAnsi" w:cstheme="majorBidi"/>
          <w:sz w:val="22"/>
          <w:szCs w:val="22"/>
          <w:lang w:val="en-GB"/>
        </w:rPr>
        <w:t>% by 2050</w:t>
      </w:r>
      <w:r w:rsidR="003B4A74">
        <w:rPr>
          <w:rFonts w:asciiTheme="majorHAnsi" w:hAnsiTheme="majorHAnsi" w:cstheme="majorBidi"/>
          <w:sz w:val="22"/>
          <w:szCs w:val="22"/>
          <w:lang w:val="en-GB"/>
        </w:rPr>
        <w:t xml:space="preserve"> </w:t>
      </w:r>
      <w:r w:rsidR="003B4A74">
        <w:rPr>
          <w:rFonts w:asciiTheme="majorHAnsi" w:hAnsiTheme="majorHAnsi" w:cstheme="majorBidi"/>
          <w:sz w:val="22"/>
          <w:szCs w:val="22"/>
          <w:lang w:val="en-GB"/>
        </w:rPr>
        <w:fldChar w:fldCharType="begin" w:fldLock="1"/>
      </w:r>
      <w:r w:rsidR="003B4A74">
        <w:rPr>
          <w:rFonts w:asciiTheme="majorHAnsi" w:hAnsiTheme="majorHAnsi" w:cstheme="majorBidi"/>
          <w:sz w:val="22"/>
          <w:szCs w:val="22"/>
          <w:lang w:val="en-GB"/>
        </w:rPr>
        <w:instrText>ADDIN CSL_CITATION {"citationItems":[{"id":"ITEM-1","itemData":{"DOI":"10.4324/9781003139836-21","URL":"https://ec.europa.eu/clima/policies/transport/shipping_en","abstract":"EU climate actions","accessed":{"date-parts":[["2021","8","31"]]},"author":[{"dropping-particle":"","family":"Abdenur","given":"Adriana Erthal","non-dropping-particle":"","parse-names":false,"suffix":""}],"container-title":"Global Governance Futures","id":"ITEM-1","issued":{"date-parts":[["2021"]]},"page":"238-252","title":"Climate action","type":"webpage"},"uris":["http://www.mendeley.com/documents/?uuid=e48ab161-a69a-483c-a511-9e430f0b5fa6"]},{"id":"ITEM-2","itemData":{"abstract":"The European shipping industry publishes position paper on the EU Green Deal \r\nOn the occasion of the European Shipping Week, ECSA - the European Community Shipowners'  Associations - has launched its position paper in response to the EU Green Deal proposed by the new European Commission.\r\n\"The shipping industry is fully committed to eradicating its GHG emissions completely as soon as possible in this century,\" said Claes Berglund, ECSA's President, as in line with the ambitious targets agreed for the sector by its global regulator, the UN International Maritime Organisation.\"\r\n\r\nThe newly-published position paper is the policy response of the industry towards the European Commission’s ambitious EU Green Deal.\r\n\r\nThe document welcomes and supports the EU’s ambition to take the lead in fighting climate change. Within this context, the European shipping industry aims to be an active contributor to the IMO discussions on both short-term and long-term measures, and seeks the EU’s support for a coordinated and holistic approach at the UN body.\r\n\r\nIn direct response to the EU Green Deal, the industry lays down 8 points where the EU can do together with the shipping industry:\r\n\r\nTake the lead in the international regulatory process\r\nIncentivise the modal shift in transport from roads and air to ferries and short sea shipping - need for an ambitious strategy\r\nResearch and Development - make the EU a frontrunner in low- and zero-carbon technologies\r\nPort call optimisation\r\nShore power and infrastructure for alternative fuels\r\nEstablish a green financing programme for the electrification of ferries\r\nUse the offshore potential for renewable energy\r\nDigitalisation","author":[{"dropping-particle":"","family":"ECSA","given":"","non-dropping-particle":"","parse-names":false,"suffix":""}],"id":"ITEM-2","issued":{"date-parts":[["2020"]]},"title":"A Green Deal for the European shipping industry","type":"article-journal"},"uris":["http://www.mendeley.com/documents/?uuid=e1945c32-0055-4ba3-b462-f781c9c86f91"]}],"mendeley":{"formattedCitation":"(Abdenur, 2021; ECSA, 2020)","plainTextFormattedCitation":"(Abdenur, 2021; ECSA, 2020)","previouslyFormattedCitation":"(Abdenur, 2021; ECSA, 2020)"},"properties":{"noteIndex":0},"schema":"https://github.com/citation-style-language/schema/raw/master/csl-citation.json"}</w:instrText>
      </w:r>
      <w:r w:rsidR="003B4A74">
        <w:rPr>
          <w:rFonts w:asciiTheme="majorHAnsi" w:hAnsiTheme="majorHAnsi" w:cstheme="majorBidi"/>
          <w:sz w:val="22"/>
          <w:szCs w:val="22"/>
          <w:lang w:val="en-GB"/>
        </w:rPr>
        <w:fldChar w:fldCharType="separate"/>
      </w:r>
      <w:r w:rsidR="003B4A74" w:rsidRPr="003B4A74">
        <w:rPr>
          <w:rFonts w:asciiTheme="majorHAnsi" w:hAnsiTheme="majorHAnsi" w:cstheme="majorBidi"/>
          <w:noProof/>
          <w:sz w:val="22"/>
          <w:szCs w:val="22"/>
          <w:lang w:val="en-GB"/>
        </w:rPr>
        <w:t>(Abdenur, 2021; ECSA, 2020)</w:t>
      </w:r>
      <w:r w:rsidR="003B4A74">
        <w:rPr>
          <w:rFonts w:asciiTheme="majorHAnsi" w:hAnsiTheme="majorHAnsi" w:cstheme="majorBidi"/>
          <w:sz w:val="22"/>
          <w:szCs w:val="22"/>
          <w:lang w:val="en-GB"/>
        </w:rPr>
        <w:fldChar w:fldCharType="end"/>
      </w:r>
      <w:r w:rsidR="003B4A74">
        <w:rPr>
          <w:rFonts w:asciiTheme="majorHAnsi" w:hAnsiTheme="majorHAnsi" w:cstheme="majorBidi"/>
          <w:sz w:val="22"/>
          <w:szCs w:val="22"/>
          <w:lang w:val="en-GB"/>
        </w:rPr>
        <w:t>.</w:t>
      </w:r>
    </w:p>
    <w:p w14:paraId="3EED2D56" w14:textId="684115AA" w:rsidR="009E3767" w:rsidRPr="000B393A" w:rsidRDefault="181D6297" w:rsidP="362A3EC5">
      <w:pPr>
        <w:spacing w:after="120" w:line="360" w:lineRule="auto"/>
        <w:ind w:firstLine="720"/>
        <w:rPr>
          <w:rFonts w:asciiTheme="majorHAnsi" w:hAnsiTheme="majorHAnsi" w:cstheme="majorBidi"/>
          <w:sz w:val="22"/>
          <w:szCs w:val="22"/>
        </w:rPr>
      </w:pPr>
      <w:r w:rsidRPr="362A3EC5">
        <w:rPr>
          <w:rFonts w:asciiTheme="majorHAnsi" w:hAnsiTheme="majorHAnsi" w:cstheme="majorBidi"/>
          <w:sz w:val="22"/>
          <w:szCs w:val="22"/>
          <w:lang w:val="en-GB"/>
        </w:rPr>
        <w:t xml:space="preserve">The decarbonization of the shipping industry is </w:t>
      </w:r>
      <w:r w:rsidR="54C5CCF4" w:rsidRPr="362A3EC5">
        <w:rPr>
          <w:rFonts w:asciiTheme="majorHAnsi" w:hAnsiTheme="majorHAnsi" w:cstheme="majorBidi"/>
          <w:sz w:val="22"/>
          <w:szCs w:val="22"/>
          <w:lang w:val="en-GB"/>
        </w:rPr>
        <w:t xml:space="preserve">a challenging task, which requires </w:t>
      </w:r>
      <w:r w:rsidRPr="362A3EC5">
        <w:rPr>
          <w:rFonts w:asciiTheme="majorHAnsi" w:hAnsiTheme="majorHAnsi" w:cstheme="majorBidi"/>
          <w:sz w:val="22"/>
          <w:szCs w:val="22"/>
          <w:lang w:val="en-GB"/>
        </w:rPr>
        <w:t xml:space="preserve">innovative </w:t>
      </w:r>
      <w:r w:rsidR="4EE368B2" w:rsidRPr="362A3EC5">
        <w:rPr>
          <w:rFonts w:asciiTheme="majorHAnsi" w:hAnsiTheme="majorHAnsi" w:cstheme="majorBidi"/>
          <w:sz w:val="22"/>
          <w:szCs w:val="22"/>
          <w:lang w:val="en-GB"/>
        </w:rPr>
        <w:t>solutions, p</w:t>
      </w:r>
      <w:r w:rsidRPr="362A3EC5">
        <w:rPr>
          <w:rFonts w:asciiTheme="majorHAnsi" w:hAnsiTheme="majorHAnsi" w:cstheme="majorBidi"/>
          <w:sz w:val="22"/>
          <w:szCs w:val="22"/>
          <w:lang w:val="en-GB"/>
        </w:rPr>
        <w:t xml:space="preserve">articularly, </w:t>
      </w:r>
      <w:r w:rsidR="11317E4D" w:rsidRPr="362A3EC5">
        <w:rPr>
          <w:rFonts w:asciiTheme="majorHAnsi" w:hAnsiTheme="majorHAnsi" w:cstheme="majorBidi"/>
          <w:sz w:val="22"/>
          <w:szCs w:val="22"/>
          <w:lang w:val="en-GB"/>
        </w:rPr>
        <w:t>towards</w:t>
      </w:r>
      <w:r w:rsidRPr="362A3EC5">
        <w:rPr>
          <w:rFonts w:asciiTheme="majorHAnsi" w:hAnsiTheme="majorHAnsi" w:cstheme="majorBidi"/>
          <w:sz w:val="22"/>
          <w:szCs w:val="22"/>
          <w:lang w:val="en-GB"/>
        </w:rPr>
        <w:t xml:space="preserve"> advanced “drop-in” biofuels</w:t>
      </w:r>
      <w:r w:rsidR="003B4A74">
        <w:rPr>
          <w:rFonts w:asciiTheme="majorHAnsi" w:hAnsiTheme="majorHAnsi" w:cstheme="majorBidi"/>
          <w:sz w:val="22"/>
          <w:szCs w:val="22"/>
          <w:lang w:val="en-GB"/>
        </w:rPr>
        <w:t xml:space="preserve"> </w:t>
      </w:r>
      <w:r w:rsidR="003B4A74">
        <w:rPr>
          <w:rFonts w:asciiTheme="majorHAnsi" w:hAnsiTheme="majorHAnsi" w:cstheme="majorBidi"/>
          <w:sz w:val="22"/>
          <w:szCs w:val="22"/>
          <w:lang w:val="en-GB"/>
        </w:rPr>
        <w:fldChar w:fldCharType="begin" w:fldLock="1"/>
      </w:r>
      <w:r w:rsidR="003B4A74">
        <w:rPr>
          <w:rFonts w:asciiTheme="majorHAnsi" w:hAnsiTheme="majorHAnsi" w:cstheme="majorBidi"/>
          <w:sz w:val="22"/>
          <w:szCs w:val="22"/>
          <w:lang w:val="en-GB"/>
        </w:rPr>
        <w:instrText>ADDIN CSL_CITATION {"citationItems":[{"id":"ITEM-1","itemData":{"abstract":"The European shipping industry publishes position paper on the EU Green Deal \r\nOn the occasion of the European Shipping Week, ECSA - the European Community Shipowners'  Associations - has launched its position paper in response to the EU Green Deal proposed by the new European Commission.\r\n\"The shipping industry is fully committed to eradicating its GHG emissions completely as soon as possible in this century,\" said Claes Berglund, ECSA's President, as in line with the ambitious targets agreed for the sector by its global regulator, the UN International Maritime Organisation.\"\r\n\r\nThe newly-published position paper is the policy response of the industry towards the European Commission’s ambitious EU Green Deal.\r\n\r\nThe document welcomes and supports the EU’s ambition to take the lead in fighting climate change. Within this context, the European shipping industry aims to be an active contributor to the IMO discussions on both short-term and long-term measures, and seeks the EU’s support for a coordinated and holistic approach at the UN body.\r\n\r\nIn direct response to the EU Green Deal, the industry lays down 8 points where the EU can do together with the shipping industry:\r\n\r\nTake the lead in the international regulatory process\r\nIncentivise the modal shift in transport from roads and air to ferries and short sea shipping - need for an ambitious strategy\r\nResearch and Development - make the EU a frontrunner in low- and zero-carbon technologies\r\nPort call optimisation\r\nShore power and infrastructure for alternative fuels\r\nEstablish a green financing programme for the electrification of ferries\r\nUse the offshore potential for renewable energy\r\nDigitalisation","author":[{"dropping-particle":"","family":"ECSA","given":"","non-dropping-particle":"","parse-names":false,"suffix":""}],"id":"ITEM-1","issued":{"date-parts":[["2020"]]},"title":"A Green Deal for the European shipping industry","type":"article-journal"},"uris":["http://www.mendeley.com/documents/?uuid=e1945c32-0055-4ba3-b462-f781c9c86f91"]}],"mendeley":{"formattedCitation":"(ECSA, 2020)","plainTextFormattedCitation":"(ECSA, 2020)","previouslyFormattedCitation":"(ECSA, 2020)"},"properties":{"noteIndex":0},"schema":"https://github.com/citation-style-language/schema/raw/master/csl-citation.json"}</w:instrText>
      </w:r>
      <w:r w:rsidR="003B4A74">
        <w:rPr>
          <w:rFonts w:asciiTheme="majorHAnsi" w:hAnsiTheme="majorHAnsi" w:cstheme="majorBidi"/>
          <w:sz w:val="22"/>
          <w:szCs w:val="22"/>
          <w:lang w:val="en-GB"/>
        </w:rPr>
        <w:fldChar w:fldCharType="separate"/>
      </w:r>
      <w:r w:rsidR="003B4A74" w:rsidRPr="003B4A74">
        <w:rPr>
          <w:rFonts w:asciiTheme="majorHAnsi" w:hAnsiTheme="majorHAnsi" w:cstheme="majorBidi"/>
          <w:noProof/>
          <w:sz w:val="22"/>
          <w:szCs w:val="22"/>
          <w:lang w:val="en-GB"/>
        </w:rPr>
        <w:t>(ECSA, 2020)</w:t>
      </w:r>
      <w:r w:rsidR="003B4A74">
        <w:rPr>
          <w:rFonts w:asciiTheme="majorHAnsi" w:hAnsiTheme="majorHAnsi" w:cstheme="majorBidi"/>
          <w:sz w:val="22"/>
          <w:szCs w:val="22"/>
          <w:lang w:val="en-GB"/>
        </w:rPr>
        <w:fldChar w:fldCharType="end"/>
      </w:r>
      <w:r w:rsidR="003B4A74">
        <w:rPr>
          <w:rFonts w:asciiTheme="majorHAnsi" w:hAnsiTheme="majorHAnsi" w:cstheme="majorBidi"/>
          <w:sz w:val="22"/>
          <w:szCs w:val="22"/>
          <w:lang w:val="en-GB"/>
        </w:rPr>
        <w:t>.</w:t>
      </w:r>
      <w:r w:rsidR="00766A25">
        <w:rPr>
          <w:rFonts w:asciiTheme="majorHAnsi" w:hAnsiTheme="majorHAnsi" w:cstheme="majorBidi"/>
          <w:sz w:val="22"/>
          <w:szCs w:val="22"/>
          <w:lang w:val="en-GB"/>
        </w:rPr>
        <w:t xml:space="preserve"> </w:t>
      </w:r>
      <w:r w:rsidR="00635632">
        <w:rPr>
          <w:rFonts w:asciiTheme="majorHAnsi" w:hAnsiTheme="majorHAnsi" w:cstheme="majorBidi"/>
          <w:sz w:val="22"/>
          <w:szCs w:val="22"/>
          <w:lang w:val="en-GB"/>
        </w:rPr>
        <w:t xml:space="preserve">Advanced biofuels have been defined </w:t>
      </w:r>
      <w:r w:rsidR="00E577C0">
        <w:rPr>
          <w:rFonts w:asciiTheme="majorHAnsi" w:hAnsiTheme="majorHAnsi" w:cstheme="majorBidi"/>
          <w:sz w:val="22"/>
          <w:szCs w:val="22"/>
          <w:lang w:val="en-GB"/>
        </w:rPr>
        <w:t>according to the Renewable Energy Directive II (RED II), as those</w:t>
      </w:r>
      <w:r w:rsidR="004450A2">
        <w:rPr>
          <w:rFonts w:asciiTheme="majorHAnsi" w:hAnsiTheme="majorHAnsi" w:cstheme="majorBidi"/>
          <w:sz w:val="22"/>
          <w:szCs w:val="22"/>
          <w:lang w:val="en-GB"/>
        </w:rPr>
        <w:t xml:space="preserve"> </w:t>
      </w:r>
      <w:r w:rsidR="00572DB8" w:rsidRPr="00572DB8">
        <w:rPr>
          <w:rFonts w:asciiTheme="majorHAnsi" w:hAnsiTheme="majorHAnsi" w:cstheme="majorBidi"/>
          <w:sz w:val="22"/>
          <w:szCs w:val="22"/>
          <w:lang w:val="en-GB"/>
        </w:rPr>
        <w:t>produced from</w:t>
      </w:r>
      <w:r w:rsidR="00572DB8">
        <w:rPr>
          <w:rFonts w:asciiTheme="majorHAnsi" w:hAnsiTheme="majorHAnsi" w:cstheme="majorBidi"/>
          <w:sz w:val="22"/>
          <w:szCs w:val="22"/>
          <w:lang w:val="en-GB"/>
        </w:rPr>
        <w:t xml:space="preserve"> the</w:t>
      </w:r>
      <w:r w:rsidR="00572DB8" w:rsidRPr="00572DB8">
        <w:rPr>
          <w:rFonts w:asciiTheme="majorHAnsi" w:hAnsiTheme="majorHAnsi" w:cstheme="majorBidi"/>
          <w:sz w:val="22"/>
          <w:szCs w:val="22"/>
          <w:lang w:val="en-GB"/>
        </w:rPr>
        <w:t xml:space="preserve"> feedstocks listed in of Annex IX part A of the </w:t>
      </w:r>
      <w:r w:rsidR="00572DB8">
        <w:rPr>
          <w:rFonts w:asciiTheme="majorHAnsi" w:hAnsiTheme="majorHAnsi" w:cstheme="majorBidi"/>
          <w:sz w:val="22"/>
          <w:szCs w:val="22"/>
          <w:lang w:val="en-GB"/>
        </w:rPr>
        <w:t xml:space="preserve">RED II </w:t>
      </w:r>
      <w:r w:rsidR="00572DB8">
        <w:rPr>
          <w:rFonts w:asciiTheme="majorHAnsi" w:hAnsiTheme="majorHAnsi" w:cstheme="majorBidi"/>
          <w:sz w:val="22"/>
          <w:szCs w:val="22"/>
          <w:lang w:val="en-GB"/>
        </w:rPr>
        <w:fldChar w:fldCharType="begin" w:fldLock="1"/>
      </w:r>
      <w:r w:rsidR="00E42C76">
        <w:rPr>
          <w:rFonts w:asciiTheme="majorHAnsi" w:hAnsiTheme="majorHAnsi" w:cstheme="majorBidi"/>
          <w:sz w:val="22"/>
          <w:szCs w:val="22"/>
          <w:lang w:val="en-GB"/>
        </w:rPr>
        <w:instrText>ADDIN CSL_CITATION {"citationItems":[{"id":"ITEM-1","itemData":{"URL":"https://www.eafo.eu/alternative-fuels/advanced-biofuels/generic-information","author":[{"dropping-particle":"","family":"European Alternative Fuels Observatory","given":"","non-dropping-particle":"","parse-names":false,"suffix":""}],"id":"ITEM-1","issued":{"date-parts":[["2020"]]},"title":"WHAT ARE ADVANCED BIOFUELS?","type":"webpage"},"uris":["http://www.mendeley.com/documents/?uuid=21c944a1-0746-467f-9517-0717a383dd37"]}],"mendeley":{"formattedCitation":"(European Alternative Fuels Observatory, 2020)","plainTextFormattedCitation":"(European Alternative Fuels Observatory, 2020)","previouslyFormattedCitation":"(European Alternative Fuels Observatory, 2020)"},"properties":{"noteIndex":0},"schema":"https://github.com/citation-style-language/schema/raw/master/csl-citation.json"}</w:instrText>
      </w:r>
      <w:r w:rsidR="00572DB8">
        <w:rPr>
          <w:rFonts w:asciiTheme="majorHAnsi" w:hAnsiTheme="majorHAnsi" w:cstheme="majorBidi"/>
          <w:sz w:val="22"/>
          <w:szCs w:val="22"/>
          <w:lang w:val="en-GB"/>
        </w:rPr>
        <w:fldChar w:fldCharType="separate"/>
      </w:r>
      <w:r w:rsidR="00572DB8" w:rsidRPr="00572DB8">
        <w:rPr>
          <w:rFonts w:asciiTheme="majorHAnsi" w:hAnsiTheme="majorHAnsi" w:cstheme="majorBidi"/>
          <w:noProof/>
          <w:sz w:val="22"/>
          <w:szCs w:val="22"/>
          <w:lang w:val="en-GB"/>
        </w:rPr>
        <w:t>(European Alternative Fuels Observatory, 2020)</w:t>
      </w:r>
      <w:r w:rsidR="00572DB8">
        <w:rPr>
          <w:rFonts w:asciiTheme="majorHAnsi" w:hAnsiTheme="majorHAnsi" w:cstheme="majorBidi"/>
          <w:sz w:val="22"/>
          <w:szCs w:val="22"/>
          <w:lang w:val="en-GB"/>
        </w:rPr>
        <w:fldChar w:fldCharType="end"/>
      </w:r>
      <w:r w:rsidR="00572DB8">
        <w:rPr>
          <w:rFonts w:asciiTheme="majorHAnsi" w:hAnsiTheme="majorHAnsi" w:cstheme="majorBidi"/>
          <w:sz w:val="22"/>
          <w:szCs w:val="22"/>
          <w:lang w:val="en-GB"/>
        </w:rPr>
        <w:t xml:space="preserve">. </w:t>
      </w:r>
      <w:r w:rsidR="003B4A74">
        <w:rPr>
          <w:rFonts w:asciiTheme="majorHAnsi" w:hAnsiTheme="majorHAnsi" w:cstheme="majorBidi"/>
          <w:sz w:val="22"/>
          <w:szCs w:val="22"/>
          <w:lang w:val="en-GB"/>
        </w:rPr>
        <w:t>C</w:t>
      </w:r>
      <w:r w:rsidRPr="362A3EC5">
        <w:rPr>
          <w:rFonts w:asciiTheme="majorHAnsi" w:hAnsiTheme="majorHAnsi" w:cstheme="majorBidi"/>
          <w:sz w:val="22"/>
          <w:szCs w:val="22"/>
          <w:lang w:val="en-GB"/>
        </w:rPr>
        <w:t xml:space="preserve">ompared with other renewable </w:t>
      </w:r>
      <w:r w:rsidR="4FD6637E" w:rsidRPr="362A3EC5">
        <w:rPr>
          <w:rFonts w:asciiTheme="majorHAnsi" w:hAnsiTheme="majorHAnsi" w:cstheme="majorBidi"/>
          <w:sz w:val="22"/>
          <w:szCs w:val="22"/>
          <w:lang w:val="en-GB"/>
        </w:rPr>
        <w:t>options</w:t>
      </w:r>
      <w:r w:rsidR="02324E0A" w:rsidRPr="362A3EC5">
        <w:rPr>
          <w:rFonts w:asciiTheme="majorHAnsi" w:hAnsiTheme="majorHAnsi" w:cstheme="majorBidi"/>
          <w:sz w:val="22"/>
          <w:szCs w:val="22"/>
          <w:lang w:val="en-GB"/>
        </w:rPr>
        <w:t xml:space="preserve"> </w:t>
      </w:r>
      <w:r w:rsidRPr="362A3EC5">
        <w:rPr>
          <w:rFonts w:asciiTheme="majorHAnsi" w:hAnsiTheme="majorHAnsi" w:cstheme="majorBidi"/>
          <w:sz w:val="22"/>
          <w:szCs w:val="22"/>
          <w:lang w:val="en-GB"/>
        </w:rPr>
        <w:t xml:space="preserve">(e.g., electricity or hydrogen), advanced biofuels are the </w:t>
      </w:r>
      <w:r w:rsidR="1769465F" w:rsidRPr="362A3EC5">
        <w:rPr>
          <w:rFonts w:asciiTheme="majorHAnsi" w:hAnsiTheme="majorHAnsi" w:cstheme="majorBidi"/>
          <w:sz w:val="22"/>
          <w:szCs w:val="22"/>
          <w:lang w:val="en-GB"/>
        </w:rPr>
        <w:t>most effective</w:t>
      </w:r>
      <w:r w:rsidRPr="362A3EC5">
        <w:rPr>
          <w:rFonts w:asciiTheme="majorHAnsi" w:hAnsiTheme="majorHAnsi" w:cstheme="majorBidi"/>
          <w:sz w:val="22"/>
          <w:szCs w:val="22"/>
          <w:lang w:val="en-GB"/>
        </w:rPr>
        <w:t xml:space="preserve"> solution </w:t>
      </w:r>
      <w:r w:rsidR="0403E997" w:rsidRPr="362A3EC5">
        <w:rPr>
          <w:rFonts w:asciiTheme="majorHAnsi" w:hAnsiTheme="majorHAnsi" w:cstheme="majorBidi"/>
          <w:sz w:val="22"/>
          <w:szCs w:val="22"/>
          <w:lang w:val="en-GB"/>
        </w:rPr>
        <w:t>for the</w:t>
      </w:r>
      <w:r w:rsidRPr="362A3EC5">
        <w:rPr>
          <w:rFonts w:asciiTheme="majorHAnsi" w:hAnsiTheme="majorHAnsi" w:cstheme="majorBidi"/>
          <w:sz w:val="22"/>
          <w:szCs w:val="22"/>
          <w:lang w:val="en-GB"/>
        </w:rPr>
        <w:t xml:space="preserve"> </w:t>
      </w:r>
      <w:r w:rsidR="16ACAFE4" w:rsidRPr="362A3EC5">
        <w:rPr>
          <w:rFonts w:asciiTheme="majorHAnsi" w:hAnsiTheme="majorHAnsi" w:cstheme="majorBidi"/>
          <w:sz w:val="22"/>
          <w:szCs w:val="22"/>
          <w:lang w:val="en-GB"/>
        </w:rPr>
        <w:t xml:space="preserve">immediate </w:t>
      </w:r>
      <w:r w:rsidRPr="362A3EC5">
        <w:rPr>
          <w:rFonts w:asciiTheme="majorHAnsi" w:hAnsiTheme="majorHAnsi" w:cstheme="majorBidi"/>
          <w:sz w:val="22"/>
          <w:szCs w:val="22"/>
          <w:lang w:val="en-GB"/>
        </w:rPr>
        <w:t>reduc</w:t>
      </w:r>
      <w:r w:rsidR="0898E46E" w:rsidRPr="362A3EC5">
        <w:rPr>
          <w:rFonts w:asciiTheme="majorHAnsi" w:hAnsiTheme="majorHAnsi" w:cstheme="majorBidi"/>
          <w:sz w:val="22"/>
          <w:szCs w:val="22"/>
          <w:lang w:val="en-GB"/>
        </w:rPr>
        <w:t>tion on</w:t>
      </w:r>
      <w:r w:rsidRPr="362A3EC5">
        <w:rPr>
          <w:rFonts w:asciiTheme="majorHAnsi" w:hAnsiTheme="majorHAnsi" w:cstheme="majorBidi"/>
          <w:sz w:val="22"/>
          <w:szCs w:val="22"/>
          <w:lang w:val="en-GB"/>
        </w:rPr>
        <w:t xml:space="preserve"> GHG emissions</w:t>
      </w:r>
      <w:r w:rsidR="496A8D21" w:rsidRPr="362A3EC5">
        <w:rPr>
          <w:rFonts w:asciiTheme="majorHAnsi" w:hAnsiTheme="majorHAnsi" w:cstheme="majorBidi"/>
          <w:sz w:val="22"/>
          <w:szCs w:val="22"/>
          <w:lang w:val="en-GB"/>
        </w:rPr>
        <w:t>,</w:t>
      </w:r>
      <w:r w:rsidR="0A3D86E9" w:rsidRPr="362A3EC5">
        <w:rPr>
          <w:rFonts w:asciiTheme="majorHAnsi" w:hAnsiTheme="majorHAnsi" w:cstheme="majorBidi"/>
          <w:sz w:val="22"/>
          <w:szCs w:val="22"/>
          <w:lang w:val="en-GB"/>
        </w:rPr>
        <w:t xml:space="preserve"> safe </w:t>
      </w:r>
      <w:r w:rsidR="32489465" w:rsidRPr="362A3EC5">
        <w:rPr>
          <w:rFonts w:asciiTheme="majorHAnsi" w:hAnsiTheme="majorHAnsi" w:cstheme="majorBidi"/>
          <w:sz w:val="22"/>
          <w:szCs w:val="22"/>
          <w:lang w:val="en-GB"/>
        </w:rPr>
        <w:t>keep</w:t>
      </w:r>
      <w:r w:rsidR="01151642" w:rsidRPr="362A3EC5">
        <w:rPr>
          <w:rFonts w:asciiTheme="majorHAnsi" w:hAnsiTheme="majorHAnsi" w:cstheme="majorBidi"/>
          <w:sz w:val="22"/>
          <w:szCs w:val="22"/>
          <w:lang w:val="en-GB"/>
        </w:rPr>
        <w:t>ing</w:t>
      </w:r>
      <w:r w:rsidR="32489465" w:rsidRPr="362A3EC5">
        <w:rPr>
          <w:rFonts w:asciiTheme="majorHAnsi" w:hAnsiTheme="majorHAnsi" w:cstheme="majorBidi"/>
          <w:sz w:val="22"/>
          <w:szCs w:val="22"/>
          <w:lang w:val="en-GB"/>
        </w:rPr>
        <w:t xml:space="preserve"> the compromise</w:t>
      </w:r>
      <w:r w:rsidR="24BC6ECB" w:rsidRPr="362A3EC5">
        <w:rPr>
          <w:rFonts w:asciiTheme="majorHAnsi" w:hAnsiTheme="majorHAnsi" w:cstheme="majorBidi"/>
          <w:sz w:val="22"/>
          <w:szCs w:val="22"/>
          <w:lang w:val="en-GB"/>
        </w:rPr>
        <w:t xml:space="preserve"> </w:t>
      </w:r>
      <w:r w:rsidR="00766A25">
        <w:rPr>
          <w:rFonts w:asciiTheme="majorHAnsi" w:hAnsiTheme="majorHAnsi" w:cstheme="majorBidi"/>
          <w:sz w:val="22"/>
          <w:szCs w:val="22"/>
          <w:lang w:val="en-GB"/>
        </w:rPr>
        <w:t>with</w:t>
      </w:r>
      <w:r w:rsidRPr="362A3EC5">
        <w:rPr>
          <w:rFonts w:asciiTheme="majorHAnsi" w:hAnsiTheme="majorHAnsi" w:cstheme="majorBidi"/>
          <w:sz w:val="22"/>
          <w:szCs w:val="22"/>
          <w:lang w:val="en-GB"/>
        </w:rPr>
        <w:t xml:space="preserve"> 2030 targets. Advanced biofuels are considered an essential part of</w:t>
      </w:r>
      <w:r w:rsidR="0039263A">
        <w:rPr>
          <w:rFonts w:asciiTheme="majorHAnsi" w:hAnsiTheme="majorHAnsi" w:cstheme="majorBidi"/>
          <w:sz w:val="22"/>
          <w:szCs w:val="22"/>
          <w:lang w:val="en-GB"/>
        </w:rPr>
        <w:t xml:space="preserve"> the</w:t>
      </w:r>
      <w:r w:rsidRPr="362A3EC5">
        <w:rPr>
          <w:rFonts w:asciiTheme="majorHAnsi" w:hAnsiTheme="majorHAnsi" w:cstheme="majorBidi"/>
          <w:sz w:val="22"/>
          <w:szCs w:val="22"/>
          <w:lang w:val="en-GB"/>
        </w:rPr>
        <w:t xml:space="preserve"> </w:t>
      </w:r>
      <w:r w:rsidR="6761E4EB" w:rsidRPr="362A3EC5">
        <w:rPr>
          <w:rFonts w:asciiTheme="majorHAnsi" w:hAnsiTheme="majorHAnsi" w:cstheme="majorBidi"/>
          <w:sz w:val="22"/>
          <w:szCs w:val="22"/>
          <w:lang w:val="en-GB"/>
        </w:rPr>
        <w:t>European roadmap for decarbonization</w:t>
      </w:r>
      <w:r w:rsidRPr="362A3EC5">
        <w:rPr>
          <w:rFonts w:asciiTheme="majorHAnsi" w:hAnsiTheme="majorHAnsi" w:cstheme="majorBidi"/>
          <w:sz w:val="22"/>
          <w:szCs w:val="22"/>
          <w:lang w:val="en-GB"/>
        </w:rPr>
        <w:t xml:space="preserve">, their use can decrease the dependency </w:t>
      </w:r>
      <w:r w:rsidR="00766A25">
        <w:rPr>
          <w:rFonts w:asciiTheme="majorHAnsi" w:hAnsiTheme="majorHAnsi" w:cstheme="majorBidi"/>
          <w:sz w:val="22"/>
          <w:szCs w:val="22"/>
          <w:lang w:val="en-GB"/>
        </w:rPr>
        <w:t>on</w:t>
      </w:r>
      <w:r w:rsidRPr="362A3EC5">
        <w:rPr>
          <w:rFonts w:asciiTheme="majorHAnsi" w:hAnsiTheme="majorHAnsi" w:cstheme="majorBidi"/>
          <w:sz w:val="22"/>
          <w:szCs w:val="22"/>
          <w:lang w:val="en-GB"/>
        </w:rPr>
        <w:t xml:space="preserve"> fossil fuels while adding value to s</w:t>
      </w:r>
      <w:r w:rsidR="4427D842" w:rsidRPr="362A3EC5">
        <w:rPr>
          <w:rFonts w:asciiTheme="majorHAnsi" w:hAnsiTheme="majorHAnsi" w:cstheme="majorBidi"/>
          <w:sz w:val="22"/>
          <w:szCs w:val="22"/>
          <w:lang w:val="en-GB"/>
        </w:rPr>
        <w:t>econdary materials</w:t>
      </w:r>
      <w:r w:rsidRPr="362A3EC5">
        <w:rPr>
          <w:rFonts w:asciiTheme="majorHAnsi" w:hAnsiTheme="majorHAnsi" w:cstheme="majorBidi"/>
          <w:sz w:val="22"/>
          <w:szCs w:val="22"/>
          <w:lang w:val="en-GB"/>
        </w:rPr>
        <w:t xml:space="preserve"> that are considered of non-value</w:t>
      </w:r>
      <w:r w:rsidR="4CE0DDC7" w:rsidRPr="362A3EC5">
        <w:rPr>
          <w:rFonts w:asciiTheme="majorHAnsi" w:hAnsiTheme="majorHAnsi" w:cstheme="majorBidi"/>
          <w:sz w:val="22"/>
          <w:szCs w:val="22"/>
          <w:lang w:val="en-GB"/>
        </w:rPr>
        <w:t>, such as residues</w:t>
      </w:r>
      <w:r w:rsidR="003B4A74">
        <w:rPr>
          <w:rFonts w:asciiTheme="majorHAnsi" w:hAnsiTheme="majorHAnsi" w:cstheme="majorBidi"/>
          <w:sz w:val="22"/>
          <w:szCs w:val="22"/>
          <w:lang w:val="en-GB"/>
        </w:rPr>
        <w:t xml:space="preserve"> </w:t>
      </w:r>
      <w:r w:rsidR="003B4A74">
        <w:rPr>
          <w:rFonts w:asciiTheme="majorHAnsi" w:hAnsiTheme="majorHAnsi" w:cstheme="majorBidi"/>
          <w:sz w:val="22"/>
          <w:szCs w:val="22"/>
          <w:lang w:val="en-GB"/>
        </w:rPr>
        <w:fldChar w:fldCharType="begin" w:fldLock="1"/>
      </w:r>
      <w:r w:rsidR="003B4A74">
        <w:rPr>
          <w:rFonts w:asciiTheme="majorHAnsi" w:hAnsiTheme="majorHAnsi" w:cstheme="majorBidi"/>
          <w:sz w:val="22"/>
          <w:szCs w:val="22"/>
          <w:lang w:val="en-GB"/>
        </w:rPr>
        <w:instrText>ADDIN CSL_CITATION {"citationItems":[{"id":"ITEM-1","itemData":{"DOI":"10.1016/j.esr.2021.100633","ISSN":"2211467X","abstract":"Advanced biofuels are among the available options to decarbonise transport in the short to medium term especially for aviation, marine and heavy-duty vehicles that lack immediate alternatives. Their production and market uptake, however, is still very low due to several challenges arising across their value chain. So far policy has established targets and monitoring frameworks for low carbon fuels and improved engine performance but has not yet been sufficient to facilitate their effective market uptake. Their market roll-out must be immediate if the 2030 targets are to be met. Analysis in this paper reiterates that the future deployment of these fuels, in market shares that can lead to the desired decarbonisation levels, still depends largely on the integration of tailored policy interventions that can overcome challenges and improve upstream and downstream performance. The work presented aims to i) inform on policy relevant challenges that restrict the flexible, reliable and cost-efficient market uptake of sustainable advanced biofuels for transport, and ii) highlight policy interventions that, have strong potential to overcome the challenges and are relevant to current policy, Green Deal and the Sustainable Development Goals (SDGs).","author":[{"dropping-particle":"","family":"Panoutsou","given":"Calliope","non-dropping-particle":"","parse-names":false,"suffix":""},{"dropping-particle":"","family":"Germer","given":"Sonja","non-dropping-particle":"","parse-names":false,"suffix":""},{"dropping-particle":"","family":"Karka","given":"Paraskevi","non-dropping-particle":"","parse-names":false,"suffix":""},{"dropping-particle":"","family":"Papadokostantakis","given":"Stavros","non-dropping-particle":"","parse-names":false,"suffix":""},{"dropping-particle":"","family":"Kroyan","given":"Yuri","non-dropping-particle":"","parse-names":false,"suffix":""},{"dropping-particle":"","family":"Wojcieszyk","given":"Michal","non-dropping-particle":"","parse-names":false,"suffix":""},{"dropping-particle":"","family":"Maniatis","given":"Kyriakos","non-dropping-particle":"","parse-names":false,"suffix":""},{"dropping-particle":"","family":"Marchand","given":"Philippe","non-dropping-particle":"","parse-names":false,"suffix":""},{"dropping-particle":"","family":"Landalv","given":"Ingvar","non-dropping-particle":"","parse-names":false,"suffix":""}],"container-title":"Energy Strategy Reviews","id":"ITEM-1","issue":"March","issued":{"date-parts":[["2021"]]},"page":"100633","publisher":"Elsevier Ltd","title":"Advanced biofuels to decarbonise European transport by 2030: Markets, challenges, and policies that impact their successful market uptake","type":"article-journal","volume":"34"},"uris":["http://www.mendeley.com/documents/?uuid=e0b8486c-e671-49c6-b25c-f2ad745dcfe0"]}],"mendeley":{"formattedCitation":"(Panoutsou et al., 2021)","plainTextFormattedCitation":"(Panoutsou et al., 2021)","previouslyFormattedCitation":"(Panoutsou et al., 2021)"},"properties":{"noteIndex":0},"schema":"https://github.com/citation-style-language/schema/raw/master/csl-citation.json"}</w:instrText>
      </w:r>
      <w:r w:rsidR="003B4A74">
        <w:rPr>
          <w:rFonts w:asciiTheme="majorHAnsi" w:hAnsiTheme="majorHAnsi" w:cstheme="majorBidi"/>
          <w:sz w:val="22"/>
          <w:szCs w:val="22"/>
          <w:lang w:val="en-GB"/>
        </w:rPr>
        <w:fldChar w:fldCharType="separate"/>
      </w:r>
      <w:r w:rsidR="003B4A74" w:rsidRPr="003B4A74">
        <w:rPr>
          <w:rFonts w:asciiTheme="majorHAnsi" w:hAnsiTheme="majorHAnsi" w:cstheme="majorBidi"/>
          <w:noProof/>
          <w:sz w:val="22"/>
          <w:szCs w:val="22"/>
          <w:lang w:val="en-GB"/>
        </w:rPr>
        <w:t>(Panoutsou et al., 2021)</w:t>
      </w:r>
      <w:r w:rsidR="003B4A74">
        <w:rPr>
          <w:rFonts w:asciiTheme="majorHAnsi" w:hAnsiTheme="majorHAnsi" w:cstheme="majorBidi"/>
          <w:sz w:val="22"/>
          <w:szCs w:val="22"/>
          <w:lang w:val="en-GB"/>
        </w:rPr>
        <w:fldChar w:fldCharType="end"/>
      </w:r>
      <w:r w:rsidRPr="362A3EC5">
        <w:rPr>
          <w:rFonts w:asciiTheme="majorHAnsi" w:hAnsiTheme="majorHAnsi" w:cstheme="majorBidi"/>
          <w:sz w:val="22"/>
          <w:szCs w:val="22"/>
          <w:lang w:val="en-GB"/>
        </w:rPr>
        <w:t xml:space="preserve">.   </w:t>
      </w:r>
    </w:p>
    <w:p w14:paraId="7269A623" w14:textId="6A15721D" w:rsidR="009E3767" w:rsidRPr="000B393A" w:rsidRDefault="6B49D179" w:rsidP="00C66DA5">
      <w:pPr>
        <w:spacing w:after="120" w:line="360" w:lineRule="auto"/>
        <w:ind w:firstLine="720"/>
        <w:rPr>
          <w:rFonts w:asciiTheme="majorHAnsi" w:hAnsiTheme="majorHAnsi" w:cstheme="majorBidi"/>
          <w:sz w:val="22"/>
          <w:szCs w:val="22"/>
        </w:rPr>
      </w:pPr>
      <w:r w:rsidRPr="5937A937">
        <w:rPr>
          <w:rFonts w:asciiTheme="majorHAnsi" w:hAnsiTheme="majorHAnsi" w:cstheme="majorBidi"/>
          <w:sz w:val="22"/>
          <w:szCs w:val="22"/>
          <w:lang w:val="en-GB"/>
        </w:rPr>
        <w:t xml:space="preserve">Currently less than </w:t>
      </w:r>
      <w:r w:rsidR="00012BF4">
        <w:rPr>
          <w:rFonts w:asciiTheme="majorHAnsi" w:hAnsiTheme="majorHAnsi" w:cstheme="majorBidi"/>
          <w:sz w:val="22"/>
          <w:szCs w:val="22"/>
          <w:lang w:val="en-GB"/>
        </w:rPr>
        <w:t>1</w:t>
      </w:r>
      <w:r w:rsidRPr="5937A937">
        <w:rPr>
          <w:rFonts w:asciiTheme="majorHAnsi" w:hAnsiTheme="majorHAnsi" w:cstheme="majorBidi"/>
          <w:sz w:val="22"/>
          <w:szCs w:val="22"/>
          <w:lang w:val="en-GB"/>
        </w:rPr>
        <w:t xml:space="preserve">% of the fuel used </w:t>
      </w:r>
      <w:r w:rsidR="1504D0F9" w:rsidRPr="5937A937">
        <w:rPr>
          <w:rFonts w:asciiTheme="majorHAnsi" w:hAnsiTheme="majorHAnsi" w:cstheme="majorBidi"/>
          <w:sz w:val="22"/>
          <w:szCs w:val="22"/>
          <w:lang w:val="en-GB"/>
        </w:rPr>
        <w:t xml:space="preserve">in marine </w:t>
      </w:r>
      <w:r w:rsidR="2B8D2F93" w:rsidRPr="5937A937">
        <w:rPr>
          <w:rFonts w:asciiTheme="majorHAnsi" w:hAnsiTheme="majorHAnsi" w:cstheme="majorBidi"/>
          <w:sz w:val="22"/>
          <w:szCs w:val="22"/>
          <w:lang w:val="en-GB"/>
        </w:rPr>
        <w:t>transportation</w:t>
      </w:r>
      <w:r w:rsidR="1504D0F9" w:rsidRPr="5937A937">
        <w:rPr>
          <w:rFonts w:asciiTheme="majorHAnsi" w:hAnsiTheme="majorHAnsi" w:cstheme="majorBidi"/>
          <w:sz w:val="22"/>
          <w:szCs w:val="22"/>
          <w:lang w:val="en-GB"/>
        </w:rPr>
        <w:t xml:space="preserve"> is </w:t>
      </w:r>
      <w:r w:rsidRPr="5937A937">
        <w:rPr>
          <w:rFonts w:asciiTheme="majorHAnsi" w:hAnsiTheme="majorHAnsi" w:cstheme="majorBidi"/>
          <w:sz w:val="22"/>
          <w:szCs w:val="22"/>
          <w:lang w:val="en-GB"/>
        </w:rPr>
        <w:t>bio</w:t>
      </w:r>
      <w:r w:rsidR="74DBB3BA" w:rsidRPr="5937A937">
        <w:rPr>
          <w:rFonts w:asciiTheme="majorHAnsi" w:hAnsiTheme="majorHAnsi" w:cstheme="majorBidi"/>
          <w:sz w:val="22"/>
          <w:szCs w:val="22"/>
          <w:lang w:val="en-GB"/>
        </w:rPr>
        <w:t>-based</w:t>
      </w:r>
      <w:r w:rsidR="0F75BCCB" w:rsidRPr="5937A937">
        <w:rPr>
          <w:rFonts w:asciiTheme="majorHAnsi" w:hAnsiTheme="majorHAnsi" w:cstheme="majorBidi"/>
          <w:sz w:val="22"/>
          <w:szCs w:val="22"/>
          <w:lang w:val="en-GB"/>
        </w:rPr>
        <w:t>.</w:t>
      </w:r>
      <w:r w:rsidR="05644B01" w:rsidRPr="5937A937">
        <w:rPr>
          <w:rFonts w:asciiTheme="majorHAnsi" w:hAnsiTheme="majorHAnsi" w:cstheme="majorBidi"/>
          <w:sz w:val="22"/>
          <w:szCs w:val="22"/>
          <w:lang w:val="en-GB"/>
        </w:rPr>
        <w:t xml:space="preserve"> T</w:t>
      </w:r>
      <w:r w:rsidRPr="5937A937">
        <w:rPr>
          <w:rFonts w:asciiTheme="majorHAnsi" w:hAnsiTheme="majorHAnsi" w:cstheme="majorBidi"/>
          <w:sz w:val="22"/>
          <w:szCs w:val="22"/>
          <w:lang w:val="en-GB"/>
        </w:rPr>
        <w:t>his is m</w:t>
      </w:r>
      <w:r w:rsidR="60E6D386" w:rsidRPr="5937A937">
        <w:rPr>
          <w:rFonts w:asciiTheme="majorHAnsi" w:hAnsiTheme="majorHAnsi" w:cstheme="majorBidi"/>
          <w:sz w:val="22"/>
          <w:szCs w:val="22"/>
          <w:lang w:val="en-GB"/>
        </w:rPr>
        <w:t xml:space="preserve">ostly </w:t>
      </w:r>
      <w:r w:rsidRPr="5937A937">
        <w:rPr>
          <w:rFonts w:asciiTheme="majorHAnsi" w:hAnsiTheme="majorHAnsi" w:cstheme="majorBidi"/>
          <w:sz w:val="22"/>
          <w:szCs w:val="22"/>
          <w:lang w:val="en-GB"/>
        </w:rPr>
        <w:t xml:space="preserve">due </w:t>
      </w:r>
      <w:r w:rsidR="5243B28B" w:rsidRPr="5937A937">
        <w:rPr>
          <w:rFonts w:asciiTheme="majorHAnsi" w:hAnsiTheme="majorHAnsi" w:cstheme="majorBidi"/>
          <w:sz w:val="22"/>
          <w:szCs w:val="22"/>
          <w:lang w:val="en-GB"/>
        </w:rPr>
        <w:t xml:space="preserve">to </w:t>
      </w:r>
      <w:r w:rsidRPr="5937A937">
        <w:rPr>
          <w:rFonts w:asciiTheme="majorHAnsi" w:hAnsiTheme="majorHAnsi" w:cstheme="majorBidi"/>
          <w:sz w:val="22"/>
          <w:szCs w:val="22"/>
          <w:lang w:val="en-GB"/>
        </w:rPr>
        <w:t xml:space="preserve">the considerably lower price of fossil fuels </w:t>
      </w:r>
      <w:r w:rsidR="61B9C795" w:rsidRPr="5937A937">
        <w:rPr>
          <w:rFonts w:asciiTheme="majorHAnsi" w:hAnsiTheme="majorHAnsi" w:cstheme="majorBidi"/>
          <w:sz w:val="22"/>
          <w:szCs w:val="22"/>
          <w:lang w:val="en-GB"/>
        </w:rPr>
        <w:t>alternatives</w:t>
      </w:r>
      <w:proofErr w:type="gramStart"/>
      <w:r w:rsidRPr="5937A937">
        <w:rPr>
          <w:rFonts w:asciiTheme="majorHAnsi" w:hAnsiTheme="majorHAnsi" w:cstheme="majorBidi"/>
          <w:sz w:val="22"/>
          <w:szCs w:val="22"/>
          <w:lang w:val="en-GB"/>
        </w:rPr>
        <w:t xml:space="preserve">.  </w:t>
      </w:r>
      <w:proofErr w:type="gramEnd"/>
      <w:r w:rsidR="5C3F6096" w:rsidRPr="5937A937">
        <w:rPr>
          <w:rFonts w:asciiTheme="majorHAnsi" w:hAnsiTheme="majorHAnsi" w:cstheme="majorBidi"/>
          <w:sz w:val="22"/>
          <w:szCs w:val="22"/>
          <w:lang w:val="en-GB"/>
        </w:rPr>
        <w:t xml:space="preserve">Moreover, </w:t>
      </w:r>
      <w:r w:rsidR="33D64CA2" w:rsidRPr="5937A937">
        <w:rPr>
          <w:rFonts w:asciiTheme="majorHAnsi" w:hAnsiTheme="majorHAnsi" w:cstheme="majorBidi"/>
          <w:sz w:val="22"/>
          <w:szCs w:val="22"/>
          <w:lang w:val="en-GB"/>
        </w:rPr>
        <w:t>the fuel consumption profile</w:t>
      </w:r>
      <w:r w:rsidRPr="5937A937">
        <w:rPr>
          <w:rFonts w:asciiTheme="majorHAnsi" w:hAnsiTheme="majorHAnsi" w:cstheme="majorBidi"/>
          <w:sz w:val="22"/>
          <w:szCs w:val="22"/>
          <w:lang w:val="en-GB"/>
        </w:rPr>
        <w:t xml:space="preserve"> in the shipping sector </w:t>
      </w:r>
      <w:r w:rsidR="3B23BDDB" w:rsidRPr="5937A937">
        <w:rPr>
          <w:rFonts w:asciiTheme="majorHAnsi" w:hAnsiTheme="majorHAnsi" w:cstheme="majorBidi"/>
          <w:sz w:val="22"/>
          <w:szCs w:val="22"/>
          <w:lang w:val="en-GB"/>
        </w:rPr>
        <w:t>is</w:t>
      </w:r>
      <w:r w:rsidRPr="5937A937">
        <w:rPr>
          <w:rFonts w:asciiTheme="majorHAnsi" w:hAnsiTheme="majorHAnsi" w:cstheme="majorBidi"/>
          <w:sz w:val="22"/>
          <w:szCs w:val="22"/>
          <w:lang w:val="en-GB"/>
        </w:rPr>
        <w:t xml:space="preserve"> </w:t>
      </w:r>
      <w:r w:rsidR="33F99308" w:rsidRPr="5937A937">
        <w:rPr>
          <w:rFonts w:asciiTheme="majorHAnsi" w:hAnsiTheme="majorHAnsi" w:cstheme="majorBidi"/>
          <w:sz w:val="22"/>
          <w:szCs w:val="22"/>
          <w:lang w:val="en-GB"/>
        </w:rPr>
        <w:t>large</w:t>
      </w:r>
      <w:r w:rsidRPr="5937A937">
        <w:rPr>
          <w:rFonts w:asciiTheme="majorHAnsi" w:hAnsiTheme="majorHAnsi" w:cstheme="majorBidi"/>
          <w:sz w:val="22"/>
          <w:szCs w:val="22"/>
          <w:lang w:val="en-GB"/>
        </w:rPr>
        <w:t>ly depended on the price of residual fuel oil</w:t>
      </w:r>
      <w:r w:rsidR="3C29D90F" w:rsidRPr="5937A937">
        <w:rPr>
          <w:rFonts w:asciiTheme="majorHAnsi" w:hAnsiTheme="majorHAnsi" w:cstheme="majorBidi"/>
          <w:sz w:val="22"/>
          <w:szCs w:val="22"/>
          <w:lang w:val="en-GB"/>
        </w:rPr>
        <w:t xml:space="preserve">, one of the cheapest </w:t>
      </w:r>
      <w:r w:rsidR="001B711A" w:rsidRPr="5937A937">
        <w:rPr>
          <w:rFonts w:asciiTheme="majorHAnsi" w:hAnsiTheme="majorHAnsi" w:cstheme="majorBidi"/>
          <w:sz w:val="22"/>
          <w:szCs w:val="22"/>
          <w:lang w:val="en-GB"/>
        </w:rPr>
        <w:t xml:space="preserve">available </w:t>
      </w:r>
      <w:r w:rsidR="3C29D90F" w:rsidRPr="5937A937">
        <w:rPr>
          <w:rFonts w:asciiTheme="majorHAnsi" w:hAnsiTheme="majorHAnsi" w:cstheme="majorBidi"/>
          <w:sz w:val="22"/>
          <w:szCs w:val="22"/>
          <w:lang w:val="en-GB"/>
        </w:rPr>
        <w:t xml:space="preserve">fuel </w:t>
      </w:r>
      <w:r w:rsidR="005E294E">
        <w:rPr>
          <w:rFonts w:asciiTheme="majorHAnsi" w:hAnsiTheme="majorHAnsi" w:cstheme="majorBidi"/>
          <w:sz w:val="22"/>
          <w:szCs w:val="22"/>
          <w:lang w:val="en-GB"/>
        </w:rPr>
        <w:fldChar w:fldCharType="begin" w:fldLock="1"/>
      </w:r>
      <w:r w:rsidR="00B159B4">
        <w:rPr>
          <w:rFonts w:asciiTheme="majorHAnsi" w:hAnsiTheme="majorHAnsi" w:cstheme="majorBidi"/>
          <w:sz w:val="22"/>
          <w:szCs w:val="22"/>
          <w:lang w:val="en-GB"/>
        </w:rPr>
        <w:instrText>ADDIN CSL_CITATION {"citationItems":[{"id":"ITEM-1","itemData":{"author":[{"dropping-particle":"","family":"Uslu","given":"Ayla","non-dropping-particle":"","parse-names":false,"suffix":""}],"id":"ITEM-1","issued":{"date-parts":[["2019"]]},"title":"Market analysis","type":"report"},"uris":["http://www.mendeley.com/documents/?uuid=f0487272-4a66-4a0e-b49d-ac94b47a56ec"]}],"mendeley":{"formattedCitation":"(Uslu, 2019)","plainTextFormattedCitation":"(Uslu, 2019)","previouslyFormattedCitation":"(Uslu, 2019)"},"properties":{"noteIndex":0},"schema":"https://github.com/citation-style-language/schema/raw/master/csl-citation.json"}</w:instrText>
      </w:r>
      <w:r w:rsidR="005E294E">
        <w:rPr>
          <w:rFonts w:asciiTheme="majorHAnsi" w:hAnsiTheme="majorHAnsi" w:cstheme="majorBidi"/>
          <w:sz w:val="22"/>
          <w:szCs w:val="22"/>
          <w:lang w:val="en-GB"/>
        </w:rPr>
        <w:fldChar w:fldCharType="separate"/>
      </w:r>
      <w:r w:rsidR="005E294E" w:rsidRPr="005E294E">
        <w:rPr>
          <w:rFonts w:asciiTheme="majorHAnsi" w:hAnsiTheme="majorHAnsi" w:cstheme="majorBidi"/>
          <w:noProof/>
          <w:sz w:val="22"/>
          <w:szCs w:val="22"/>
          <w:lang w:val="en-GB"/>
        </w:rPr>
        <w:t>(Uslu, 2019)</w:t>
      </w:r>
      <w:r w:rsidR="005E294E">
        <w:rPr>
          <w:rFonts w:asciiTheme="majorHAnsi" w:hAnsiTheme="majorHAnsi" w:cstheme="majorBidi"/>
          <w:sz w:val="22"/>
          <w:szCs w:val="22"/>
          <w:lang w:val="en-GB"/>
        </w:rPr>
        <w:fldChar w:fldCharType="end"/>
      </w:r>
      <w:r w:rsidRPr="5937A937">
        <w:rPr>
          <w:rFonts w:asciiTheme="majorHAnsi" w:hAnsiTheme="majorHAnsi" w:cstheme="majorBidi"/>
          <w:sz w:val="22"/>
          <w:szCs w:val="22"/>
          <w:lang w:val="en-GB"/>
        </w:rPr>
        <w:t xml:space="preserve">. </w:t>
      </w:r>
    </w:p>
    <w:p w14:paraId="6704B7F6" w14:textId="511BBF9B" w:rsidR="009E3767" w:rsidRPr="009E3767" w:rsidRDefault="6B49D179" w:rsidP="0078088C">
      <w:pPr>
        <w:spacing w:after="120" w:line="360" w:lineRule="auto"/>
        <w:ind w:firstLine="720"/>
        <w:rPr>
          <w:rFonts w:asciiTheme="majorHAnsi" w:hAnsiTheme="majorHAnsi" w:cstheme="majorBidi"/>
          <w:sz w:val="22"/>
          <w:szCs w:val="22"/>
          <w:lang w:val="en-GB"/>
        </w:rPr>
      </w:pPr>
      <w:r w:rsidRPr="5937A937">
        <w:rPr>
          <w:rFonts w:asciiTheme="majorHAnsi" w:hAnsiTheme="majorHAnsi" w:cstheme="majorBidi"/>
          <w:sz w:val="22"/>
          <w:szCs w:val="22"/>
          <w:lang w:val="en-GB"/>
        </w:rPr>
        <w:t>Advanced biofuels face mayor challenges</w:t>
      </w:r>
      <w:r w:rsidR="00476C39">
        <w:rPr>
          <w:rFonts w:asciiTheme="majorHAnsi" w:hAnsiTheme="majorHAnsi" w:cstheme="majorBidi"/>
          <w:sz w:val="22"/>
          <w:szCs w:val="22"/>
          <w:lang w:val="en-GB"/>
        </w:rPr>
        <w:t xml:space="preserve"> for their widespread adoption in the shipping sector, </w:t>
      </w:r>
      <w:proofErr w:type="gramStart"/>
      <w:r w:rsidR="00476C39">
        <w:rPr>
          <w:rFonts w:asciiTheme="majorHAnsi" w:hAnsiTheme="majorHAnsi" w:cstheme="majorBidi"/>
          <w:sz w:val="22"/>
          <w:szCs w:val="22"/>
          <w:lang w:val="en-GB"/>
        </w:rPr>
        <w:t xml:space="preserve">namely </w:t>
      </w:r>
      <w:r w:rsidRPr="5937A937">
        <w:rPr>
          <w:rFonts w:asciiTheme="majorHAnsi" w:hAnsiTheme="majorHAnsi" w:cstheme="majorBidi"/>
          <w:sz w:val="22"/>
          <w:szCs w:val="22"/>
          <w:lang w:val="en-GB"/>
        </w:rPr>
        <w:t xml:space="preserve"> cost</w:t>
      </w:r>
      <w:proofErr w:type="gramEnd"/>
      <w:r w:rsidR="001E0893">
        <w:rPr>
          <w:rFonts w:asciiTheme="majorHAnsi" w:hAnsiTheme="majorHAnsi" w:cstheme="majorBidi"/>
          <w:sz w:val="22"/>
          <w:szCs w:val="22"/>
          <w:lang w:val="en-GB"/>
        </w:rPr>
        <w:t xml:space="preserve"> and</w:t>
      </w:r>
      <w:r w:rsidR="001A6FD6">
        <w:rPr>
          <w:rFonts w:asciiTheme="majorHAnsi" w:hAnsiTheme="majorHAnsi" w:cstheme="majorBidi"/>
          <w:sz w:val="22"/>
          <w:szCs w:val="22"/>
          <w:lang w:val="en-GB"/>
        </w:rPr>
        <w:t xml:space="preserve"> availability</w:t>
      </w:r>
      <w:r w:rsidRPr="5937A937">
        <w:rPr>
          <w:rFonts w:asciiTheme="majorHAnsi" w:hAnsiTheme="majorHAnsi" w:cstheme="majorBidi"/>
          <w:sz w:val="22"/>
          <w:szCs w:val="22"/>
          <w:lang w:val="en-GB"/>
        </w:rPr>
        <w:t xml:space="preserve">. </w:t>
      </w:r>
      <w:r w:rsidR="001065BD">
        <w:rPr>
          <w:rFonts w:asciiTheme="majorHAnsi" w:hAnsiTheme="majorHAnsi" w:cstheme="majorBidi"/>
          <w:sz w:val="22"/>
          <w:szCs w:val="22"/>
          <w:lang w:val="en-GB"/>
        </w:rPr>
        <w:t>T</w:t>
      </w:r>
      <w:r w:rsidR="27FC103D" w:rsidRPr="5937A937">
        <w:rPr>
          <w:rFonts w:asciiTheme="majorHAnsi" w:hAnsiTheme="majorHAnsi" w:cstheme="majorBidi"/>
          <w:sz w:val="22"/>
          <w:szCs w:val="22"/>
          <w:lang w:val="en-GB"/>
        </w:rPr>
        <w:t>he</w:t>
      </w:r>
      <w:r w:rsidR="003A3931">
        <w:rPr>
          <w:rFonts w:asciiTheme="majorHAnsi" w:hAnsiTheme="majorHAnsi" w:cstheme="majorBidi"/>
          <w:sz w:val="22"/>
          <w:szCs w:val="22"/>
          <w:lang w:val="en-GB"/>
        </w:rPr>
        <w:t xml:space="preserve">ir cost is roughly </w:t>
      </w:r>
      <w:r w:rsidR="003F1488">
        <w:rPr>
          <w:rFonts w:asciiTheme="majorHAnsi" w:hAnsiTheme="majorHAnsi" w:cstheme="majorBidi"/>
          <w:sz w:val="22"/>
          <w:szCs w:val="22"/>
          <w:lang w:val="en-GB"/>
        </w:rPr>
        <w:t xml:space="preserve">2 to </w:t>
      </w:r>
      <w:proofErr w:type="gramStart"/>
      <w:r w:rsidR="003F1488">
        <w:rPr>
          <w:rFonts w:asciiTheme="majorHAnsi" w:hAnsiTheme="majorHAnsi" w:cstheme="majorBidi"/>
          <w:sz w:val="22"/>
          <w:szCs w:val="22"/>
          <w:lang w:val="en-GB"/>
        </w:rPr>
        <w:t>5 fold</w:t>
      </w:r>
      <w:proofErr w:type="gramEnd"/>
      <w:r w:rsidR="0078088C">
        <w:rPr>
          <w:rFonts w:asciiTheme="majorHAnsi" w:hAnsiTheme="majorHAnsi" w:cstheme="majorBidi"/>
          <w:sz w:val="22"/>
          <w:szCs w:val="22"/>
          <w:lang w:val="en-GB"/>
        </w:rPr>
        <w:t xml:space="preserve"> higher</w:t>
      </w:r>
      <w:r w:rsidR="003A3931">
        <w:rPr>
          <w:rFonts w:asciiTheme="majorHAnsi" w:hAnsiTheme="majorHAnsi" w:cstheme="majorBidi"/>
          <w:sz w:val="22"/>
          <w:szCs w:val="22"/>
          <w:lang w:val="en-GB"/>
        </w:rPr>
        <w:t xml:space="preserve"> </w:t>
      </w:r>
      <w:r w:rsidR="008F2676">
        <w:rPr>
          <w:rFonts w:asciiTheme="majorHAnsi" w:hAnsiTheme="majorHAnsi" w:cstheme="majorBidi"/>
          <w:sz w:val="22"/>
          <w:szCs w:val="22"/>
          <w:lang w:val="en-GB"/>
        </w:rPr>
        <w:t>compared with</w:t>
      </w:r>
      <w:r w:rsidR="00766A25">
        <w:rPr>
          <w:rFonts w:asciiTheme="majorHAnsi" w:hAnsiTheme="majorHAnsi" w:cstheme="majorBidi"/>
          <w:sz w:val="22"/>
          <w:szCs w:val="22"/>
          <w:lang w:val="en-GB"/>
        </w:rPr>
        <w:t xml:space="preserve"> </w:t>
      </w:r>
      <w:r w:rsidRPr="5937A937">
        <w:rPr>
          <w:rFonts w:asciiTheme="majorHAnsi" w:hAnsiTheme="majorHAnsi" w:cstheme="majorBidi"/>
          <w:sz w:val="22"/>
          <w:szCs w:val="22"/>
          <w:lang w:val="en-GB"/>
        </w:rPr>
        <w:t>crude-based</w:t>
      </w:r>
      <w:r w:rsidR="008F2676">
        <w:rPr>
          <w:rFonts w:asciiTheme="majorHAnsi" w:hAnsiTheme="majorHAnsi" w:cstheme="majorBidi"/>
          <w:sz w:val="22"/>
          <w:szCs w:val="22"/>
          <w:lang w:val="en-GB"/>
        </w:rPr>
        <w:t xml:space="preserve"> fuels</w:t>
      </w:r>
      <w:r w:rsidR="008D46BF">
        <w:rPr>
          <w:rFonts w:asciiTheme="majorHAnsi" w:hAnsiTheme="majorHAnsi" w:cstheme="majorBidi"/>
          <w:sz w:val="22"/>
          <w:szCs w:val="22"/>
          <w:lang w:val="en-GB"/>
        </w:rPr>
        <w:t>.  The second barrier</w:t>
      </w:r>
      <w:r w:rsidR="00B3030C">
        <w:rPr>
          <w:rFonts w:asciiTheme="majorHAnsi" w:hAnsiTheme="majorHAnsi" w:cstheme="majorBidi"/>
          <w:sz w:val="22"/>
          <w:szCs w:val="22"/>
          <w:lang w:val="en-GB"/>
        </w:rPr>
        <w:t xml:space="preserve">, availability, refers to the current lack of </w:t>
      </w:r>
      <w:r w:rsidR="00F57978">
        <w:rPr>
          <w:rFonts w:asciiTheme="majorHAnsi" w:hAnsiTheme="majorHAnsi" w:cstheme="majorBidi"/>
          <w:sz w:val="22"/>
          <w:szCs w:val="22"/>
          <w:lang w:val="en-GB"/>
        </w:rPr>
        <w:t xml:space="preserve">production </w:t>
      </w:r>
      <w:r w:rsidR="00B3030C">
        <w:rPr>
          <w:rFonts w:asciiTheme="majorHAnsi" w:hAnsiTheme="majorHAnsi" w:cstheme="majorBidi"/>
          <w:sz w:val="22"/>
          <w:szCs w:val="22"/>
          <w:lang w:val="en-GB"/>
        </w:rPr>
        <w:t xml:space="preserve">capacity </w:t>
      </w:r>
      <w:r w:rsidR="00774389">
        <w:rPr>
          <w:rFonts w:asciiTheme="majorHAnsi" w:hAnsiTheme="majorHAnsi" w:cstheme="majorBidi"/>
          <w:sz w:val="22"/>
          <w:szCs w:val="22"/>
          <w:lang w:val="en-GB"/>
        </w:rPr>
        <w:t>to meet the global demand</w:t>
      </w:r>
      <w:r w:rsidR="0078088C">
        <w:rPr>
          <w:rFonts w:asciiTheme="majorHAnsi" w:hAnsiTheme="majorHAnsi" w:cstheme="majorBidi"/>
          <w:sz w:val="22"/>
          <w:szCs w:val="22"/>
          <w:lang w:val="en-GB"/>
        </w:rPr>
        <w:t xml:space="preserve"> </w:t>
      </w:r>
      <w:r w:rsidR="0078088C">
        <w:rPr>
          <w:rFonts w:asciiTheme="majorHAnsi" w:hAnsiTheme="majorHAnsi" w:cstheme="majorBidi"/>
          <w:sz w:val="22"/>
          <w:szCs w:val="22"/>
          <w:lang w:val="en-GB"/>
        </w:rPr>
        <w:fldChar w:fldCharType="begin" w:fldLock="1"/>
      </w:r>
      <w:r w:rsidR="000B2E7F">
        <w:rPr>
          <w:rFonts w:asciiTheme="majorHAnsi" w:hAnsiTheme="majorHAnsi" w:cstheme="majorBidi"/>
          <w:sz w:val="22"/>
          <w:szCs w:val="22"/>
          <w:lang w:val="en-GB"/>
        </w:rPr>
        <w:instrText>ADDIN CSL_CITATION {"citationItems":[{"id":"ITEM-1","itemData":{"ISBN":"978-92-9260-150-8","author":[{"dropping-particle":"","family":"IRENA","given":"","non-dropping-particle":"","parse-names":false,"suffix":""}],"id":"ITEM-1","issue":"September","issued":{"date-parts":[["2019"]]},"title":"Navigating to a renewable future: Solutions for decarbonising shipping, Preliminary findings","type":"book"},"uris":["http://www.mendeley.com/documents/?uuid=d2f7c441-120d-444c-be3e-b4b221b94600"]}],"mendeley":{"formattedCitation":"(IRENA, 2019)","plainTextFormattedCitation":"(IRENA, 2019)","previouslyFormattedCitation":"(IRENA, 2019)"},"properties":{"noteIndex":0},"schema":"https://github.com/citation-style-language/schema/raw/master/csl-citation.json"}</w:instrText>
      </w:r>
      <w:r w:rsidR="0078088C">
        <w:rPr>
          <w:rFonts w:asciiTheme="majorHAnsi" w:hAnsiTheme="majorHAnsi" w:cstheme="majorBidi"/>
          <w:sz w:val="22"/>
          <w:szCs w:val="22"/>
          <w:lang w:val="en-GB"/>
        </w:rPr>
        <w:fldChar w:fldCharType="separate"/>
      </w:r>
      <w:r w:rsidR="0078088C" w:rsidRPr="0078088C">
        <w:rPr>
          <w:rFonts w:asciiTheme="majorHAnsi" w:hAnsiTheme="majorHAnsi" w:cstheme="majorBidi"/>
          <w:noProof/>
          <w:sz w:val="22"/>
          <w:szCs w:val="22"/>
          <w:lang w:val="en-GB"/>
        </w:rPr>
        <w:t>(IRENA, 2019)</w:t>
      </w:r>
      <w:r w:rsidR="0078088C">
        <w:rPr>
          <w:rFonts w:asciiTheme="majorHAnsi" w:hAnsiTheme="majorHAnsi" w:cstheme="majorBidi"/>
          <w:sz w:val="22"/>
          <w:szCs w:val="22"/>
          <w:lang w:val="en-GB"/>
        </w:rPr>
        <w:fldChar w:fldCharType="end"/>
      </w:r>
      <w:r w:rsidRPr="5937A937">
        <w:rPr>
          <w:rFonts w:asciiTheme="majorHAnsi" w:hAnsiTheme="majorHAnsi" w:cstheme="majorBidi"/>
          <w:sz w:val="22"/>
          <w:szCs w:val="22"/>
          <w:lang w:val="en-GB"/>
        </w:rPr>
        <w:t xml:space="preserve">. Within this context IDEALFUEL </w:t>
      </w:r>
      <w:r w:rsidR="48908ED0" w:rsidRPr="5937A937">
        <w:rPr>
          <w:rFonts w:asciiTheme="majorHAnsi" w:hAnsiTheme="majorHAnsi" w:cstheme="majorBidi"/>
          <w:sz w:val="22"/>
          <w:szCs w:val="22"/>
          <w:lang w:val="en-GB"/>
        </w:rPr>
        <w:t>(</w:t>
      </w:r>
      <w:r w:rsidRPr="5937A937">
        <w:rPr>
          <w:rFonts w:asciiTheme="majorHAnsi" w:hAnsiTheme="majorHAnsi" w:cstheme="majorBidi"/>
          <w:sz w:val="22"/>
          <w:szCs w:val="22"/>
          <w:lang w:val="en-GB"/>
        </w:rPr>
        <w:t>EU H2020 project</w:t>
      </w:r>
      <w:r w:rsidR="79A071C5" w:rsidRPr="5937A937">
        <w:rPr>
          <w:rFonts w:asciiTheme="majorHAnsi" w:hAnsiTheme="majorHAnsi" w:cstheme="majorBidi"/>
          <w:sz w:val="22"/>
          <w:szCs w:val="22"/>
          <w:lang w:val="en-GB"/>
        </w:rPr>
        <w:t>)</w:t>
      </w:r>
      <w:r w:rsidRPr="5937A937">
        <w:rPr>
          <w:rFonts w:asciiTheme="majorHAnsi" w:hAnsiTheme="majorHAnsi" w:cstheme="majorBidi"/>
          <w:sz w:val="22"/>
          <w:szCs w:val="22"/>
          <w:lang w:val="en-GB"/>
        </w:rPr>
        <w:t xml:space="preserve"> was </w:t>
      </w:r>
      <w:r w:rsidR="52135B5F" w:rsidRPr="5937A937">
        <w:rPr>
          <w:rFonts w:asciiTheme="majorHAnsi" w:hAnsiTheme="majorHAnsi" w:cstheme="majorBidi"/>
          <w:sz w:val="22"/>
          <w:szCs w:val="22"/>
          <w:lang w:val="en-GB"/>
        </w:rPr>
        <w:t>conceived</w:t>
      </w:r>
      <w:r w:rsidRPr="5937A937">
        <w:rPr>
          <w:rFonts w:asciiTheme="majorHAnsi" w:hAnsiTheme="majorHAnsi" w:cstheme="majorBidi"/>
          <w:sz w:val="22"/>
          <w:szCs w:val="22"/>
          <w:lang w:val="en-GB"/>
        </w:rPr>
        <w:t xml:space="preserve"> with the </w:t>
      </w:r>
      <w:r w:rsidR="3F34A2E3" w:rsidRPr="5937A937">
        <w:rPr>
          <w:rFonts w:asciiTheme="majorHAnsi" w:hAnsiTheme="majorHAnsi" w:cstheme="majorBidi"/>
          <w:sz w:val="22"/>
          <w:szCs w:val="22"/>
          <w:lang w:val="en-GB"/>
        </w:rPr>
        <w:t>overall objective</w:t>
      </w:r>
      <w:r w:rsidRPr="5937A937">
        <w:rPr>
          <w:rFonts w:asciiTheme="majorHAnsi" w:hAnsiTheme="majorHAnsi" w:cstheme="majorBidi"/>
          <w:sz w:val="22"/>
          <w:szCs w:val="22"/>
          <w:lang w:val="en-GB"/>
        </w:rPr>
        <w:t xml:space="preserve"> of producing an advanced </w:t>
      </w:r>
      <w:r w:rsidR="34D53375" w:rsidRPr="5937A937">
        <w:rPr>
          <w:rFonts w:asciiTheme="majorHAnsi" w:hAnsiTheme="majorHAnsi" w:cstheme="majorBidi"/>
          <w:sz w:val="22"/>
          <w:szCs w:val="22"/>
          <w:lang w:val="en-GB"/>
        </w:rPr>
        <w:t>and cost-competitive biofuel</w:t>
      </w:r>
      <w:r w:rsidRPr="5937A937">
        <w:rPr>
          <w:rFonts w:asciiTheme="majorHAnsi" w:hAnsiTheme="majorHAnsi" w:cstheme="majorBidi"/>
          <w:sz w:val="22"/>
          <w:szCs w:val="22"/>
          <w:lang w:val="en-GB"/>
        </w:rPr>
        <w:t xml:space="preserve"> </w:t>
      </w:r>
      <w:r w:rsidR="4F2EAC33" w:rsidRPr="5937A937">
        <w:rPr>
          <w:rFonts w:asciiTheme="majorHAnsi" w:hAnsiTheme="majorHAnsi" w:cstheme="majorBidi"/>
          <w:sz w:val="22"/>
          <w:szCs w:val="22"/>
          <w:lang w:val="en-GB"/>
        </w:rPr>
        <w:t>(</w:t>
      </w:r>
      <w:r w:rsidRPr="5937A937">
        <w:rPr>
          <w:rFonts w:asciiTheme="majorHAnsi" w:hAnsiTheme="majorHAnsi" w:cstheme="majorBidi"/>
          <w:sz w:val="22"/>
          <w:szCs w:val="22"/>
          <w:lang w:val="en-GB"/>
        </w:rPr>
        <w:t>B</w:t>
      </w:r>
      <w:r w:rsidR="006B6B24">
        <w:rPr>
          <w:rFonts w:asciiTheme="majorHAnsi" w:hAnsiTheme="majorHAnsi" w:cstheme="majorBidi"/>
          <w:sz w:val="22"/>
          <w:szCs w:val="22"/>
          <w:lang w:val="en-GB"/>
        </w:rPr>
        <w:t>io</w:t>
      </w:r>
      <w:r w:rsidRPr="5937A937">
        <w:rPr>
          <w:rFonts w:asciiTheme="majorHAnsi" w:hAnsiTheme="majorHAnsi" w:cstheme="majorBidi"/>
          <w:sz w:val="22"/>
          <w:szCs w:val="22"/>
          <w:lang w:val="en-GB"/>
        </w:rPr>
        <w:t>-HFO</w:t>
      </w:r>
      <w:r w:rsidR="3DD4DD8C" w:rsidRPr="5937A937">
        <w:rPr>
          <w:rFonts w:asciiTheme="majorHAnsi" w:hAnsiTheme="majorHAnsi" w:cstheme="majorBidi"/>
          <w:sz w:val="22"/>
          <w:szCs w:val="22"/>
          <w:lang w:val="en-GB"/>
        </w:rPr>
        <w:t>)</w:t>
      </w:r>
      <w:r w:rsidRPr="5937A937">
        <w:rPr>
          <w:rFonts w:asciiTheme="majorHAnsi" w:hAnsiTheme="majorHAnsi" w:cstheme="majorBidi"/>
          <w:sz w:val="22"/>
          <w:szCs w:val="22"/>
          <w:lang w:val="en-GB"/>
        </w:rPr>
        <w:t xml:space="preserve"> out of lignin. With this</w:t>
      </w:r>
      <w:r w:rsidR="30AB67FC" w:rsidRPr="5937A937">
        <w:rPr>
          <w:rFonts w:asciiTheme="majorHAnsi" w:hAnsiTheme="majorHAnsi" w:cstheme="majorBidi"/>
          <w:sz w:val="22"/>
          <w:szCs w:val="22"/>
          <w:lang w:val="en-GB"/>
        </w:rPr>
        <w:t xml:space="preserve"> concept in mind</w:t>
      </w:r>
      <w:r w:rsidRPr="5937A937">
        <w:rPr>
          <w:rFonts w:asciiTheme="majorHAnsi" w:hAnsiTheme="majorHAnsi" w:cstheme="majorBidi"/>
          <w:sz w:val="22"/>
          <w:szCs w:val="22"/>
          <w:lang w:val="en-GB"/>
        </w:rPr>
        <w:t>, a new process has been developed to</w:t>
      </w:r>
      <w:r w:rsidR="00607FF1">
        <w:rPr>
          <w:rFonts w:asciiTheme="majorHAnsi" w:hAnsiTheme="majorHAnsi" w:cstheme="majorBidi"/>
          <w:sz w:val="22"/>
          <w:szCs w:val="22"/>
          <w:lang w:val="en-GB"/>
        </w:rPr>
        <w:t xml:space="preserve"> fractionate lignocellulose and</w:t>
      </w:r>
      <w:r w:rsidRPr="5937A937">
        <w:rPr>
          <w:rFonts w:asciiTheme="majorHAnsi" w:hAnsiTheme="majorHAnsi" w:cstheme="majorBidi"/>
          <w:sz w:val="22"/>
          <w:szCs w:val="22"/>
          <w:lang w:val="en-GB"/>
        </w:rPr>
        <w:t xml:space="preserve"> </w:t>
      </w:r>
      <w:proofErr w:type="gramStart"/>
      <w:r w:rsidRPr="5937A937">
        <w:rPr>
          <w:rFonts w:asciiTheme="majorHAnsi" w:hAnsiTheme="majorHAnsi" w:cstheme="majorBidi"/>
          <w:sz w:val="22"/>
          <w:szCs w:val="22"/>
          <w:lang w:val="en-GB"/>
        </w:rPr>
        <w:t>extract  lignin</w:t>
      </w:r>
      <w:proofErr w:type="gramEnd"/>
      <w:r w:rsidR="7C2CA74B" w:rsidRPr="5937A937">
        <w:rPr>
          <w:rFonts w:asciiTheme="majorHAnsi" w:hAnsiTheme="majorHAnsi" w:cstheme="majorBidi"/>
          <w:sz w:val="22"/>
          <w:szCs w:val="22"/>
          <w:lang w:val="en-GB"/>
        </w:rPr>
        <w:t xml:space="preserve">, suitable for further upgrade into </w:t>
      </w:r>
      <w:r w:rsidR="00AA7CE9">
        <w:rPr>
          <w:rFonts w:asciiTheme="majorHAnsi" w:hAnsiTheme="majorHAnsi" w:cstheme="majorBidi"/>
          <w:sz w:val="22"/>
          <w:szCs w:val="22"/>
          <w:lang w:val="en-GB"/>
        </w:rPr>
        <w:t>a marine fuel</w:t>
      </w:r>
      <w:r w:rsidRPr="5937A937">
        <w:rPr>
          <w:rFonts w:asciiTheme="majorHAnsi" w:hAnsiTheme="majorHAnsi" w:cstheme="majorBidi"/>
          <w:sz w:val="22"/>
          <w:szCs w:val="22"/>
          <w:lang w:val="en-GB"/>
        </w:rPr>
        <w:t>.</w:t>
      </w:r>
      <w:r w:rsidR="01630D40" w:rsidRPr="5937A937">
        <w:rPr>
          <w:rFonts w:asciiTheme="majorHAnsi" w:hAnsiTheme="majorHAnsi" w:cstheme="majorBidi"/>
          <w:sz w:val="22"/>
          <w:szCs w:val="22"/>
          <w:lang w:val="en-GB"/>
        </w:rPr>
        <w:t xml:space="preserve"> Although</w:t>
      </w:r>
      <w:r w:rsidRPr="5937A937">
        <w:rPr>
          <w:rFonts w:asciiTheme="majorHAnsi" w:hAnsiTheme="majorHAnsi" w:cstheme="majorBidi"/>
          <w:sz w:val="22"/>
          <w:szCs w:val="22"/>
          <w:lang w:val="en-GB"/>
        </w:rPr>
        <w:t xml:space="preserve"> lignin</w:t>
      </w:r>
      <w:r w:rsidR="0E5538E4" w:rsidRPr="5937A937">
        <w:rPr>
          <w:rFonts w:asciiTheme="majorHAnsi" w:hAnsiTheme="majorHAnsi" w:cstheme="majorBidi"/>
          <w:sz w:val="22"/>
          <w:szCs w:val="22"/>
          <w:lang w:val="en-GB"/>
        </w:rPr>
        <w:t xml:space="preserve"> is</w:t>
      </w:r>
      <w:r w:rsidRPr="5937A937">
        <w:rPr>
          <w:rFonts w:asciiTheme="majorHAnsi" w:hAnsiTheme="majorHAnsi" w:cstheme="majorBidi"/>
          <w:sz w:val="22"/>
          <w:szCs w:val="22"/>
          <w:lang w:val="en-GB"/>
        </w:rPr>
        <w:t xml:space="preserve"> a</w:t>
      </w:r>
      <w:r w:rsidR="65FA980F" w:rsidRPr="5937A937">
        <w:rPr>
          <w:rFonts w:asciiTheme="majorHAnsi" w:hAnsiTheme="majorHAnsi" w:cstheme="majorBidi"/>
          <w:sz w:val="22"/>
          <w:szCs w:val="22"/>
          <w:lang w:val="en-GB"/>
        </w:rPr>
        <w:t>ccessible</w:t>
      </w:r>
      <w:r w:rsidRPr="5937A937">
        <w:rPr>
          <w:rFonts w:asciiTheme="majorHAnsi" w:hAnsiTheme="majorHAnsi" w:cstheme="majorBidi"/>
          <w:sz w:val="22"/>
          <w:szCs w:val="22"/>
          <w:lang w:val="en-GB"/>
        </w:rPr>
        <w:t xml:space="preserve"> </w:t>
      </w:r>
      <w:r w:rsidR="0BB86068" w:rsidRPr="5937A937">
        <w:rPr>
          <w:rFonts w:asciiTheme="majorHAnsi" w:hAnsiTheme="majorHAnsi" w:cstheme="majorBidi"/>
          <w:sz w:val="22"/>
          <w:szCs w:val="22"/>
          <w:lang w:val="en-GB"/>
        </w:rPr>
        <w:t>in</w:t>
      </w:r>
      <w:r w:rsidRPr="5937A937">
        <w:rPr>
          <w:rFonts w:asciiTheme="majorHAnsi" w:hAnsiTheme="majorHAnsi" w:cstheme="majorBidi"/>
          <w:sz w:val="22"/>
          <w:szCs w:val="22"/>
          <w:lang w:val="en-GB"/>
        </w:rPr>
        <w:t xml:space="preserve"> the market</w:t>
      </w:r>
      <w:r w:rsidR="70FA519E" w:rsidRPr="5937A937">
        <w:rPr>
          <w:rFonts w:asciiTheme="majorHAnsi" w:hAnsiTheme="majorHAnsi" w:cstheme="majorBidi"/>
          <w:sz w:val="22"/>
          <w:szCs w:val="22"/>
          <w:lang w:val="en-GB"/>
        </w:rPr>
        <w:t>,</w:t>
      </w:r>
      <w:r w:rsidRPr="5937A937">
        <w:rPr>
          <w:rFonts w:asciiTheme="majorHAnsi" w:hAnsiTheme="majorHAnsi" w:cstheme="majorBidi"/>
          <w:sz w:val="22"/>
          <w:szCs w:val="22"/>
          <w:lang w:val="en-GB"/>
        </w:rPr>
        <w:t xml:space="preserve"> </w:t>
      </w:r>
      <w:r w:rsidR="02769A0C" w:rsidRPr="5937A937">
        <w:rPr>
          <w:rFonts w:asciiTheme="majorHAnsi" w:hAnsiTheme="majorHAnsi" w:cstheme="majorBidi"/>
          <w:sz w:val="22"/>
          <w:szCs w:val="22"/>
          <w:lang w:val="en-GB"/>
        </w:rPr>
        <w:t xml:space="preserve">the </w:t>
      </w:r>
      <w:r w:rsidR="781E5C88" w:rsidRPr="5937A937">
        <w:rPr>
          <w:rFonts w:asciiTheme="majorHAnsi" w:hAnsiTheme="majorHAnsi" w:cstheme="majorBidi"/>
          <w:sz w:val="22"/>
          <w:szCs w:val="22"/>
          <w:lang w:val="en-GB"/>
        </w:rPr>
        <w:t>chemical</w:t>
      </w:r>
      <w:r w:rsidR="02769A0C" w:rsidRPr="5937A937">
        <w:rPr>
          <w:rFonts w:asciiTheme="majorHAnsi" w:hAnsiTheme="majorHAnsi" w:cstheme="majorBidi"/>
          <w:sz w:val="22"/>
          <w:szCs w:val="22"/>
          <w:lang w:val="en-GB"/>
        </w:rPr>
        <w:t xml:space="preserve"> </w:t>
      </w:r>
      <w:r w:rsidR="4B67AE91" w:rsidRPr="5937A937">
        <w:rPr>
          <w:rFonts w:asciiTheme="majorHAnsi" w:hAnsiTheme="majorHAnsi" w:cstheme="majorBidi"/>
          <w:sz w:val="22"/>
          <w:szCs w:val="22"/>
          <w:lang w:val="en-GB"/>
        </w:rPr>
        <w:t>characteristic</w:t>
      </w:r>
      <w:r w:rsidR="02769A0C" w:rsidRPr="5937A937">
        <w:rPr>
          <w:rFonts w:asciiTheme="majorHAnsi" w:hAnsiTheme="majorHAnsi" w:cstheme="majorBidi"/>
          <w:sz w:val="22"/>
          <w:szCs w:val="22"/>
          <w:lang w:val="en-GB"/>
        </w:rPr>
        <w:t xml:space="preserve"> </w:t>
      </w:r>
      <w:proofErr w:type="gramStart"/>
      <w:r w:rsidRPr="5937A937">
        <w:rPr>
          <w:rFonts w:asciiTheme="majorHAnsi" w:hAnsiTheme="majorHAnsi" w:cstheme="majorBidi"/>
          <w:sz w:val="22"/>
          <w:szCs w:val="22"/>
          <w:lang w:val="en-GB"/>
        </w:rPr>
        <w:t>do</w:t>
      </w:r>
      <w:proofErr w:type="gramEnd"/>
      <w:r w:rsidRPr="5937A937">
        <w:rPr>
          <w:rFonts w:asciiTheme="majorHAnsi" w:hAnsiTheme="majorHAnsi" w:cstheme="majorBidi"/>
          <w:sz w:val="22"/>
          <w:szCs w:val="22"/>
          <w:lang w:val="en-GB"/>
        </w:rPr>
        <w:t xml:space="preserve"> not meet </w:t>
      </w:r>
      <w:r w:rsidR="37951E97" w:rsidRPr="5937A937">
        <w:rPr>
          <w:rFonts w:asciiTheme="majorHAnsi" w:hAnsiTheme="majorHAnsi" w:cstheme="majorBidi"/>
          <w:sz w:val="22"/>
          <w:szCs w:val="22"/>
          <w:lang w:val="en-GB"/>
        </w:rPr>
        <w:t xml:space="preserve">the necessary requirements </w:t>
      </w:r>
      <w:r w:rsidR="5F4C05FE" w:rsidRPr="5937A937">
        <w:rPr>
          <w:rFonts w:asciiTheme="majorHAnsi" w:hAnsiTheme="majorHAnsi" w:cstheme="majorBidi"/>
          <w:sz w:val="22"/>
          <w:szCs w:val="22"/>
          <w:lang w:val="en-GB"/>
        </w:rPr>
        <w:t>for</w:t>
      </w:r>
      <w:r w:rsidR="37951E97" w:rsidRPr="5937A937">
        <w:rPr>
          <w:rFonts w:asciiTheme="majorHAnsi" w:hAnsiTheme="majorHAnsi" w:cstheme="majorBidi"/>
          <w:sz w:val="22"/>
          <w:szCs w:val="22"/>
          <w:lang w:val="en-GB"/>
        </w:rPr>
        <w:t xml:space="preserve"> </w:t>
      </w:r>
      <w:r w:rsidR="001517EB">
        <w:rPr>
          <w:rFonts w:asciiTheme="majorHAnsi" w:hAnsiTheme="majorHAnsi" w:cstheme="majorBidi"/>
          <w:sz w:val="22"/>
          <w:szCs w:val="22"/>
          <w:lang w:val="en-GB"/>
        </w:rPr>
        <w:t xml:space="preserve">the </w:t>
      </w:r>
      <w:r w:rsidR="37951E97" w:rsidRPr="5937A937">
        <w:rPr>
          <w:rFonts w:asciiTheme="majorHAnsi" w:hAnsiTheme="majorHAnsi" w:cstheme="majorBidi"/>
          <w:sz w:val="22"/>
          <w:szCs w:val="22"/>
          <w:lang w:val="en-GB"/>
        </w:rPr>
        <w:t>efficient produc</w:t>
      </w:r>
      <w:r w:rsidR="1C3CB778" w:rsidRPr="5937A937">
        <w:rPr>
          <w:rFonts w:asciiTheme="majorHAnsi" w:hAnsiTheme="majorHAnsi" w:cstheme="majorBidi"/>
          <w:sz w:val="22"/>
          <w:szCs w:val="22"/>
          <w:lang w:val="en-GB"/>
        </w:rPr>
        <w:t>tion of</w:t>
      </w:r>
      <w:r w:rsidR="37951E97" w:rsidRPr="5937A937">
        <w:rPr>
          <w:rFonts w:asciiTheme="majorHAnsi" w:hAnsiTheme="majorHAnsi" w:cstheme="majorBidi"/>
          <w:sz w:val="22"/>
          <w:szCs w:val="22"/>
          <w:lang w:val="en-GB"/>
        </w:rPr>
        <w:t xml:space="preserve"> the </w:t>
      </w:r>
      <w:r w:rsidR="747BB9F3" w:rsidRPr="5937A937">
        <w:rPr>
          <w:rFonts w:asciiTheme="majorHAnsi" w:hAnsiTheme="majorHAnsi" w:cstheme="majorBidi"/>
          <w:sz w:val="22"/>
          <w:szCs w:val="22"/>
          <w:lang w:val="en-GB"/>
        </w:rPr>
        <w:t>end product</w:t>
      </w:r>
      <w:r w:rsidRPr="5937A937">
        <w:rPr>
          <w:rFonts w:asciiTheme="majorHAnsi" w:hAnsiTheme="majorHAnsi" w:cstheme="majorBidi"/>
          <w:sz w:val="22"/>
          <w:szCs w:val="22"/>
          <w:lang w:val="en-GB"/>
        </w:rPr>
        <w:t>.</w:t>
      </w:r>
      <w:r w:rsidR="578EEC06" w:rsidRPr="5937A937">
        <w:rPr>
          <w:rFonts w:asciiTheme="majorHAnsi" w:hAnsiTheme="majorHAnsi" w:cstheme="majorBidi"/>
          <w:sz w:val="22"/>
          <w:szCs w:val="22"/>
          <w:lang w:val="en-GB"/>
        </w:rPr>
        <w:t xml:space="preserve"> Moreover, </w:t>
      </w:r>
      <w:r w:rsidR="6A1FAC1E" w:rsidRPr="5937A937">
        <w:rPr>
          <w:rFonts w:asciiTheme="majorHAnsi" w:hAnsiTheme="majorHAnsi" w:cstheme="majorBidi"/>
          <w:sz w:val="22"/>
          <w:szCs w:val="22"/>
          <w:lang w:val="en-GB"/>
        </w:rPr>
        <w:t xml:space="preserve">the use of </w:t>
      </w:r>
      <w:r w:rsidR="489FACF0" w:rsidRPr="5937A937">
        <w:rPr>
          <w:rFonts w:asciiTheme="majorHAnsi" w:hAnsiTheme="majorHAnsi" w:cstheme="majorBidi"/>
          <w:sz w:val="22"/>
          <w:szCs w:val="22"/>
          <w:lang w:val="en-GB"/>
        </w:rPr>
        <w:t xml:space="preserve">the </w:t>
      </w:r>
      <w:r w:rsidR="6A1FAC1E" w:rsidRPr="5937A937">
        <w:rPr>
          <w:rFonts w:asciiTheme="majorHAnsi" w:hAnsiTheme="majorHAnsi" w:cstheme="majorBidi"/>
          <w:sz w:val="22"/>
          <w:szCs w:val="22"/>
          <w:lang w:val="en-GB"/>
        </w:rPr>
        <w:t>a</w:t>
      </w:r>
      <w:r w:rsidR="3C9AC7C7" w:rsidRPr="5937A937">
        <w:rPr>
          <w:rFonts w:asciiTheme="majorHAnsi" w:hAnsiTheme="majorHAnsi" w:cstheme="majorBidi"/>
          <w:sz w:val="22"/>
          <w:szCs w:val="22"/>
          <w:lang w:val="en-GB"/>
        </w:rPr>
        <w:t xml:space="preserve">vailable </w:t>
      </w:r>
      <w:r w:rsidR="6A1FAC1E" w:rsidRPr="5937A937">
        <w:rPr>
          <w:rFonts w:asciiTheme="majorHAnsi" w:hAnsiTheme="majorHAnsi" w:cstheme="majorBidi"/>
          <w:sz w:val="22"/>
          <w:szCs w:val="22"/>
          <w:lang w:val="en-GB"/>
        </w:rPr>
        <w:t xml:space="preserve">residual </w:t>
      </w:r>
      <w:r w:rsidR="69DCA76B" w:rsidRPr="5937A937">
        <w:rPr>
          <w:rFonts w:asciiTheme="majorHAnsi" w:hAnsiTheme="majorHAnsi" w:cstheme="majorBidi"/>
          <w:sz w:val="22"/>
          <w:szCs w:val="22"/>
          <w:lang w:val="en-GB"/>
        </w:rPr>
        <w:t xml:space="preserve">stream of </w:t>
      </w:r>
      <w:r w:rsidR="008438ED" w:rsidRPr="5937A937">
        <w:rPr>
          <w:rFonts w:asciiTheme="majorHAnsi" w:hAnsiTheme="majorHAnsi" w:cstheme="majorBidi"/>
          <w:sz w:val="22"/>
          <w:szCs w:val="22"/>
          <w:lang w:val="en-GB"/>
        </w:rPr>
        <w:t>l</w:t>
      </w:r>
      <w:r w:rsidR="008438ED">
        <w:rPr>
          <w:rFonts w:asciiTheme="majorHAnsi" w:hAnsiTheme="majorHAnsi" w:cstheme="majorBidi"/>
          <w:sz w:val="22"/>
          <w:szCs w:val="22"/>
          <w:lang w:val="en-GB"/>
        </w:rPr>
        <w:t>ignocellulosic biomass</w:t>
      </w:r>
      <w:r w:rsidR="00AD827F" w:rsidRPr="5937A937">
        <w:rPr>
          <w:rFonts w:asciiTheme="majorHAnsi" w:hAnsiTheme="majorHAnsi" w:cstheme="majorBidi"/>
          <w:sz w:val="22"/>
          <w:szCs w:val="22"/>
          <w:lang w:val="en-GB"/>
        </w:rPr>
        <w:t xml:space="preserve"> </w:t>
      </w:r>
      <w:r w:rsidR="7EDAF1BC" w:rsidRPr="5937A937">
        <w:rPr>
          <w:rFonts w:asciiTheme="majorHAnsi" w:hAnsiTheme="majorHAnsi" w:cstheme="majorBidi"/>
          <w:sz w:val="22"/>
          <w:szCs w:val="22"/>
          <w:lang w:val="en-GB"/>
        </w:rPr>
        <w:t xml:space="preserve">is a way to cope with the circular economy while adding value to the </w:t>
      </w:r>
      <w:r w:rsidR="38028723" w:rsidRPr="5937A937">
        <w:rPr>
          <w:rFonts w:asciiTheme="majorHAnsi" w:hAnsiTheme="majorHAnsi" w:cstheme="majorBidi"/>
          <w:sz w:val="22"/>
          <w:szCs w:val="22"/>
          <w:lang w:val="en-GB"/>
        </w:rPr>
        <w:t>whole project</w:t>
      </w:r>
      <w:r w:rsidR="02D0D2C2" w:rsidRPr="5937A937">
        <w:rPr>
          <w:rFonts w:asciiTheme="majorHAnsi" w:hAnsiTheme="majorHAnsi" w:cstheme="majorBidi"/>
          <w:sz w:val="22"/>
          <w:szCs w:val="22"/>
          <w:lang w:val="en-GB"/>
        </w:rPr>
        <w:t>.</w:t>
      </w:r>
    </w:p>
    <w:p w14:paraId="76508888" w14:textId="5D013F98" w:rsidR="362A3EC5" w:rsidRDefault="362A3EC5" w:rsidP="362A3EC5">
      <w:pPr>
        <w:spacing w:after="120" w:line="360" w:lineRule="auto"/>
        <w:rPr>
          <w:szCs w:val="21"/>
          <w:lang w:val="en-GB"/>
        </w:rPr>
      </w:pPr>
    </w:p>
    <w:p w14:paraId="38FCA6FA" w14:textId="44E3563A" w:rsidR="004C2A72" w:rsidRDefault="18F1886A" w:rsidP="005D6854">
      <w:pPr>
        <w:pStyle w:val="Heading2"/>
      </w:pPr>
      <w:bookmarkStart w:id="8" w:name="_Toc85627855"/>
      <w:r>
        <w:lastRenderedPageBreak/>
        <w:t>Objective</w:t>
      </w:r>
      <w:bookmarkEnd w:id="8"/>
      <w:r w:rsidR="62407F5C">
        <w:t xml:space="preserve"> </w:t>
      </w:r>
    </w:p>
    <w:p w14:paraId="402980F8" w14:textId="4A18490E" w:rsidR="362A3EC5" w:rsidRDefault="362A3EC5" w:rsidP="362A3EC5">
      <w:pPr>
        <w:spacing w:after="120" w:line="360" w:lineRule="auto"/>
        <w:rPr>
          <w:rFonts w:asciiTheme="majorHAnsi" w:hAnsiTheme="majorHAnsi" w:cstheme="majorBidi"/>
          <w:sz w:val="22"/>
          <w:szCs w:val="22"/>
        </w:rPr>
      </w:pPr>
    </w:p>
    <w:p w14:paraId="3D70CD8C" w14:textId="2940F62F" w:rsidR="3E1F9147" w:rsidRDefault="3E1F9147" w:rsidP="00C66DA5">
      <w:pPr>
        <w:spacing w:after="120" w:line="360" w:lineRule="auto"/>
        <w:ind w:firstLine="720"/>
        <w:rPr>
          <w:rFonts w:asciiTheme="majorHAnsi" w:hAnsiTheme="majorHAnsi" w:cstheme="majorBidi"/>
          <w:sz w:val="22"/>
          <w:szCs w:val="22"/>
        </w:rPr>
      </w:pPr>
      <w:r w:rsidRPr="362A3EC5">
        <w:rPr>
          <w:rFonts w:asciiTheme="majorHAnsi" w:hAnsiTheme="majorHAnsi" w:cstheme="majorBidi"/>
          <w:sz w:val="22"/>
          <w:szCs w:val="22"/>
        </w:rPr>
        <w:t xml:space="preserve">The objective of the present report is to provide valuable information on the </w:t>
      </w:r>
      <w:r w:rsidR="29BAFE86" w:rsidRPr="362A3EC5">
        <w:rPr>
          <w:rFonts w:asciiTheme="majorHAnsi" w:hAnsiTheme="majorHAnsi" w:cstheme="majorBidi"/>
          <w:sz w:val="22"/>
          <w:szCs w:val="22"/>
        </w:rPr>
        <w:t>market perspective and, therefore, support the best process design and R&amp;D strategy.</w:t>
      </w:r>
      <w:r w:rsidR="66A594DF" w:rsidRPr="362A3EC5">
        <w:rPr>
          <w:rFonts w:asciiTheme="majorHAnsi" w:hAnsiTheme="majorHAnsi" w:cstheme="majorBidi"/>
          <w:sz w:val="22"/>
          <w:szCs w:val="22"/>
        </w:rPr>
        <w:t xml:space="preserve"> </w:t>
      </w:r>
      <w:r w:rsidR="40847561" w:rsidRPr="362A3EC5">
        <w:rPr>
          <w:rFonts w:asciiTheme="majorHAnsi" w:hAnsiTheme="majorHAnsi" w:cstheme="majorBidi"/>
          <w:sz w:val="22"/>
          <w:szCs w:val="22"/>
        </w:rPr>
        <w:t xml:space="preserve">This report presents </w:t>
      </w:r>
      <w:r w:rsidR="51EBDBCC" w:rsidRPr="362A3EC5">
        <w:rPr>
          <w:rFonts w:asciiTheme="majorHAnsi" w:hAnsiTheme="majorHAnsi" w:cstheme="majorBidi"/>
          <w:sz w:val="22"/>
          <w:szCs w:val="22"/>
        </w:rPr>
        <w:t xml:space="preserve">the size and trends in our current market, legislatives instruments, potential </w:t>
      </w:r>
      <w:r w:rsidR="4A256A03" w:rsidRPr="362A3EC5">
        <w:rPr>
          <w:rFonts w:asciiTheme="majorHAnsi" w:hAnsiTheme="majorHAnsi" w:cstheme="majorBidi"/>
          <w:sz w:val="22"/>
          <w:szCs w:val="22"/>
        </w:rPr>
        <w:t>market competitors</w:t>
      </w:r>
      <w:r w:rsidR="51EBDBCC" w:rsidRPr="362A3EC5">
        <w:rPr>
          <w:rFonts w:asciiTheme="majorHAnsi" w:hAnsiTheme="majorHAnsi" w:cstheme="majorBidi"/>
          <w:sz w:val="22"/>
          <w:szCs w:val="22"/>
        </w:rPr>
        <w:t xml:space="preserve"> in the </w:t>
      </w:r>
      <w:r w:rsidR="049CECAA" w:rsidRPr="362A3EC5">
        <w:rPr>
          <w:rFonts w:asciiTheme="majorHAnsi" w:hAnsiTheme="majorHAnsi" w:cstheme="majorBidi"/>
          <w:sz w:val="22"/>
          <w:szCs w:val="22"/>
        </w:rPr>
        <w:t>near</w:t>
      </w:r>
      <w:r w:rsidR="51EBDBCC" w:rsidRPr="362A3EC5">
        <w:rPr>
          <w:rFonts w:asciiTheme="majorHAnsi" w:hAnsiTheme="majorHAnsi" w:cstheme="majorBidi"/>
          <w:sz w:val="22"/>
          <w:szCs w:val="22"/>
        </w:rPr>
        <w:t xml:space="preserve"> and long t</w:t>
      </w:r>
      <w:r w:rsidR="57B264DF" w:rsidRPr="362A3EC5">
        <w:rPr>
          <w:rFonts w:asciiTheme="majorHAnsi" w:hAnsiTheme="majorHAnsi" w:cstheme="majorBidi"/>
          <w:sz w:val="22"/>
          <w:szCs w:val="22"/>
        </w:rPr>
        <w:t>erm</w:t>
      </w:r>
      <w:r w:rsidR="19747EB3" w:rsidRPr="362A3EC5">
        <w:rPr>
          <w:rFonts w:asciiTheme="majorHAnsi" w:hAnsiTheme="majorHAnsi" w:cstheme="majorBidi"/>
          <w:sz w:val="22"/>
          <w:szCs w:val="22"/>
        </w:rPr>
        <w:t xml:space="preserve">, </w:t>
      </w:r>
      <w:r w:rsidR="51EBDBCC" w:rsidRPr="362A3EC5">
        <w:rPr>
          <w:rFonts w:asciiTheme="majorHAnsi" w:hAnsiTheme="majorHAnsi" w:cstheme="majorBidi"/>
          <w:sz w:val="22"/>
          <w:szCs w:val="22"/>
        </w:rPr>
        <w:t xml:space="preserve">opportunities </w:t>
      </w:r>
      <w:r w:rsidR="66DEF4D1" w:rsidRPr="362A3EC5">
        <w:rPr>
          <w:rFonts w:asciiTheme="majorHAnsi" w:hAnsiTheme="majorHAnsi" w:cstheme="majorBidi"/>
          <w:sz w:val="22"/>
          <w:szCs w:val="22"/>
        </w:rPr>
        <w:t>and</w:t>
      </w:r>
      <w:r w:rsidR="51EBDBCC" w:rsidRPr="362A3EC5">
        <w:rPr>
          <w:rFonts w:asciiTheme="majorHAnsi" w:hAnsiTheme="majorHAnsi" w:cstheme="majorBidi"/>
          <w:sz w:val="22"/>
          <w:szCs w:val="22"/>
        </w:rPr>
        <w:t xml:space="preserve"> constrains. </w:t>
      </w:r>
      <w:r w:rsidR="40852536" w:rsidRPr="362A3EC5">
        <w:rPr>
          <w:rFonts w:asciiTheme="majorHAnsi" w:hAnsiTheme="majorHAnsi" w:cstheme="majorBidi"/>
          <w:sz w:val="22"/>
          <w:szCs w:val="22"/>
        </w:rPr>
        <w:t>I</w:t>
      </w:r>
      <w:r w:rsidR="694E4AB8" w:rsidRPr="362A3EC5">
        <w:rPr>
          <w:rFonts w:asciiTheme="majorHAnsi" w:hAnsiTheme="majorHAnsi" w:cstheme="majorBidi"/>
          <w:sz w:val="22"/>
          <w:szCs w:val="22"/>
        </w:rPr>
        <w:t>t is expected</w:t>
      </w:r>
      <w:r w:rsidR="2BDB663F" w:rsidRPr="362A3EC5">
        <w:rPr>
          <w:rFonts w:asciiTheme="majorHAnsi" w:hAnsiTheme="majorHAnsi" w:cstheme="majorBidi"/>
          <w:sz w:val="22"/>
          <w:szCs w:val="22"/>
        </w:rPr>
        <w:t xml:space="preserve"> that, by the end of this report,</w:t>
      </w:r>
      <w:r w:rsidR="694E4AB8" w:rsidRPr="362A3EC5">
        <w:rPr>
          <w:rFonts w:asciiTheme="majorHAnsi" w:hAnsiTheme="majorHAnsi" w:cstheme="majorBidi"/>
          <w:sz w:val="22"/>
          <w:szCs w:val="22"/>
        </w:rPr>
        <w:t xml:space="preserve"> </w:t>
      </w:r>
      <w:r w:rsidR="40847561" w:rsidRPr="362A3EC5">
        <w:rPr>
          <w:rFonts w:asciiTheme="majorHAnsi" w:hAnsiTheme="majorHAnsi" w:cstheme="majorBidi"/>
          <w:sz w:val="22"/>
          <w:szCs w:val="22"/>
        </w:rPr>
        <w:t xml:space="preserve">a clear overview of the market </w:t>
      </w:r>
      <w:r w:rsidR="645EE142" w:rsidRPr="362A3EC5">
        <w:rPr>
          <w:rFonts w:asciiTheme="majorHAnsi" w:hAnsiTheme="majorHAnsi" w:cstheme="majorBidi"/>
          <w:sz w:val="22"/>
          <w:szCs w:val="22"/>
        </w:rPr>
        <w:t xml:space="preserve">is provided, </w:t>
      </w:r>
      <w:r w:rsidR="0E9F33B3" w:rsidRPr="362A3EC5">
        <w:rPr>
          <w:rFonts w:asciiTheme="majorHAnsi" w:hAnsiTheme="majorHAnsi" w:cstheme="majorBidi"/>
          <w:sz w:val="22"/>
          <w:szCs w:val="22"/>
        </w:rPr>
        <w:t xml:space="preserve">identifying </w:t>
      </w:r>
      <w:r w:rsidR="61247983" w:rsidRPr="362A3EC5">
        <w:rPr>
          <w:rFonts w:asciiTheme="majorHAnsi" w:hAnsiTheme="majorHAnsi" w:cstheme="majorBidi"/>
          <w:sz w:val="22"/>
          <w:szCs w:val="22"/>
        </w:rPr>
        <w:t xml:space="preserve">a </w:t>
      </w:r>
      <w:r w:rsidR="40847561" w:rsidRPr="362A3EC5">
        <w:rPr>
          <w:rFonts w:asciiTheme="majorHAnsi" w:hAnsiTheme="majorHAnsi" w:cstheme="majorBidi"/>
          <w:sz w:val="22"/>
          <w:szCs w:val="22"/>
        </w:rPr>
        <w:t>po</w:t>
      </w:r>
      <w:r w:rsidR="27A7257C" w:rsidRPr="362A3EC5">
        <w:rPr>
          <w:rFonts w:asciiTheme="majorHAnsi" w:hAnsiTheme="majorHAnsi" w:cstheme="majorBidi"/>
          <w:sz w:val="22"/>
          <w:szCs w:val="22"/>
        </w:rPr>
        <w:t>tential</w:t>
      </w:r>
      <w:r w:rsidR="40847561" w:rsidRPr="362A3EC5">
        <w:rPr>
          <w:rFonts w:asciiTheme="majorHAnsi" w:hAnsiTheme="majorHAnsi" w:cstheme="majorBidi"/>
          <w:sz w:val="22"/>
          <w:szCs w:val="22"/>
        </w:rPr>
        <w:t xml:space="preserve"> </w:t>
      </w:r>
      <w:r w:rsidR="5525B22E" w:rsidRPr="362A3EC5">
        <w:rPr>
          <w:rFonts w:asciiTheme="majorHAnsi" w:hAnsiTheme="majorHAnsi" w:cstheme="majorBidi"/>
          <w:sz w:val="22"/>
          <w:szCs w:val="22"/>
        </w:rPr>
        <w:t xml:space="preserve">spot for </w:t>
      </w:r>
      <w:r w:rsidR="00182AD5" w:rsidRPr="362A3EC5">
        <w:rPr>
          <w:rFonts w:asciiTheme="majorHAnsi" w:hAnsiTheme="majorHAnsi" w:cstheme="majorBidi"/>
          <w:sz w:val="22"/>
          <w:szCs w:val="22"/>
        </w:rPr>
        <w:t>B</w:t>
      </w:r>
      <w:r w:rsidR="00182AD5">
        <w:rPr>
          <w:rFonts w:asciiTheme="majorHAnsi" w:hAnsiTheme="majorHAnsi" w:cstheme="majorBidi"/>
          <w:sz w:val="22"/>
          <w:szCs w:val="22"/>
        </w:rPr>
        <w:t>io</w:t>
      </w:r>
      <w:r w:rsidR="40847561" w:rsidRPr="362A3EC5">
        <w:rPr>
          <w:rFonts w:asciiTheme="majorHAnsi" w:hAnsiTheme="majorHAnsi" w:cstheme="majorBidi"/>
          <w:sz w:val="22"/>
          <w:szCs w:val="22"/>
        </w:rPr>
        <w:t xml:space="preserve">-HFO within </w:t>
      </w:r>
      <w:proofErr w:type="gramStart"/>
      <w:r w:rsidR="40847561" w:rsidRPr="362A3EC5">
        <w:rPr>
          <w:rFonts w:asciiTheme="majorHAnsi" w:hAnsiTheme="majorHAnsi" w:cstheme="majorBidi"/>
          <w:sz w:val="22"/>
          <w:szCs w:val="22"/>
        </w:rPr>
        <w:t>an</w:t>
      </w:r>
      <w:proofErr w:type="gramEnd"/>
      <w:r w:rsidR="40847561" w:rsidRPr="362A3EC5">
        <w:rPr>
          <w:rFonts w:asciiTheme="majorHAnsi" w:hAnsiTheme="majorHAnsi" w:cstheme="majorBidi"/>
          <w:sz w:val="22"/>
          <w:szCs w:val="22"/>
        </w:rPr>
        <w:t xml:space="preserve"> European </w:t>
      </w:r>
      <w:r w:rsidR="3958035D" w:rsidRPr="362A3EC5">
        <w:rPr>
          <w:rFonts w:asciiTheme="majorHAnsi" w:hAnsiTheme="majorHAnsi" w:cstheme="majorBidi"/>
          <w:sz w:val="22"/>
          <w:szCs w:val="22"/>
        </w:rPr>
        <w:t xml:space="preserve">market </w:t>
      </w:r>
      <w:r w:rsidR="40847561" w:rsidRPr="362A3EC5">
        <w:rPr>
          <w:rFonts w:asciiTheme="majorHAnsi" w:hAnsiTheme="majorHAnsi" w:cstheme="majorBidi"/>
          <w:sz w:val="22"/>
          <w:szCs w:val="22"/>
        </w:rPr>
        <w:t xml:space="preserve">context. </w:t>
      </w:r>
    </w:p>
    <w:p w14:paraId="155EACA2" w14:textId="77777777" w:rsidR="00295F62" w:rsidRDefault="00295F62" w:rsidP="362A3EC5">
      <w:pPr>
        <w:spacing w:after="120" w:line="360" w:lineRule="auto"/>
        <w:ind w:firstLine="444"/>
        <w:rPr>
          <w:rFonts w:asciiTheme="majorHAnsi" w:hAnsiTheme="majorHAnsi" w:cstheme="majorBidi"/>
          <w:sz w:val="22"/>
          <w:szCs w:val="22"/>
        </w:rPr>
      </w:pPr>
    </w:p>
    <w:p w14:paraId="25478F97" w14:textId="08799F97" w:rsidR="004C2A72" w:rsidRDefault="18F1886A" w:rsidP="005D6854">
      <w:pPr>
        <w:pStyle w:val="Heading2"/>
      </w:pPr>
      <w:bookmarkStart w:id="9" w:name="_Toc85627856"/>
      <w:r>
        <w:t>Outline of Report</w:t>
      </w:r>
      <w:bookmarkEnd w:id="9"/>
    </w:p>
    <w:p w14:paraId="58356561" w14:textId="77777777" w:rsidR="00FA4F70" w:rsidRDefault="00C66DA5" w:rsidP="00E65064">
      <w:pPr>
        <w:spacing w:after="120" w:line="360" w:lineRule="auto"/>
        <w:rPr>
          <w:sz w:val="22"/>
          <w:szCs w:val="22"/>
          <w:lang w:val="en-GB"/>
        </w:rPr>
      </w:pPr>
      <w:r>
        <w:rPr>
          <w:lang w:val="en-GB"/>
        </w:rPr>
        <w:tab/>
      </w:r>
      <w:r w:rsidR="00282551">
        <w:rPr>
          <w:lang w:val="en-GB"/>
        </w:rPr>
        <w:t xml:space="preserve">The report is structured as follows. </w:t>
      </w:r>
      <w:r w:rsidR="001168F0" w:rsidRPr="0040379B">
        <w:rPr>
          <w:sz w:val="22"/>
          <w:szCs w:val="22"/>
          <w:lang w:val="en-GB"/>
        </w:rPr>
        <w:t xml:space="preserve">In section 2 </w:t>
      </w:r>
      <w:r w:rsidR="00884BDE">
        <w:rPr>
          <w:sz w:val="22"/>
          <w:szCs w:val="22"/>
          <w:lang w:val="en-GB"/>
        </w:rPr>
        <w:t xml:space="preserve">the </w:t>
      </w:r>
      <w:r w:rsidR="003E03DC" w:rsidRPr="0040379B">
        <w:rPr>
          <w:sz w:val="22"/>
          <w:szCs w:val="22"/>
          <w:lang w:val="en-GB"/>
        </w:rPr>
        <w:t xml:space="preserve">European </w:t>
      </w:r>
      <w:r w:rsidR="00766A25" w:rsidRPr="0040379B">
        <w:rPr>
          <w:sz w:val="22"/>
          <w:szCs w:val="22"/>
          <w:lang w:val="en-GB"/>
        </w:rPr>
        <w:t>legislation</w:t>
      </w:r>
      <w:r w:rsidR="001168F0" w:rsidRPr="0040379B">
        <w:rPr>
          <w:sz w:val="22"/>
          <w:szCs w:val="22"/>
          <w:lang w:val="en-GB"/>
        </w:rPr>
        <w:t xml:space="preserve"> </w:t>
      </w:r>
      <w:r w:rsidR="00884BDE">
        <w:rPr>
          <w:sz w:val="22"/>
          <w:szCs w:val="22"/>
          <w:lang w:val="en-GB"/>
        </w:rPr>
        <w:t>which</w:t>
      </w:r>
      <w:r w:rsidR="001168F0" w:rsidRPr="0040379B">
        <w:rPr>
          <w:sz w:val="22"/>
          <w:szCs w:val="22"/>
          <w:lang w:val="en-GB"/>
        </w:rPr>
        <w:t xml:space="preserve"> </w:t>
      </w:r>
      <w:r w:rsidR="00FC02B3">
        <w:rPr>
          <w:sz w:val="22"/>
          <w:szCs w:val="22"/>
          <w:lang w:val="en-GB"/>
        </w:rPr>
        <w:t>might</w:t>
      </w:r>
      <w:r w:rsidR="001168F0" w:rsidRPr="0040379B">
        <w:rPr>
          <w:sz w:val="22"/>
          <w:szCs w:val="22"/>
          <w:lang w:val="en-GB"/>
        </w:rPr>
        <w:t xml:space="preserve"> directly or indirectly affect the </w:t>
      </w:r>
      <w:r w:rsidR="000336AA" w:rsidRPr="0040379B">
        <w:rPr>
          <w:sz w:val="22"/>
          <w:szCs w:val="22"/>
          <w:lang w:val="en-GB"/>
        </w:rPr>
        <w:t>market</w:t>
      </w:r>
      <w:r w:rsidR="001168F0" w:rsidRPr="0040379B">
        <w:rPr>
          <w:sz w:val="22"/>
          <w:szCs w:val="22"/>
          <w:lang w:val="en-GB"/>
        </w:rPr>
        <w:t xml:space="preserve"> for </w:t>
      </w:r>
      <w:r w:rsidR="000336AA" w:rsidRPr="0040379B">
        <w:rPr>
          <w:sz w:val="22"/>
          <w:szCs w:val="22"/>
          <w:lang w:val="en-GB"/>
        </w:rPr>
        <w:t>the Bio-HFO</w:t>
      </w:r>
      <w:r w:rsidR="00884BDE" w:rsidRPr="00884BDE">
        <w:rPr>
          <w:sz w:val="22"/>
          <w:szCs w:val="22"/>
          <w:lang w:val="en-GB"/>
        </w:rPr>
        <w:t xml:space="preserve"> </w:t>
      </w:r>
      <w:proofErr w:type="gramStart"/>
      <w:r w:rsidR="00884BDE">
        <w:rPr>
          <w:sz w:val="22"/>
          <w:szCs w:val="22"/>
          <w:lang w:val="en-GB"/>
        </w:rPr>
        <w:t xml:space="preserve">is </w:t>
      </w:r>
      <w:r w:rsidR="00884BDE" w:rsidRPr="0040379B">
        <w:rPr>
          <w:sz w:val="22"/>
          <w:szCs w:val="22"/>
          <w:lang w:val="en-GB"/>
        </w:rPr>
        <w:t xml:space="preserve"> presented</w:t>
      </w:r>
      <w:proofErr w:type="gramEnd"/>
      <w:r w:rsidR="000336AA" w:rsidRPr="0040379B">
        <w:rPr>
          <w:sz w:val="22"/>
          <w:szCs w:val="22"/>
          <w:lang w:val="en-GB"/>
        </w:rPr>
        <w:t xml:space="preserve">. </w:t>
      </w:r>
      <w:r w:rsidR="001168F0" w:rsidRPr="0040379B">
        <w:rPr>
          <w:sz w:val="22"/>
          <w:szCs w:val="22"/>
          <w:lang w:val="en-GB"/>
        </w:rPr>
        <w:t xml:space="preserve"> </w:t>
      </w:r>
      <w:proofErr w:type="gramStart"/>
      <w:r w:rsidR="003E03DC" w:rsidRPr="0040379B">
        <w:rPr>
          <w:sz w:val="22"/>
          <w:szCs w:val="22"/>
          <w:lang w:val="en-GB"/>
        </w:rPr>
        <w:t xml:space="preserve">Then </w:t>
      </w:r>
      <w:r w:rsidR="00E07BD0" w:rsidRPr="0040379B">
        <w:rPr>
          <w:sz w:val="22"/>
          <w:szCs w:val="22"/>
          <w:lang w:val="en-GB"/>
        </w:rPr>
        <w:t>,</w:t>
      </w:r>
      <w:proofErr w:type="gramEnd"/>
      <w:r w:rsidR="00E07BD0" w:rsidRPr="0040379B">
        <w:rPr>
          <w:sz w:val="22"/>
          <w:szCs w:val="22"/>
          <w:lang w:val="en-GB"/>
        </w:rPr>
        <w:t xml:space="preserve"> in section 3 it is discussed the present fuel </w:t>
      </w:r>
      <w:r w:rsidR="00F47FE8" w:rsidRPr="0040379B">
        <w:rPr>
          <w:sz w:val="22"/>
          <w:szCs w:val="22"/>
          <w:lang w:val="en-GB"/>
        </w:rPr>
        <w:t>landscape</w:t>
      </w:r>
      <w:r w:rsidR="00E07BD0" w:rsidRPr="0040379B">
        <w:rPr>
          <w:sz w:val="22"/>
          <w:szCs w:val="22"/>
          <w:lang w:val="en-GB"/>
        </w:rPr>
        <w:t xml:space="preserve"> in the shipping sector</w:t>
      </w:r>
      <w:r w:rsidR="00F47FE8" w:rsidRPr="0040379B">
        <w:rPr>
          <w:sz w:val="22"/>
          <w:szCs w:val="22"/>
          <w:lang w:val="en-GB"/>
        </w:rPr>
        <w:t>, encompassing l</w:t>
      </w:r>
      <w:r w:rsidR="003C0D25" w:rsidRPr="0040379B">
        <w:rPr>
          <w:sz w:val="22"/>
          <w:szCs w:val="22"/>
          <w:lang w:val="en-GB"/>
        </w:rPr>
        <w:t>iquid fossil fuels and alternative fuels</w:t>
      </w:r>
      <w:r w:rsidR="00743D61" w:rsidRPr="0040379B">
        <w:rPr>
          <w:sz w:val="22"/>
          <w:szCs w:val="22"/>
          <w:lang w:val="en-GB"/>
        </w:rPr>
        <w:t xml:space="preserve">. </w:t>
      </w:r>
      <w:r w:rsidR="00F47FE8" w:rsidRPr="0040379B">
        <w:rPr>
          <w:sz w:val="22"/>
          <w:szCs w:val="22"/>
          <w:lang w:val="en-GB"/>
        </w:rPr>
        <w:t xml:space="preserve">This section </w:t>
      </w:r>
      <w:proofErr w:type="gramStart"/>
      <w:r w:rsidR="00F47FE8" w:rsidRPr="0040379B">
        <w:rPr>
          <w:sz w:val="22"/>
          <w:szCs w:val="22"/>
          <w:lang w:val="en-GB"/>
        </w:rPr>
        <w:t>disc</w:t>
      </w:r>
      <w:r w:rsidR="004306D6">
        <w:rPr>
          <w:sz w:val="22"/>
          <w:szCs w:val="22"/>
          <w:lang w:val="en-GB"/>
        </w:rPr>
        <w:t xml:space="preserve">usses </w:t>
      </w:r>
      <w:r w:rsidR="00F47FE8" w:rsidRPr="0040379B">
        <w:rPr>
          <w:sz w:val="22"/>
          <w:szCs w:val="22"/>
          <w:lang w:val="en-GB"/>
        </w:rPr>
        <w:t xml:space="preserve"> fuels</w:t>
      </w:r>
      <w:proofErr w:type="gramEnd"/>
      <w:r w:rsidR="00F47FE8" w:rsidRPr="0040379B">
        <w:rPr>
          <w:sz w:val="22"/>
          <w:szCs w:val="22"/>
          <w:lang w:val="en-GB"/>
        </w:rPr>
        <w:t>’ specifications, compatibility and emissions</w:t>
      </w:r>
      <w:r w:rsidR="004306D6">
        <w:rPr>
          <w:sz w:val="22"/>
          <w:szCs w:val="22"/>
          <w:lang w:val="en-GB"/>
        </w:rPr>
        <w:t xml:space="preserve"> of current and future fuels</w:t>
      </w:r>
      <w:r w:rsidR="00115841" w:rsidRPr="0040379B">
        <w:rPr>
          <w:sz w:val="22"/>
          <w:szCs w:val="22"/>
          <w:lang w:val="en-GB"/>
        </w:rPr>
        <w:t xml:space="preserve">.  </w:t>
      </w:r>
      <w:r w:rsidR="00EB2619" w:rsidRPr="0040379B">
        <w:rPr>
          <w:sz w:val="22"/>
          <w:szCs w:val="22"/>
          <w:lang w:val="en-GB"/>
        </w:rPr>
        <w:t xml:space="preserve">Section 4 presents an overview of the future market based on scenarios developed by the </w:t>
      </w:r>
      <w:proofErr w:type="gramStart"/>
      <w:r w:rsidR="00EB2619" w:rsidRPr="0040379B">
        <w:rPr>
          <w:sz w:val="22"/>
          <w:szCs w:val="22"/>
          <w:lang w:val="en-GB"/>
        </w:rPr>
        <w:t xml:space="preserve">EU, </w:t>
      </w:r>
      <w:r w:rsidR="0043799B" w:rsidRPr="0040379B">
        <w:rPr>
          <w:sz w:val="22"/>
          <w:szCs w:val="22"/>
          <w:lang w:val="en-GB"/>
        </w:rPr>
        <w:t xml:space="preserve"> </w:t>
      </w:r>
      <w:r w:rsidR="00F47FE8" w:rsidRPr="0040379B">
        <w:rPr>
          <w:sz w:val="22"/>
          <w:szCs w:val="22"/>
          <w:lang w:val="en-GB"/>
        </w:rPr>
        <w:t>elaborating</w:t>
      </w:r>
      <w:proofErr w:type="gramEnd"/>
      <w:r w:rsidR="00F47FE8" w:rsidRPr="0040379B">
        <w:rPr>
          <w:sz w:val="22"/>
          <w:szCs w:val="22"/>
          <w:lang w:val="en-GB"/>
        </w:rPr>
        <w:t xml:space="preserve"> on</w:t>
      </w:r>
      <w:r w:rsidR="0043799B" w:rsidRPr="0040379B">
        <w:rPr>
          <w:sz w:val="22"/>
          <w:szCs w:val="22"/>
          <w:lang w:val="en-GB"/>
        </w:rPr>
        <w:t xml:space="preserve"> pricing and possible future compet</w:t>
      </w:r>
      <w:r w:rsidR="00F47FE8" w:rsidRPr="0040379B">
        <w:rPr>
          <w:sz w:val="22"/>
          <w:szCs w:val="22"/>
          <w:lang w:val="en-GB"/>
        </w:rPr>
        <w:t>ition</w:t>
      </w:r>
      <w:r w:rsidR="0043799B" w:rsidRPr="0040379B">
        <w:rPr>
          <w:sz w:val="22"/>
          <w:szCs w:val="22"/>
          <w:lang w:val="en-GB"/>
        </w:rPr>
        <w:t xml:space="preserve">. </w:t>
      </w:r>
      <w:r w:rsidR="00FA4F70" w:rsidRPr="0040379B">
        <w:rPr>
          <w:sz w:val="22"/>
          <w:szCs w:val="22"/>
          <w:lang w:val="en-GB"/>
        </w:rPr>
        <w:t xml:space="preserve">Key stakeholders that can </w:t>
      </w:r>
      <w:r w:rsidR="00F47FE8" w:rsidRPr="0040379B">
        <w:rPr>
          <w:sz w:val="22"/>
          <w:szCs w:val="22"/>
          <w:lang w:val="en-GB"/>
        </w:rPr>
        <w:t>influence the</w:t>
      </w:r>
      <w:r w:rsidR="00FA4F70" w:rsidRPr="0040379B">
        <w:rPr>
          <w:sz w:val="22"/>
          <w:szCs w:val="22"/>
          <w:lang w:val="en-GB"/>
        </w:rPr>
        <w:t xml:space="preserve"> market</w:t>
      </w:r>
      <w:r w:rsidR="004306D6">
        <w:rPr>
          <w:sz w:val="22"/>
          <w:szCs w:val="22"/>
          <w:lang w:val="en-GB"/>
        </w:rPr>
        <w:t xml:space="preserve"> uptake</w:t>
      </w:r>
      <w:r w:rsidR="00FA4F70" w:rsidRPr="0040379B">
        <w:rPr>
          <w:sz w:val="22"/>
          <w:szCs w:val="22"/>
          <w:lang w:val="en-GB"/>
        </w:rPr>
        <w:t xml:space="preserve"> </w:t>
      </w:r>
      <w:r w:rsidR="00F47FE8" w:rsidRPr="0040379B">
        <w:rPr>
          <w:sz w:val="22"/>
          <w:szCs w:val="22"/>
          <w:lang w:val="en-GB"/>
        </w:rPr>
        <w:t xml:space="preserve">are </w:t>
      </w:r>
      <w:r w:rsidR="004306D6">
        <w:rPr>
          <w:sz w:val="22"/>
          <w:szCs w:val="22"/>
          <w:lang w:val="en-GB"/>
        </w:rPr>
        <w:t xml:space="preserve">also </w:t>
      </w:r>
      <w:r w:rsidR="00F47FE8" w:rsidRPr="0040379B">
        <w:rPr>
          <w:sz w:val="22"/>
          <w:szCs w:val="22"/>
          <w:lang w:val="en-GB"/>
        </w:rPr>
        <w:t>discussed</w:t>
      </w:r>
      <w:r w:rsidR="00FA4F70" w:rsidRPr="0040379B">
        <w:rPr>
          <w:sz w:val="22"/>
          <w:szCs w:val="22"/>
          <w:lang w:val="en-GB"/>
        </w:rPr>
        <w:t>. Finally</w:t>
      </w:r>
      <w:r w:rsidR="00156753" w:rsidRPr="0040379B">
        <w:rPr>
          <w:sz w:val="22"/>
          <w:szCs w:val="22"/>
          <w:lang w:val="en-GB"/>
        </w:rPr>
        <w:t>, conclusions and recommendations are provided based on the findings.</w:t>
      </w:r>
    </w:p>
    <w:p w14:paraId="0E88258D" w14:textId="4CD860E5" w:rsidR="00DC3405" w:rsidRDefault="00DC3405">
      <w:pPr>
        <w:spacing w:after="160" w:line="259" w:lineRule="auto"/>
        <w:jc w:val="left"/>
        <w:rPr>
          <w:sz w:val="22"/>
          <w:szCs w:val="22"/>
          <w:lang w:val="en-GB"/>
        </w:rPr>
      </w:pPr>
      <w:r>
        <w:rPr>
          <w:sz w:val="22"/>
          <w:szCs w:val="22"/>
          <w:lang w:val="en-GB"/>
        </w:rPr>
        <w:br w:type="page"/>
      </w:r>
    </w:p>
    <w:p w14:paraId="45BFECAB" w14:textId="24C60580" w:rsidR="00017D36" w:rsidRDefault="00F82CDE" w:rsidP="00DC3405">
      <w:pPr>
        <w:pStyle w:val="Heading1"/>
      </w:pPr>
      <w:bookmarkStart w:id="10" w:name="_Toc85627857"/>
      <w:r>
        <w:lastRenderedPageBreak/>
        <w:t xml:space="preserve">Socio-economical </w:t>
      </w:r>
      <w:r w:rsidR="007A5E42">
        <w:t>Context</w:t>
      </w:r>
      <w:bookmarkEnd w:id="10"/>
    </w:p>
    <w:p w14:paraId="34D6FE55" w14:textId="5C3737C3" w:rsidR="362A3EC5" w:rsidRDefault="362A3EC5" w:rsidP="362A3EC5">
      <w:pPr>
        <w:rPr>
          <w:szCs w:val="21"/>
        </w:rPr>
      </w:pPr>
    </w:p>
    <w:p w14:paraId="09585308" w14:textId="42B07A25" w:rsidR="000E166E" w:rsidRDefault="5FAF9DEA" w:rsidP="00095524">
      <w:pPr>
        <w:spacing w:after="120" w:line="360" w:lineRule="auto"/>
        <w:ind w:firstLine="444"/>
      </w:pPr>
      <w:r w:rsidRPr="5937A937">
        <w:rPr>
          <w:rFonts w:cs="Calibri"/>
          <w:color w:val="auto"/>
          <w:sz w:val="22"/>
          <w:szCs w:val="22"/>
          <w:lang w:val="en-GB"/>
        </w:rPr>
        <w:t xml:space="preserve">In this section, </w:t>
      </w:r>
      <w:r w:rsidR="43F9B2F4" w:rsidRPr="5937A937">
        <w:rPr>
          <w:rFonts w:cs="Calibri"/>
          <w:color w:val="auto"/>
          <w:sz w:val="22"/>
          <w:szCs w:val="22"/>
          <w:lang w:val="en-GB"/>
        </w:rPr>
        <w:t>the regulatory framework w</w:t>
      </w:r>
      <w:r w:rsidR="487CAFCD" w:rsidRPr="5937A937">
        <w:rPr>
          <w:rFonts w:cs="Calibri"/>
          <w:color w:val="auto"/>
          <w:sz w:val="22"/>
          <w:szCs w:val="22"/>
          <w:lang w:val="en-GB"/>
        </w:rPr>
        <w:t>ith regard t</w:t>
      </w:r>
      <w:r w:rsidR="3AFFCEE9" w:rsidRPr="5937A937">
        <w:rPr>
          <w:rFonts w:cs="Calibri"/>
          <w:color w:val="auto"/>
          <w:sz w:val="22"/>
          <w:szCs w:val="22"/>
          <w:lang w:val="en-GB"/>
        </w:rPr>
        <w:t xml:space="preserve">o </w:t>
      </w:r>
      <w:r w:rsidR="00136F65">
        <w:rPr>
          <w:rFonts w:cs="Calibri"/>
          <w:color w:val="auto"/>
          <w:sz w:val="22"/>
          <w:szCs w:val="22"/>
          <w:lang w:val="en-GB"/>
        </w:rPr>
        <w:t xml:space="preserve">the </w:t>
      </w:r>
      <w:r w:rsidR="00E83B32">
        <w:rPr>
          <w:rFonts w:cs="Calibri"/>
          <w:color w:val="auto"/>
          <w:sz w:val="22"/>
          <w:szCs w:val="22"/>
          <w:lang w:val="en-GB"/>
        </w:rPr>
        <w:t>European Economic Area (</w:t>
      </w:r>
      <w:proofErr w:type="gramStart"/>
      <w:r w:rsidR="43F9B2F4" w:rsidRPr="5937A937">
        <w:rPr>
          <w:rFonts w:cs="Calibri"/>
          <w:color w:val="auto"/>
          <w:sz w:val="22"/>
          <w:szCs w:val="22"/>
          <w:lang w:val="en-GB"/>
        </w:rPr>
        <w:t>E</w:t>
      </w:r>
      <w:r w:rsidR="00A3142F">
        <w:rPr>
          <w:rFonts w:cs="Calibri"/>
          <w:color w:val="auto"/>
          <w:sz w:val="22"/>
          <w:szCs w:val="22"/>
          <w:lang w:val="en-GB"/>
        </w:rPr>
        <w:t>EA</w:t>
      </w:r>
      <w:r w:rsidR="00E83B32">
        <w:rPr>
          <w:rFonts w:cs="Calibri"/>
          <w:color w:val="auto"/>
          <w:sz w:val="22"/>
          <w:szCs w:val="22"/>
          <w:lang w:val="en-GB"/>
        </w:rPr>
        <w:t>)</w:t>
      </w:r>
      <w:r w:rsidR="43F9B2F4" w:rsidRPr="5937A937">
        <w:rPr>
          <w:rFonts w:cs="Calibri"/>
          <w:color w:val="auto"/>
          <w:sz w:val="22"/>
          <w:szCs w:val="22"/>
          <w:lang w:val="en-GB"/>
        </w:rPr>
        <w:t xml:space="preserve">  </w:t>
      </w:r>
      <w:r w:rsidR="003870A1">
        <w:rPr>
          <w:rFonts w:cs="Calibri"/>
          <w:color w:val="auto"/>
          <w:sz w:val="22"/>
          <w:szCs w:val="22"/>
          <w:lang w:val="en-GB"/>
        </w:rPr>
        <w:t>is</w:t>
      </w:r>
      <w:proofErr w:type="gramEnd"/>
      <w:r w:rsidR="43F9B2F4" w:rsidRPr="5937A937">
        <w:rPr>
          <w:rFonts w:cs="Calibri"/>
          <w:color w:val="auto"/>
          <w:sz w:val="22"/>
          <w:szCs w:val="22"/>
          <w:lang w:val="en-GB"/>
        </w:rPr>
        <w:t xml:space="preserve"> discussed. Legislative mandates are considered one of the most important</w:t>
      </w:r>
      <w:r w:rsidR="008A2200">
        <w:rPr>
          <w:rFonts w:cs="Calibri"/>
          <w:color w:val="auto"/>
          <w:sz w:val="22"/>
          <w:szCs w:val="22"/>
          <w:lang w:val="en-GB"/>
        </w:rPr>
        <w:t xml:space="preserve"> market</w:t>
      </w:r>
      <w:r w:rsidR="43F9B2F4" w:rsidRPr="5937A937">
        <w:rPr>
          <w:rFonts w:cs="Calibri"/>
          <w:color w:val="auto"/>
          <w:sz w:val="22"/>
          <w:szCs w:val="22"/>
          <w:lang w:val="en-GB"/>
        </w:rPr>
        <w:t xml:space="preserve"> d</w:t>
      </w:r>
      <w:r w:rsidR="009B6923">
        <w:rPr>
          <w:rFonts w:cs="Calibri"/>
          <w:color w:val="auto"/>
          <w:sz w:val="22"/>
          <w:szCs w:val="22"/>
          <w:lang w:val="en-GB"/>
        </w:rPr>
        <w:t>r</w:t>
      </w:r>
      <w:r w:rsidR="43F9B2F4" w:rsidRPr="5937A937">
        <w:rPr>
          <w:rFonts w:cs="Calibri"/>
          <w:color w:val="auto"/>
          <w:sz w:val="22"/>
          <w:szCs w:val="22"/>
          <w:lang w:val="en-GB"/>
        </w:rPr>
        <w:t>ivers for advanced biofuels</w:t>
      </w:r>
      <w:r w:rsidR="74400F8F" w:rsidRPr="5937A937">
        <w:rPr>
          <w:rFonts w:cs="Calibri"/>
          <w:color w:val="auto"/>
          <w:sz w:val="22"/>
          <w:szCs w:val="22"/>
          <w:lang w:val="en-GB"/>
        </w:rPr>
        <w:t xml:space="preserve">, since they </w:t>
      </w:r>
      <w:r w:rsidR="00F846E7">
        <w:rPr>
          <w:rFonts w:cs="Calibri"/>
          <w:color w:val="auto"/>
          <w:sz w:val="22"/>
          <w:szCs w:val="22"/>
          <w:lang w:val="en-GB"/>
        </w:rPr>
        <w:t>might</w:t>
      </w:r>
      <w:r w:rsidR="74400F8F" w:rsidRPr="5937A937">
        <w:rPr>
          <w:rFonts w:cs="Calibri"/>
          <w:color w:val="auto"/>
          <w:sz w:val="22"/>
          <w:szCs w:val="22"/>
          <w:lang w:val="en-GB"/>
        </w:rPr>
        <w:t xml:space="preserve"> shift future market trends</w:t>
      </w:r>
      <w:r w:rsidR="646DA352" w:rsidRPr="5937A937">
        <w:rPr>
          <w:rFonts w:cs="Calibri"/>
          <w:color w:val="auto"/>
          <w:sz w:val="22"/>
          <w:szCs w:val="22"/>
          <w:lang w:val="en-GB"/>
        </w:rPr>
        <w:t>, securing</w:t>
      </w:r>
      <w:r w:rsidR="00CE0DB6">
        <w:rPr>
          <w:rFonts w:cs="Calibri"/>
          <w:color w:val="auto"/>
          <w:sz w:val="22"/>
          <w:szCs w:val="22"/>
          <w:lang w:val="en-GB"/>
        </w:rPr>
        <w:t xml:space="preserve"> or limit</w:t>
      </w:r>
      <w:r w:rsidR="00164F88">
        <w:rPr>
          <w:rFonts w:cs="Calibri"/>
          <w:color w:val="auto"/>
          <w:sz w:val="22"/>
          <w:szCs w:val="22"/>
          <w:lang w:val="en-GB"/>
        </w:rPr>
        <w:t>ing</w:t>
      </w:r>
      <w:r w:rsidR="646DA352" w:rsidRPr="5937A937">
        <w:rPr>
          <w:rFonts w:cs="Calibri"/>
          <w:color w:val="auto"/>
          <w:sz w:val="22"/>
          <w:szCs w:val="22"/>
          <w:lang w:val="en-GB"/>
        </w:rPr>
        <w:t xml:space="preserve"> biofuels</w:t>
      </w:r>
      <w:r w:rsidR="2C6039E0" w:rsidRPr="5937A937">
        <w:rPr>
          <w:rFonts w:cs="Calibri"/>
          <w:color w:val="auto"/>
          <w:sz w:val="22"/>
          <w:szCs w:val="22"/>
          <w:lang w:val="en-GB"/>
        </w:rPr>
        <w:t>’</w:t>
      </w:r>
      <w:r w:rsidR="646DA352" w:rsidRPr="5937A937">
        <w:rPr>
          <w:rFonts w:cs="Calibri"/>
          <w:color w:val="auto"/>
          <w:sz w:val="22"/>
          <w:szCs w:val="22"/>
          <w:lang w:val="en-GB"/>
        </w:rPr>
        <w:t xml:space="preserve"> </w:t>
      </w:r>
      <w:r w:rsidR="009B6923" w:rsidRPr="5937A937">
        <w:rPr>
          <w:rFonts w:cs="Calibri"/>
          <w:color w:val="auto"/>
          <w:sz w:val="22"/>
          <w:szCs w:val="22"/>
          <w:lang w:val="en-GB"/>
        </w:rPr>
        <w:t>share</w:t>
      </w:r>
      <w:r w:rsidR="00B7687D">
        <w:rPr>
          <w:rFonts w:cs="Calibri"/>
          <w:color w:val="auto"/>
          <w:sz w:val="22"/>
          <w:szCs w:val="22"/>
          <w:lang w:val="en-GB"/>
        </w:rPr>
        <w:t xml:space="preserve">. </w:t>
      </w:r>
      <w:r w:rsidR="000E166E">
        <w:rPr>
          <w:rFonts w:cs="Calibri"/>
          <w:color w:val="auto"/>
          <w:sz w:val="22"/>
          <w:szCs w:val="22"/>
          <w:lang w:val="en-GB"/>
        </w:rPr>
        <w:t>However, as it is presented below</w:t>
      </w:r>
      <w:r w:rsidR="003E7AAC">
        <w:rPr>
          <w:rFonts w:cs="Calibri"/>
          <w:color w:val="auto"/>
          <w:sz w:val="22"/>
          <w:szCs w:val="22"/>
          <w:lang w:val="en-GB"/>
        </w:rPr>
        <w:t>,</w:t>
      </w:r>
      <w:r w:rsidR="000E166E">
        <w:rPr>
          <w:rFonts w:cs="Calibri"/>
          <w:color w:val="auto"/>
          <w:sz w:val="22"/>
          <w:szCs w:val="22"/>
          <w:lang w:val="en-GB"/>
        </w:rPr>
        <w:t xml:space="preserve"> </w:t>
      </w:r>
      <w:r w:rsidR="002A0A07">
        <w:rPr>
          <w:rFonts w:cs="Calibri"/>
          <w:color w:val="auto"/>
          <w:sz w:val="22"/>
          <w:szCs w:val="22"/>
          <w:lang w:val="en-GB"/>
        </w:rPr>
        <w:t>the effect of the</w:t>
      </w:r>
      <w:r w:rsidR="000E166E">
        <w:rPr>
          <w:rFonts w:cs="Calibri"/>
          <w:color w:val="auto"/>
          <w:sz w:val="22"/>
          <w:szCs w:val="22"/>
          <w:lang w:val="en-GB"/>
        </w:rPr>
        <w:t xml:space="preserve"> legislatives mandates </w:t>
      </w:r>
      <w:r w:rsidR="002A0A07">
        <w:rPr>
          <w:rFonts w:cs="Calibri"/>
          <w:color w:val="auto"/>
          <w:sz w:val="22"/>
          <w:szCs w:val="22"/>
          <w:lang w:val="en-GB"/>
        </w:rPr>
        <w:t>on</w:t>
      </w:r>
      <w:r w:rsidR="000E166E">
        <w:rPr>
          <w:rFonts w:cs="Calibri"/>
          <w:color w:val="auto"/>
          <w:sz w:val="22"/>
          <w:szCs w:val="22"/>
          <w:lang w:val="en-GB"/>
        </w:rPr>
        <w:t xml:space="preserve"> </w:t>
      </w:r>
      <w:r w:rsidR="00095524">
        <w:rPr>
          <w:rFonts w:cs="Calibri"/>
          <w:color w:val="auto"/>
          <w:sz w:val="22"/>
          <w:szCs w:val="22"/>
          <w:lang w:val="en-GB"/>
        </w:rPr>
        <w:t xml:space="preserve">the maritime sector </w:t>
      </w:r>
      <w:proofErr w:type="gramStart"/>
      <w:r w:rsidR="00095524">
        <w:rPr>
          <w:rFonts w:cs="Calibri"/>
          <w:color w:val="auto"/>
          <w:sz w:val="22"/>
          <w:szCs w:val="22"/>
          <w:lang w:val="en-GB"/>
        </w:rPr>
        <w:t xml:space="preserve">is </w:t>
      </w:r>
      <w:r w:rsidR="000E166E">
        <w:rPr>
          <w:rFonts w:cs="Calibri"/>
          <w:color w:val="auto"/>
          <w:sz w:val="22"/>
          <w:szCs w:val="22"/>
          <w:lang w:val="en-GB"/>
        </w:rPr>
        <w:t xml:space="preserve"> still</w:t>
      </w:r>
      <w:proofErr w:type="gramEnd"/>
      <w:r w:rsidR="000E166E">
        <w:rPr>
          <w:rFonts w:cs="Calibri"/>
          <w:color w:val="auto"/>
          <w:sz w:val="22"/>
          <w:szCs w:val="22"/>
          <w:lang w:val="en-GB"/>
        </w:rPr>
        <w:t xml:space="preserve"> in discussion. For the moment</w:t>
      </w:r>
      <w:r w:rsidR="002A0A07">
        <w:rPr>
          <w:rFonts w:cs="Calibri"/>
          <w:color w:val="auto"/>
          <w:sz w:val="22"/>
          <w:szCs w:val="22"/>
          <w:lang w:val="en-GB"/>
        </w:rPr>
        <w:t>,</w:t>
      </w:r>
      <w:r w:rsidR="000E166E">
        <w:rPr>
          <w:rFonts w:cs="Calibri"/>
          <w:color w:val="auto"/>
          <w:sz w:val="22"/>
          <w:szCs w:val="22"/>
          <w:lang w:val="en-GB"/>
        </w:rPr>
        <w:t xml:space="preserve"> they can be considered useful guidelines for the future, which </w:t>
      </w:r>
      <w:r w:rsidR="002A0A07">
        <w:rPr>
          <w:rFonts w:cs="Calibri"/>
          <w:color w:val="auto"/>
          <w:sz w:val="22"/>
          <w:szCs w:val="22"/>
          <w:lang w:val="en-GB"/>
        </w:rPr>
        <w:t xml:space="preserve">are </w:t>
      </w:r>
      <w:r w:rsidR="000E166E">
        <w:rPr>
          <w:rFonts w:cs="Calibri"/>
          <w:color w:val="auto"/>
          <w:sz w:val="22"/>
          <w:szCs w:val="22"/>
          <w:lang w:val="en-GB"/>
        </w:rPr>
        <w:t>constantly</w:t>
      </w:r>
      <w:r w:rsidR="002A0A07">
        <w:rPr>
          <w:rFonts w:cs="Calibri"/>
          <w:color w:val="auto"/>
          <w:sz w:val="22"/>
          <w:szCs w:val="22"/>
          <w:lang w:val="en-GB"/>
        </w:rPr>
        <w:t xml:space="preserve"> under revision</w:t>
      </w:r>
      <w:r w:rsidR="000E166E">
        <w:rPr>
          <w:rFonts w:cs="Calibri"/>
          <w:color w:val="auto"/>
          <w:sz w:val="22"/>
          <w:szCs w:val="22"/>
          <w:lang w:val="en-GB"/>
        </w:rPr>
        <w:t>.</w:t>
      </w:r>
      <w:r w:rsidR="000E166E" w:rsidRPr="005E586D">
        <w:t xml:space="preserve"> </w:t>
      </w:r>
    </w:p>
    <w:p w14:paraId="6480EAC5" w14:textId="2706C511" w:rsidR="00033047" w:rsidRPr="00EC3F5A" w:rsidRDefault="002A0A07" w:rsidP="006B4F51">
      <w:pPr>
        <w:spacing w:after="120" w:line="360" w:lineRule="auto"/>
        <w:ind w:firstLine="720"/>
      </w:pPr>
      <w:r>
        <w:rPr>
          <w:rFonts w:cs="Calibri"/>
          <w:color w:val="auto"/>
          <w:sz w:val="22"/>
          <w:szCs w:val="22"/>
          <w:lang w:val="en-GB"/>
        </w:rPr>
        <w:t>On the social side, it</w:t>
      </w:r>
      <w:r w:rsidR="00164F88">
        <w:rPr>
          <w:rFonts w:cs="Calibri"/>
          <w:color w:val="auto"/>
          <w:sz w:val="22"/>
          <w:szCs w:val="22"/>
          <w:lang w:val="en-GB"/>
        </w:rPr>
        <w:t xml:space="preserve"> is considered that advanced bioenergy can stimulate jobs</w:t>
      </w:r>
      <w:r>
        <w:rPr>
          <w:rFonts w:cs="Calibri"/>
          <w:color w:val="auto"/>
          <w:sz w:val="22"/>
          <w:szCs w:val="22"/>
          <w:lang w:val="en-GB"/>
        </w:rPr>
        <w:t xml:space="preserve"> creation</w:t>
      </w:r>
      <w:r w:rsidR="00164F88">
        <w:rPr>
          <w:rFonts w:cs="Calibri"/>
          <w:color w:val="auto"/>
          <w:sz w:val="22"/>
          <w:szCs w:val="22"/>
          <w:lang w:val="en-GB"/>
        </w:rPr>
        <w:t xml:space="preserve">, local development and </w:t>
      </w:r>
      <w:r>
        <w:rPr>
          <w:rFonts w:cs="Calibri"/>
          <w:color w:val="auto"/>
          <w:sz w:val="22"/>
          <w:szCs w:val="22"/>
          <w:lang w:val="en-GB"/>
        </w:rPr>
        <w:t xml:space="preserve">contribute to energy supply </w:t>
      </w:r>
      <w:r w:rsidR="00164F88">
        <w:rPr>
          <w:rFonts w:cs="Calibri"/>
          <w:color w:val="auto"/>
          <w:sz w:val="22"/>
          <w:szCs w:val="22"/>
          <w:lang w:val="en-GB"/>
        </w:rPr>
        <w:t xml:space="preserve">security. </w:t>
      </w:r>
      <w:r w:rsidR="00546171">
        <w:rPr>
          <w:rFonts w:cs="Calibri"/>
          <w:color w:val="auto"/>
          <w:sz w:val="22"/>
          <w:szCs w:val="22"/>
          <w:lang w:val="en-GB"/>
        </w:rPr>
        <w:t xml:space="preserve">Feedstock </w:t>
      </w:r>
      <w:proofErr w:type="gramStart"/>
      <w:r w:rsidR="00546171">
        <w:rPr>
          <w:rFonts w:cs="Calibri"/>
          <w:color w:val="auto"/>
          <w:sz w:val="22"/>
          <w:szCs w:val="22"/>
          <w:lang w:val="en-GB"/>
        </w:rPr>
        <w:t>d</w:t>
      </w:r>
      <w:r w:rsidR="00164F88">
        <w:rPr>
          <w:rFonts w:cs="Calibri"/>
          <w:color w:val="auto"/>
          <w:sz w:val="22"/>
          <w:szCs w:val="22"/>
          <w:lang w:val="en-GB"/>
        </w:rPr>
        <w:t xml:space="preserve">iversification  </w:t>
      </w:r>
      <w:r w:rsidR="006B4F51">
        <w:rPr>
          <w:rFonts w:cs="Calibri"/>
          <w:color w:val="auto"/>
          <w:sz w:val="22"/>
          <w:szCs w:val="22"/>
          <w:lang w:val="en-GB"/>
        </w:rPr>
        <w:t>can</w:t>
      </w:r>
      <w:proofErr w:type="gramEnd"/>
      <w:r w:rsidR="006B4F51">
        <w:rPr>
          <w:rFonts w:cs="Calibri"/>
          <w:color w:val="auto"/>
          <w:sz w:val="22"/>
          <w:szCs w:val="22"/>
          <w:lang w:val="en-GB"/>
        </w:rPr>
        <w:t xml:space="preserve"> guarantee that fuel demands are met, while triggering industrial competitiveness. Due to these potential impacts public perception together with political regulatory measures strongly influence the development of </w:t>
      </w:r>
      <w:r w:rsidR="000A5C5F">
        <w:rPr>
          <w:rFonts w:cs="Calibri"/>
          <w:color w:val="auto"/>
          <w:sz w:val="22"/>
          <w:szCs w:val="22"/>
          <w:lang w:val="en-GB"/>
        </w:rPr>
        <w:t xml:space="preserve">a </w:t>
      </w:r>
      <w:r w:rsidR="006B4F51">
        <w:rPr>
          <w:rFonts w:cs="Calibri"/>
          <w:color w:val="auto"/>
          <w:sz w:val="22"/>
          <w:szCs w:val="22"/>
          <w:lang w:val="en-GB"/>
        </w:rPr>
        <w:t>bio</w:t>
      </w:r>
      <w:r w:rsidR="000A5C5F">
        <w:rPr>
          <w:rFonts w:cs="Calibri"/>
          <w:color w:val="auto"/>
          <w:sz w:val="22"/>
          <w:szCs w:val="22"/>
          <w:lang w:val="en-GB"/>
        </w:rPr>
        <w:t>-based</w:t>
      </w:r>
      <w:r w:rsidR="006B4F51">
        <w:rPr>
          <w:rFonts w:cs="Calibri"/>
          <w:color w:val="auto"/>
          <w:sz w:val="22"/>
          <w:szCs w:val="22"/>
          <w:lang w:val="en-GB"/>
        </w:rPr>
        <w:t xml:space="preserve"> market</w:t>
      </w:r>
      <w:r w:rsidR="00095524">
        <w:rPr>
          <w:rFonts w:cs="Calibri"/>
          <w:color w:val="auto"/>
          <w:sz w:val="22"/>
          <w:szCs w:val="22"/>
          <w:lang w:val="en-GB"/>
        </w:rPr>
        <w:t xml:space="preserve"> </w:t>
      </w:r>
      <w:r w:rsidR="00095524">
        <w:rPr>
          <w:rFonts w:cs="Calibri"/>
          <w:color w:val="auto"/>
          <w:sz w:val="22"/>
          <w:szCs w:val="22"/>
          <w:lang w:val="en-GB"/>
        </w:rPr>
        <w:fldChar w:fldCharType="begin" w:fldLock="1"/>
      </w:r>
      <w:r w:rsidR="00B0696A">
        <w:rPr>
          <w:rFonts w:cs="Calibri"/>
          <w:color w:val="auto"/>
          <w:sz w:val="22"/>
          <w:szCs w:val="22"/>
          <w:lang w:val="en-GB"/>
        </w:rPr>
        <w:instrText>ADDIN CSL_CITATION {"citationItems":[{"id":"ITEM-1","itemData":{"author":[{"dropping-particle":"","family":"Schröder","given":"Olaf","non-dropping-particle":"","parse-names":false,"suffix":""},{"dropping-particle":"","family":"Krahl","given":"Jürgen","non-dropping-particle":"","parse-names":false,"suffix":""},{"dropping-particle":"","family":"Müller-Langer","given":"Franziska","non-dropping-particle":"","parse-names":false,"suffix":""},{"dropping-particle":"","family":"Schröder","given":"Jörg","non-dropping-particle":"","parse-names":false,"suffix":""},{"dropping-particle":"","family":"Mattheß","given":"Eric","non-dropping-particle":"","parse-names":false,"suffix":""}],"id":"ITEM-1","issue":"October","issued":{"date-parts":[["2018"]]},"title":"Survey on Advanced Fuels for Advanced Engines Project report Funding by IEA Bioenergy Task 39 Norbert Grope","type":"article-journal"},"uris":["http://www.mendeley.com/documents/?uuid=d707d6fa-8780-40fc-8353-2d7ef27026fe"]}],"mendeley":{"formattedCitation":"(Schröder et al., 2018)","plainTextFormattedCitation":"(Schröder et al., 2018)","previouslyFormattedCitation":"(Schröder et al., 2018)"},"properties":{"noteIndex":0},"schema":"https://github.com/citation-style-language/schema/raw/master/csl-citation.json"}</w:instrText>
      </w:r>
      <w:r w:rsidR="00095524">
        <w:rPr>
          <w:rFonts w:cs="Calibri"/>
          <w:color w:val="auto"/>
          <w:sz w:val="22"/>
          <w:szCs w:val="22"/>
          <w:lang w:val="en-GB"/>
        </w:rPr>
        <w:fldChar w:fldCharType="separate"/>
      </w:r>
      <w:r w:rsidR="00095524" w:rsidRPr="00095524">
        <w:rPr>
          <w:rFonts w:cs="Calibri"/>
          <w:noProof/>
          <w:color w:val="auto"/>
          <w:sz w:val="22"/>
          <w:szCs w:val="22"/>
          <w:lang w:val="en-GB"/>
        </w:rPr>
        <w:t>(Schröder et al., 2018)</w:t>
      </w:r>
      <w:r w:rsidR="00095524">
        <w:rPr>
          <w:rFonts w:cs="Calibri"/>
          <w:color w:val="auto"/>
          <w:sz w:val="22"/>
          <w:szCs w:val="22"/>
          <w:lang w:val="en-GB"/>
        </w:rPr>
        <w:fldChar w:fldCharType="end"/>
      </w:r>
      <w:r w:rsidR="006B4F51" w:rsidRPr="00EC3F5A">
        <w:t xml:space="preserve">. </w:t>
      </w:r>
    </w:p>
    <w:p w14:paraId="26935197" w14:textId="295F56B7" w:rsidR="00414443" w:rsidRPr="00C2541A" w:rsidRDefault="006B4F51" w:rsidP="00AA160E">
      <w:pPr>
        <w:spacing w:after="120" w:line="360" w:lineRule="auto"/>
        <w:ind w:firstLine="720"/>
        <w:rPr>
          <w:sz w:val="22"/>
          <w:szCs w:val="22"/>
        </w:rPr>
      </w:pPr>
      <w:r w:rsidRPr="00C2541A">
        <w:rPr>
          <w:sz w:val="22"/>
          <w:szCs w:val="22"/>
        </w:rPr>
        <w:t>In this sense, biofuel market development</w:t>
      </w:r>
      <w:r w:rsidR="000A5C5F" w:rsidRPr="00C2541A">
        <w:rPr>
          <w:sz w:val="22"/>
          <w:szCs w:val="22"/>
        </w:rPr>
        <w:t xml:space="preserve"> is equally dependent </w:t>
      </w:r>
      <w:r w:rsidRPr="00C2541A">
        <w:rPr>
          <w:sz w:val="22"/>
          <w:szCs w:val="22"/>
        </w:rPr>
        <w:t xml:space="preserve">on technology </w:t>
      </w:r>
      <w:proofErr w:type="gramStart"/>
      <w:r w:rsidR="000A5C5F" w:rsidRPr="00C2541A">
        <w:rPr>
          <w:sz w:val="22"/>
          <w:szCs w:val="22"/>
        </w:rPr>
        <w:t xml:space="preserve">and </w:t>
      </w:r>
      <w:r w:rsidRPr="00C2541A">
        <w:rPr>
          <w:sz w:val="22"/>
          <w:szCs w:val="22"/>
        </w:rPr>
        <w:t xml:space="preserve"> </w:t>
      </w:r>
      <w:r w:rsidR="000A5C5F" w:rsidRPr="00C2541A">
        <w:rPr>
          <w:sz w:val="22"/>
          <w:szCs w:val="22"/>
        </w:rPr>
        <w:t>on</w:t>
      </w:r>
      <w:proofErr w:type="gramEnd"/>
      <w:r w:rsidR="000A5C5F" w:rsidRPr="00C2541A">
        <w:rPr>
          <w:sz w:val="22"/>
          <w:szCs w:val="22"/>
        </w:rPr>
        <w:t xml:space="preserve"> </w:t>
      </w:r>
      <w:r w:rsidRPr="00C2541A">
        <w:rPr>
          <w:sz w:val="22"/>
          <w:szCs w:val="22"/>
        </w:rPr>
        <w:t xml:space="preserve">the socio-political and environmental context. </w:t>
      </w:r>
      <w:r w:rsidR="00C0391E" w:rsidRPr="00C2541A">
        <w:rPr>
          <w:sz w:val="22"/>
          <w:szCs w:val="22"/>
        </w:rPr>
        <w:t>Consequently, the limited aliment of traditional biofuels to these aspects is reflected in the observed preference of social-political framework towards advanced biofuels</w:t>
      </w:r>
      <w:r w:rsidR="00AA160E" w:rsidRPr="00C2541A">
        <w:rPr>
          <w:sz w:val="22"/>
          <w:szCs w:val="22"/>
        </w:rPr>
        <w:t xml:space="preserve"> </w:t>
      </w:r>
      <w:r w:rsidR="005E586D" w:rsidRPr="00C2541A">
        <w:rPr>
          <w:sz w:val="22"/>
          <w:szCs w:val="22"/>
        </w:rPr>
        <w:fldChar w:fldCharType="begin" w:fldLock="1"/>
      </w:r>
      <w:r w:rsidR="00095524" w:rsidRPr="00C2541A">
        <w:rPr>
          <w:sz w:val="22"/>
          <w:szCs w:val="22"/>
        </w:rPr>
        <w:instrText>ADDIN CSL_CITATION {"citationItems":[{"id":"ITEM-1","itemData":{"DOI":"10.3390/su10114016","author":[{"dropping-particle":"Di","family":"Lucia","given":"Lorenzo","non-dropping-particle":"","parse-names":false,"suffix":""},{"dropping-particle":"","family":"Ribeiro","given":"Barbara","non-dropping-particle":"","parse-names":false,"suffix":""}],"id":"ITEM-1","issued":{"date-parts":[["2018"]]},"page":"1-15","title":"Enacting Responsibilities in Landscape Design : The Case of Advanced Biofuels","type":"article-journal"},"uris":["http://www.mendeley.com/documents/?uuid=956beb4f-d477-4215-b2cd-fc8c97ffd0c2"]}],"mendeley":{"formattedCitation":"(Lucia &amp; Ribeiro, 2018)","plainTextFormattedCitation":"(Lucia &amp; Ribeiro, 2018)","previouslyFormattedCitation":"(Lucia &amp; Ribeiro, 2018)"},"properties":{"noteIndex":0},"schema":"https://github.com/citation-style-language/schema/raw/master/csl-citation.json"}</w:instrText>
      </w:r>
      <w:r w:rsidR="005E586D" w:rsidRPr="00C2541A">
        <w:rPr>
          <w:sz w:val="22"/>
          <w:szCs w:val="22"/>
        </w:rPr>
        <w:fldChar w:fldCharType="separate"/>
      </w:r>
      <w:r w:rsidR="005E586D" w:rsidRPr="00C2541A">
        <w:rPr>
          <w:noProof/>
          <w:sz w:val="22"/>
          <w:szCs w:val="22"/>
        </w:rPr>
        <w:t>(Lucia &amp; Ribeiro, 2018)</w:t>
      </w:r>
      <w:r w:rsidR="005E586D" w:rsidRPr="00C2541A">
        <w:rPr>
          <w:sz w:val="22"/>
          <w:szCs w:val="22"/>
        </w:rPr>
        <w:fldChar w:fldCharType="end"/>
      </w:r>
      <w:r w:rsidR="005E586D" w:rsidRPr="00C2541A">
        <w:rPr>
          <w:sz w:val="22"/>
          <w:szCs w:val="22"/>
        </w:rPr>
        <w:t xml:space="preserve">. </w:t>
      </w:r>
    </w:p>
    <w:p w14:paraId="7DF99AC4" w14:textId="77777777" w:rsidR="006A72D0" w:rsidRPr="00BA4A18" w:rsidRDefault="006A72D0" w:rsidP="006A72D0">
      <w:pPr>
        <w:spacing w:after="120" w:line="360" w:lineRule="auto"/>
        <w:ind w:firstLine="720"/>
      </w:pPr>
    </w:p>
    <w:p w14:paraId="1CCCB9DF" w14:textId="422E359C" w:rsidR="00017D36" w:rsidRDefault="00034A0A" w:rsidP="005D6854">
      <w:pPr>
        <w:pStyle w:val="Heading2"/>
      </w:pPr>
      <w:bookmarkStart w:id="11" w:name="_Toc85627858"/>
      <w:r>
        <w:t>Regulatory Frameworks</w:t>
      </w:r>
      <w:bookmarkEnd w:id="11"/>
    </w:p>
    <w:p w14:paraId="1192CB49" w14:textId="2592BCFC" w:rsidR="362A3EC5" w:rsidRDefault="362A3EC5" w:rsidP="362A3EC5">
      <w:pPr>
        <w:rPr>
          <w:szCs w:val="21"/>
        </w:rPr>
      </w:pPr>
    </w:p>
    <w:p w14:paraId="6D85BE4C" w14:textId="0FE733E5" w:rsidR="005A7A2C" w:rsidRDefault="5EA34800" w:rsidP="008A2200">
      <w:pPr>
        <w:spacing w:after="120" w:line="360" w:lineRule="auto"/>
        <w:ind w:firstLine="720"/>
        <w:rPr>
          <w:rFonts w:cs="Calibri"/>
          <w:color w:val="auto"/>
          <w:sz w:val="22"/>
          <w:szCs w:val="22"/>
          <w:lang w:val="en-GB"/>
        </w:rPr>
      </w:pPr>
      <w:r w:rsidRPr="5937A937">
        <w:rPr>
          <w:rFonts w:cs="Calibri"/>
          <w:color w:val="auto"/>
          <w:sz w:val="22"/>
          <w:szCs w:val="22"/>
          <w:lang w:val="en-GB"/>
        </w:rPr>
        <w:t xml:space="preserve">Regulatory frameworks play an important role in </w:t>
      </w:r>
      <w:r w:rsidR="234B6F1D" w:rsidRPr="5937A937">
        <w:rPr>
          <w:rFonts w:cs="Calibri"/>
          <w:color w:val="auto"/>
          <w:sz w:val="22"/>
          <w:szCs w:val="22"/>
          <w:lang w:val="en-GB"/>
        </w:rPr>
        <w:t>setting targets</w:t>
      </w:r>
      <w:r w:rsidRPr="5937A937">
        <w:rPr>
          <w:rFonts w:cs="Calibri"/>
          <w:color w:val="auto"/>
          <w:sz w:val="22"/>
          <w:szCs w:val="22"/>
          <w:lang w:val="en-GB"/>
        </w:rPr>
        <w:t xml:space="preserve"> and imposing restrictions. They are key to stablish the criteria that the fuels should meet and have a large influence in the market </w:t>
      </w:r>
      <w:r w:rsidR="005A7A2C" w:rsidRPr="5937A937">
        <w:rPr>
          <w:rFonts w:cs="Calibri"/>
          <w:color w:val="auto"/>
          <w:sz w:val="22"/>
          <w:szCs w:val="22"/>
          <w:lang w:val="en-GB"/>
        </w:rPr>
        <w:fldChar w:fldCharType="begin" w:fldLock="1"/>
      </w:r>
      <w:r w:rsidR="005A7A2C" w:rsidRPr="5937A937">
        <w:rPr>
          <w:rFonts w:cs="Calibri"/>
          <w:color w:val="auto"/>
          <w:sz w:val="22"/>
          <w:szCs w:val="22"/>
          <w:lang w:val="en-GB"/>
        </w:rPr>
        <w:instrText>ADDIN CSL_CITATION {"citationItems":[{"id":"ITEM-1","itemData":{"author":[{"dropping-particle":"","family":"EurObserv'ER","given":"","non-dropping-particle":"","parse-names":false,"suffix":""}],"id":"ITEM-1","issue":"September 2020","issued":{"date-parts":[["2019"]]},"title":"Boifuels Barometer","type":"report","volume":"2019"},"uris":["http://www.mendeley.com/documents/?uuid=081c552c-8dba-4d66-9b4a-841375b232a3"]},{"id":"ITEM-2","itemData":{"DOI":"10.1016/j.esr.2021.100633","ISSN":"2211467X","abstract":"Advanced biofuels are among the available options to decarbonise transport in the short to medium term especially for aviation, marine and heavy-duty vehicles that lack immediate alternatives. Their production and market uptake, however, is still very low due to several challenges arising across their value chain. So far policy has established targets and monitoring frameworks for low carbon fuels and improved engine performance but has not yet been sufficient to facilitate their effective market uptake. Their market roll-out must be immediate if the 2030 targets are to be met. Analysis in this paper reiterates that the future deployment of these fuels, in market shares that can lead to the desired decarbonisation levels, still depends largely on the integration of tailored policy interventions that can overcome challenges and improve upstream and downstream performance. The work presented aims to i) inform on policy relevant challenges that restrict the flexible, reliable and cost-efficient market uptake of sustainable advanced biofuels for transport, and ii) highlight policy interventions that, have strong potential to overcome the challenges and are relevant to current policy, Green Deal and the Sustainable Development Goals (SDGs).","author":[{"dropping-particle":"","family":"Panoutsou","given":"Calliope","non-dropping-particle":"","parse-names":false,"suffix":""},{"dropping-particle":"","family":"Germer","given":"Sonja","non-dropping-particle":"","parse-names":false,"suffix":""},{"dropping-particle":"","family":"Karka","given":"Paraskevi","non-dropping-particle":"","parse-names":false,"suffix":""},{"dropping-particle":"","family":"Papadokostantakis","given":"Stavros","non-dropping-particle":"","parse-names":false,"suffix":""},{"dropping-particle":"","family":"Kroyan","given":"Yuri","non-dropping-particle":"","parse-names":false,"suffix":""},{"dropping-particle":"","family":"Wojcieszyk","given":"Michal","non-dropping-particle":"","parse-names":false,"suffix":""},{"dropping-particle":"","family":"Maniatis","given":"Kyriakos","non-dropping-particle":"","parse-names":false,"suffix":""},{"dropping-particle":"","family":"Marchand","given":"Philippe","non-dropping-particle":"","parse-names":false,"suffix":""},{"dropping-particle":"","family":"Landalv","given":"Ingvar","non-dropping-particle":"","parse-names":false,"suffix":""}],"container-title":"Energy Strategy Reviews","id":"ITEM-2","issue":"March","issued":{"date-parts":[["2021"]]},"page":"100633","publisher":"Elsevier Ltd","title":"Advanced biofuels to decarbonise European transport by 2030: Markets, challenges, and policies that impact their successful market uptake","type":"article-journal","volume":"34"},"uris":["http://www.mendeley.com/documents/?uuid=e0b8486c-e671-49c6-b25c-f2ad745dcfe0"]}],"mendeley":{"formattedCitation":"(EurObserv’ER, 2019; Panoutsou et al., 2021)","plainTextFormattedCitation":"(EurObserv’ER, 2019; Panoutsou et al., 2021)","previouslyFormattedCitation":"(EurObserv’ER, 2019; Panoutsou et al., 2021)"},"properties":{"noteIndex":0},"schema":"https://github.com/citation-style-language/schema/raw/master/csl-citation.json"}</w:instrText>
      </w:r>
      <w:r w:rsidR="005A7A2C" w:rsidRPr="5937A937">
        <w:rPr>
          <w:rFonts w:cs="Calibri"/>
          <w:color w:val="auto"/>
          <w:sz w:val="22"/>
          <w:szCs w:val="22"/>
          <w:lang w:val="en-GB"/>
        </w:rPr>
        <w:fldChar w:fldCharType="separate"/>
      </w:r>
      <w:r w:rsidRPr="5937A937">
        <w:rPr>
          <w:rFonts w:cs="Calibri"/>
          <w:noProof/>
          <w:color w:val="auto"/>
          <w:sz w:val="22"/>
          <w:szCs w:val="22"/>
          <w:lang w:val="en-GB"/>
        </w:rPr>
        <w:t>(EurObserv’ER, 2019; Panoutsou et al., 2021)</w:t>
      </w:r>
      <w:r w:rsidR="005A7A2C" w:rsidRPr="5937A937">
        <w:rPr>
          <w:rFonts w:cs="Calibri"/>
          <w:color w:val="auto"/>
          <w:sz w:val="22"/>
          <w:szCs w:val="22"/>
          <w:lang w:val="en-GB"/>
        </w:rPr>
        <w:fldChar w:fldCharType="end"/>
      </w:r>
      <w:r w:rsidRPr="5937A937">
        <w:rPr>
          <w:rFonts w:cs="Calibri"/>
          <w:color w:val="auto"/>
          <w:sz w:val="22"/>
          <w:szCs w:val="22"/>
          <w:lang w:val="en-GB"/>
        </w:rPr>
        <w:t xml:space="preserve">. </w:t>
      </w:r>
      <w:r w:rsidR="7128EE21" w:rsidRPr="5937A937">
        <w:rPr>
          <w:rFonts w:cs="Calibri"/>
          <w:color w:val="auto"/>
          <w:sz w:val="22"/>
          <w:szCs w:val="22"/>
          <w:lang w:val="en-GB"/>
        </w:rPr>
        <w:t>Although a</w:t>
      </w:r>
      <w:r w:rsidRPr="5937A937">
        <w:rPr>
          <w:rFonts w:cs="Calibri"/>
          <w:color w:val="auto"/>
          <w:sz w:val="22"/>
          <w:szCs w:val="22"/>
          <w:lang w:val="en-GB"/>
        </w:rPr>
        <w:t xml:space="preserve">dvanced biofuels have a large potential to </w:t>
      </w:r>
      <w:r w:rsidR="1C8B5E9C" w:rsidRPr="5937A937">
        <w:rPr>
          <w:rFonts w:cs="Calibri"/>
          <w:color w:val="auto"/>
          <w:sz w:val="22"/>
          <w:szCs w:val="22"/>
          <w:lang w:val="en-GB"/>
        </w:rPr>
        <w:t>mitigate</w:t>
      </w:r>
      <w:r w:rsidR="009404A9">
        <w:rPr>
          <w:rFonts w:cs="Calibri"/>
          <w:color w:val="auto"/>
          <w:sz w:val="22"/>
          <w:szCs w:val="22"/>
          <w:lang w:val="en-GB"/>
        </w:rPr>
        <w:t xml:space="preserve"> CO</w:t>
      </w:r>
      <w:r w:rsidR="009404A9">
        <w:rPr>
          <w:rFonts w:cs="Calibri"/>
          <w:color w:val="auto"/>
          <w:sz w:val="22"/>
          <w:szCs w:val="22"/>
          <w:vertAlign w:val="subscript"/>
          <w:lang w:val="en-GB"/>
        </w:rPr>
        <w:t>2</w:t>
      </w:r>
      <w:r w:rsidRPr="5937A937">
        <w:rPr>
          <w:rFonts w:cs="Calibri"/>
          <w:color w:val="auto"/>
          <w:sz w:val="22"/>
          <w:szCs w:val="22"/>
          <w:lang w:val="en-GB"/>
        </w:rPr>
        <w:t xml:space="preserve"> emissions, their production </w:t>
      </w:r>
      <w:r w:rsidR="009404A9">
        <w:rPr>
          <w:rFonts w:cs="Calibri"/>
          <w:color w:val="auto"/>
          <w:sz w:val="22"/>
          <w:szCs w:val="22"/>
          <w:lang w:val="en-GB"/>
        </w:rPr>
        <w:t>is</w:t>
      </w:r>
      <w:r w:rsidR="0BE91AA4" w:rsidRPr="5937A937">
        <w:rPr>
          <w:rFonts w:cs="Calibri"/>
          <w:color w:val="auto"/>
          <w:sz w:val="22"/>
          <w:szCs w:val="22"/>
          <w:lang w:val="en-GB"/>
        </w:rPr>
        <w:t xml:space="preserve"> usually</w:t>
      </w:r>
      <w:r w:rsidRPr="5937A937">
        <w:rPr>
          <w:rFonts w:cs="Calibri"/>
          <w:color w:val="auto"/>
          <w:sz w:val="22"/>
          <w:szCs w:val="22"/>
          <w:lang w:val="en-GB"/>
        </w:rPr>
        <w:t xml:space="preserve"> </w:t>
      </w:r>
      <w:r w:rsidR="6794B75C" w:rsidRPr="5937A937">
        <w:rPr>
          <w:rFonts w:cs="Calibri"/>
          <w:color w:val="auto"/>
          <w:sz w:val="22"/>
          <w:szCs w:val="22"/>
          <w:lang w:val="en-GB"/>
        </w:rPr>
        <w:t xml:space="preserve">more expensive than the fossil </w:t>
      </w:r>
      <w:r w:rsidR="00F130DE">
        <w:rPr>
          <w:rFonts w:cs="Calibri"/>
          <w:color w:val="auto"/>
          <w:sz w:val="22"/>
          <w:szCs w:val="22"/>
          <w:lang w:val="en-GB"/>
        </w:rPr>
        <w:t>equivalent</w:t>
      </w:r>
      <w:r w:rsidR="6794B75C" w:rsidRPr="5937A937">
        <w:rPr>
          <w:rFonts w:cs="Calibri"/>
          <w:color w:val="auto"/>
          <w:sz w:val="22"/>
          <w:szCs w:val="22"/>
          <w:lang w:val="en-GB"/>
        </w:rPr>
        <w:t xml:space="preserve"> due to the</w:t>
      </w:r>
      <w:r w:rsidRPr="5937A937">
        <w:rPr>
          <w:rFonts w:cs="Calibri"/>
          <w:color w:val="auto"/>
          <w:sz w:val="22"/>
          <w:szCs w:val="22"/>
          <w:lang w:val="en-GB"/>
        </w:rPr>
        <w:t xml:space="preserve"> low</w:t>
      </w:r>
      <w:r w:rsidR="000A5C5F">
        <w:rPr>
          <w:rFonts w:cs="Calibri"/>
          <w:color w:val="auto"/>
          <w:sz w:val="22"/>
          <w:szCs w:val="22"/>
          <w:lang w:val="en-GB"/>
        </w:rPr>
        <w:t>er technology maturity</w:t>
      </w:r>
      <w:r w:rsidRPr="5937A937">
        <w:rPr>
          <w:rFonts w:cs="Calibri"/>
          <w:color w:val="auto"/>
          <w:sz w:val="22"/>
          <w:szCs w:val="22"/>
          <w:lang w:val="en-GB"/>
        </w:rPr>
        <w:t xml:space="preserve"> and scale. Market interventions</w:t>
      </w:r>
      <w:r w:rsidR="55841C70" w:rsidRPr="5937A937">
        <w:rPr>
          <w:rFonts w:cs="Calibri"/>
          <w:color w:val="auto"/>
          <w:sz w:val="22"/>
          <w:szCs w:val="22"/>
          <w:lang w:val="en-GB"/>
        </w:rPr>
        <w:t>, therefore,</w:t>
      </w:r>
      <w:r w:rsidRPr="5937A937">
        <w:rPr>
          <w:rFonts w:cs="Calibri"/>
          <w:color w:val="auto"/>
          <w:sz w:val="22"/>
          <w:szCs w:val="22"/>
          <w:lang w:val="en-GB"/>
        </w:rPr>
        <w:t xml:space="preserve"> are</w:t>
      </w:r>
      <w:r w:rsidR="5CEDD018" w:rsidRPr="5937A937">
        <w:rPr>
          <w:rFonts w:cs="Calibri"/>
          <w:color w:val="auto"/>
          <w:sz w:val="22"/>
          <w:szCs w:val="22"/>
          <w:lang w:val="en-GB"/>
        </w:rPr>
        <w:t xml:space="preserve"> essential</w:t>
      </w:r>
      <w:r w:rsidRPr="5937A937">
        <w:rPr>
          <w:rFonts w:cs="Calibri"/>
          <w:color w:val="auto"/>
          <w:sz w:val="22"/>
          <w:szCs w:val="22"/>
          <w:lang w:val="en-GB"/>
        </w:rPr>
        <w:t xml:space="preserve"> to </w:t>
      </w:r>
      <w:r w:rsidR="4EED00CD" w:rsidRPr="5937A937">
        <w:rPr>
          <w:rFonts w:cs="Calibri"/>
          <w:color w:val="auto"/>
          <w:sz w:val="22"/>
          <w:szCs w:val="22"/>
          <w:lang w:val="en-GB"/>
        </w:rPr>
        <w:t>leverage the</w:t>
      </w:r>
      <w:r w:rsidRPr="5937A937">
        <w:rPr>
          <w:rFonts w:cs="Calibri"/>
          <w:color w:val="auto"/>
          <w:sz w:val="22"/>
          <w:szCs w:val="22"/>
          <w:lang w:val="en-GB"/>
        </w:rPr>
        <w:t xml:space="preserve"> use and acceptance </w:t>
      </w:r>
      <w:r w:rsidR="212D1D87" w:rsidRPr="5937A937">
        <w:rPr>
          <w:rFonts w:cs="Calibri"/>
          <w:color w:val="auto"/>
          <w:sz w:val="22"/>
          <w:szCs w:val="22"/>
          <w:lang w:val="en-GB"/>
        </w:rPr>
        <w:t>of advanced fuels</w:t>
      </w:r>
      <w:r w:rsidR="00B159B4">
        <w:rPr>
          <w:rFonts w:cs="Calibri"/>
          <w:color w:val="auto"/>
          <w:sz w:val="22"/>
          <w:szCs w:val="22"/>
          <w:lang w:val="en-GB"/>
        </w:rPr>
        <w:t xml:space="preserve"> </w:t>
      </w:r>
      <w:r w:rsidR="00B159B4">
        <w:rPr>
          <w:rFonts w:cs="Calibri"/>
          <w:color w:val="auto"/>
          <w:sz w:val="22"/>
          <w:szCs w:val="22"/>
          <w:lang w:val="en-GB"/>
        </w:rPr>
        <w:fldChar w:fldCharType="begin" w:fldLock="1"/>
      </w:r>
      <w:r w:rsidR="00486E07">
        <w:rPr>
          <w:rFonts w:cs="Calibri"/>
          <w:color w:val="auto"/>
          <w:sz w:val="22"/>
          <w:szCs w:val="22"/>
          <w:lang w:val="en-GB"/>
        </w:rPr>
        <w:instrText>ADDIN CSL_CITATION {"citationItems":[{"id":"ITEM-1","itemData":{"DOI":"10.1016/j.esr.2021.100633","ISSN":"2211467X","abstract":"Advanced biofuels are among the available options to decarbonise transport in the short to medium term especially for aviation, marine and heavy-duty vehicles that lack immediate alternatives. Their production and market uptake, however, is still very low due to several challenges arising across their value chain. So far policy has established targets and monitoring frameworks for low carbon fuels and improved engine performance but has not yet been sufficient to facilitate their effective market uptake. Their market roll-out must be immediate if the 2030 targets are to be met. Analysis in this paper reiterates that the future deployment of these fuels, in market shares that can lead to the desired decarbonisation levels, still depends largely on the integration of tailored policy interventions that can overcome challenges and improve upstream and downstream performance. The work presented aims to i) inform on policy relevant challenges that restrict the flexible, reliable and cost-efficient market uptake of sustainable advanced biofuels for transport, and ii) highlight policy interventions that, have strong potential to overcome the challenges and are relevant to current policy, Green Deal and the Sustainable Development Goals (SDGs).","author":[{"dropping-particle":"","family":"Panoutsou","given":"Calliope","non-dropping-particle":"","parse-names":false,"suffix":""},{"dropping-particle":"","family":"Germer","given":"Sonja","non-dropping-particle":"","parse-names":false,"suffix":""},{"dropping-particle":"","family":"Karka","given":"Paraskevi","non-dropping-particle":"","parse-names":false,"suffix":""},{"dropping-particle":"","family":"Papadokostantakis","given":"Stavros","non-dropping-particle":"","parse-names":false,"suffix":""},{"dropping-particle":"","family":"Kroyan","given":"Yuri","non-dropping-particle":"","parse-names":false,"suffix":""},{"dropping-particle":"","family":"Wojcieszyk","given":"Michal","non-dropping-particle":"","parse-names":false,"suffix":""},{"dropping-particle":"","family":"Maniatis","given":"Kyriakos","non-dropping-particle":"","parse-names":false,"suffix":""},{"dropping-particle":"","family":"Marchand","given":"Philippe","non-dropping-particle":"","parse-names":false,"suffix":""},{"dropping-particle":"","family":"Landalv","given":"Ingvar","non-dropping-particle":"","parse-names":false,"suffix":""}],"container-title":"Energy Strategy Reviews","id":"ITEM-1","issue":"March","issued":{"date-parts":[["2021"]]},"page":"100633","publisher":"Elsevier Ltd","title":"Advanced biofuels to decarbonise European transport by 2030: Markets, challenges, and policies that impact their successful market uptake","type":"article-journal","volume":"34"},"uris":["http://www.mendeley.com/documents/?uuid=e0b8486c-e671-49c6-b25c-f2ad745dcfe0"]}],"mendeley":{"formattedCitation":"(Panoutsou et al., 2021)","plainTextFormattedCitation":"(Panoutsou et al., 2021)","previouslyFormattedCitation":"(Panoutsou et al., 2021)"},"properties":{"noteIndex":0},"schema":"https://github.com/citation-style-language/schema/raw/master/csl-citation.json"}</w:instrText>
      </w:r>
      <w:r w:rsidR="00B159B4">
        <w:rPr>
          <w:rFonts w:cs="Calibri"/>
          <w:color w:val="auto"/>
          <w:sz w:val="22"/>
          <w:szCs w:val="22"/>
          <w:lang w:val="en-GB"/>
        </w:rPr>
        <w:fldChar w:fldCharType="separate"/>
      </w:r>
      <w:r w:rsidR="00B159B4" w:rsidRPr="00B159B4">
        <w:rPr>
          <w:rFonts w:cs="Calibri"/>
          <w:noProof/>
          <w:color w:val="auto"/>
          <w:sz w:val="22"/>
          <w:szCs w:val="22"/>
          <w:lang w:val="en-GB"/>
        </w:rPr>
        <w:t>(Panoutsou et al., 2021)</w:t>
      </w:r>
      <w:r w:rsidR="00B159B4">
        <w:rPr>
          <w:rFonts w:cs="Calibri"/>
          <w:color w:val="auto"/>
          <w:sz w:val="22"/>
          <w:szCs w:val="22"/>
          <w:lang w:val="en-GB"/>
        </w:rPr>
        <w:fldChar w:fldCharType="end"/>
      </w:r>
      <w:r w:rsidRPr="5937A937">
        <w:rPr>
          <w:rFonts w:cs="Calibri"/>
          <w:color w:val="auto"/>
          <w:sz w:val="22"/>
          <w:szCs w:val="22"/>
          <w:lang w:val="en-GB"/>
        </w:rPr>
        <w:t>. In the case of IDEALFUEL’s B</w:t>
      </w:r>
      <w:r w:rsidR="0067451E">
        <w:rPr>
          <w:rFonts w:cs="Calibri"/>
          <w:color w:val="auto"/>
          <w:sz w:val="22"/>
          <w:szCs w:val="22"/>
          <w:lang w:val="en-GB"/>
        </w:rPr>
        <w:t>io</w:t>
      </w:r>
      <w:r w:rsidRPr="5937A937">
        <w:rPr>
          <w:rFonts w:cs="Calibri"/>
          <w:color w:val="auto"/>
          <w:sz w:val="22"/>
          <w:szCs w:val="22"/>
          <w:lang w:val="en-GB"/>
        </w:rPr>
        <w:t xml:space="preserve">-HFO, international regulation set by </w:t>
      </w:r>
      <w:r w:rsidR="7E97BF34" w:rsidRPr="5937A937">
        <w:rPr>
          <w:rFonts w:cs="Calibri"/>
          <w:color w:val="auto"/>
          <w:sz w:val="22"/>
          <w:szCs w:val="22"/>
          <w:lang w:val="en-GB"/>
        </w:rPr>
        <w:t>the International</w:t>
      </w:r>
      <w:r w:rsidRPr="5937A937">
        <w:rPr>
          <w:rFonts w:cs="Calibri"/>
          <w:color w:val="auto"/>
          <w:sz w:val="22"/>
          <w:szCs w:val="22"/>
          <w:lang w:val="en-GB"/>
        </w:rPr>
        <w:t xml:space="preserve"> Maritime Organization (IMO) and the EU</w:t>
      </w:r>
      <w:r w:rsidR="48B00A3E" w:rsidRPr="5937A937">
        <w:rPr>
          <w:rFonts w:cs="Calibri"/>
          <w:color w:val="auto"/>
          <w:sz w:val="22"/>
          <w:szCs w:val="22"/>
          <w:lang w:val="en-GB"/>
        </w:rPr>
        <w:t xml:space="preserve"> directives </w:t>
      </w:r>
      <w:r w:rsidR="47F12A8A" w:rsidRPr="5937A937">
        <w:rPr>
          <w:rFonts w:cs="Calibri"/>
          <w:color w:val="auto"/>
          <w:sz w:val="22"/>
          <w:szCs w:val="22"/>
          <w:lang w:val="en-GB"/>
        </w:rPr>
        <w:t>will have a large influence on</w:t>
      </w:r>
      <w:r w:rsidRPr="5937A937">
        <w:rPr>
          <w:rFonts w:cs="Calibri"/>
          <w:color w:val="auto"/>
          <w:sz w:val="22"/>
          <w:szCs w:val="22"/>
          <w:lang w:val="en-GB"/>
        </w:rPr>
        <w:t xml:space="preserve"> market opportunities.</w:t>
      </w:r>
    </w:p>
    <w:p w14:paraId="0C41A473" w14:textId="77777777" w:rsidR="003870A1" w:rsidRPr="00742DB3" w:rsidRDefault="003870A1" w:rsidP="008A2200">
      <w:pPr>
        <w:spacing w:after="120" w:line="360" w:lineRule="auto"/>
        <w:ind w:firstLine="720"/>
        <w:rPr>
          <w:rFonts w:cs="Calibri"/>
          <w:color w:val="auto"/>
          <w:sz w:val="22"/>
          <w:szCs w:val="22"/>
          <w:lang w:val="en-GB"/>
        </w:rPr>
      </w:pPr>
    </w:p>
    <w:p w14:paraId="0DE58F0A" w14:textId="7652FBC2" w:rsidR="005A7A2C" w:rsidRDefault="005A7A2C" w:rsidP="00DC3405">
      <w:pPr>
        <w:pStyle w:val="Heading3"/>
      </w:pPr>
      <w:bookmarkStart w:id="12" w:name="_Toc85627859"/>
      <w:r>
        <w:t>International Convention for the Prevention of Pollution from Ships (MARPOL)</w:t>
      </w:r>
      <w:bookmarkEnd w:id="12"/>
    </w:p>
    <w:p w14:paraId="68913850" w14:textId="77777777" w:rsidR="00B30734" w:rsidRPr="00B30734" w:rsidRDefault="00B30734" w:rsidP="00B30734">
      <w:pPr>
        <w:rPr>
          <w:lang w:val="en-GB"/>
        </w:rPr>
      </w:pPr>
    </w:p>
    <w:p w14:paraId="2330C897" w14:textId="33145692" w:rsidR="005A7A2C" w:rsidRPr="00D65853" w:rsidRDefault="5EA34800" w:rsidP="0011532E">
      <w:pPr>
        <w:spacing w:after="120" w:line="360" w:lineRule="auto"/>
        <w:ind w:firstLine="709"/>
        <w:rPr>
          <w:rFonts w:cs="Calibri"/>
          <w:color w:val="auto"/>
          <w:sz w:val="22"/>
          <w:szCs w:val="22"/>
          <w:lang w:val="en-GB"/>
        </w:rPr>
      </w:pPr>
      <w:r w:rsidRPr="5937A937">
        <w:rPr>
          <w:rFonts w:cs="Calibri"/>
          <w:color w:val="auto"/>
          <w:sz w:val="22"/>
          <w:szCs w:val="22"/>
          <w:lang w:val="en-GB"/>
        </w:rPr>
        <w:t xml:space="preserve">Due to its international </w:t>
      </w:r>
      <w:r w:rsidR="7101A2C9" w:rsidRPr="5937A937">
        <w:rPr>
          <w:rFonts w:cs="Calibri"/>
          <w:color w:val="auto"/>
          <w:sz w:val="22"/>
          <w:szCs w:val="22"/>
          <w:lang w:val="en-GB"/>
        </w:rPr>
        <w:t>character</w:t>
      </w:r>
      <w:r w:rsidRPr="5937A937">
        <w:rPr>
          <w:rFonts w:cs="Calibri"/>
          <w:color w:val="auto"/>
          <w:sz w:val="22"/>
          <w:szCs w:val="22"/>
          <w:lang w:val="en-GB"/>
        </w:rPr>
        <w:t xml:space="preserve">, emissions </w:t>
      </w:r>
      <w:r w:rsidR="0F80C5A7" w:rsidRPr="5937A937">
        <w:rPr>
          <w:rFonts w:cs="Calibri"/>
          <w:color w:val="auto"/>
          <w:sz w:val="22"/>
          <w:szCs w:val="22"/>
          <w:lang w:val="en-GB"/>
        </w:rPr>
        <w:t xml:space="preserve">coming </w:t>
      </w:r>
      <w:r w:rsidRPr="5937A937">
        <w:rPr>
          <w:rFonts w:cs="Calibri"/>
          <w:color w:val="auto"/>
          <w:sz w:val="22"/>
          <w:szCs w:val="22"/>
          <w:lang w:val="en-GB"/>
        </w:rPr>
        <w:t xml:space="preserve">from the shipping </w:t>
      </w:r>
      <w:r w:rsidR="0973AE6F" w:rsidRPr="5937A937">
        <w:rPr>
          <w:rFonts w:cs="Calibri"/>
          <w:color w:val="auto"/>
          <w:sz w:val="22"/>
          <w:szCs w:val="22"/>
          <w:lang w:val="en-GB"/>
        </w:rPr>
        <w:t>activities</w:t>
      </w:r>
      <w:r w:rsidRPr="5937A937">
        <w:rPr>
          <w:rFonts w:cs="Calibri"/>
          <w:color w:val="auto"/>
          <w:sz w:val="22"/>
          <w:szCs w:val="22"/>
          <w:lang w:val="en-GB"/>
        </w:rPr>
        <w:t xml:space="preserve"> are not attributed to any nation. </w:t>
      </w:r>
      <w:r w:rsidR="009404A9">
        <w:rPr>
          <w:rFonts w:cs="Calibri"/>
          <w:color w:val="auto"/>
          <w:sz w:val="22"/>
          <w:szCs w:val="22"/>
          <w:lang w:val="en-GB"/>
        </w:rPr>
        <w:t>T</w:t>
      </w:r>
      <w:r w:rsidRPr="5937A937">
        <w:rPr>
          <w:rFonts w:cs="Calibri"/>
          <w:color w:val="auto"/>
          <w:sz w:val="22"/>
          <w:szCs w:val="22"/>
          <w:lang w:val="en-GB"/>
        </w:rPr>
        <w:t xml:space="preserve">he responsibility </w:t>
      </w:r>
      <w:r w:rsidR="00E740F8">
        <w:rPr>
          <w:rFonts w:cs="Calibri"/>
          <w:color w:val="auto"/>
          <w:sz w:val="22"/>
          <w:szCs w:val="22"/>
          <w:lang w:val="en-GB"/>
        </w:rPr>
        <w:t>for</w:t>
      </w:r>
      <w:r w:rsidRPr="5937A937">
        <w:rPr>
          <w:rFonts w:cs="Calibri"/>
          <w:color w:val="auto"/>
          <w:sz w:val="22"/>
          <w:szCs w:val="22"/>
          <w:lang w:val="en-GB"/>
        </w:rPr>
        <w:t xml:space="preserve"> governing GHG emissions fall</w:t>
      </w:r>
      <w:r w:rsidR="00A00171">
        <w:rPr>
          <w:rFonts w:cs="Calibri"/>
          <w:color w:val="auto"/>
          <w:sz w:val="22"/>
          <w:szCs w:val="22"/>
          <w:lang w:val="en-GB"/>
        </w:rPr>
        <w:t>s</w:t>
      </w:r>
      <w:r w:rsidRPr="5937A937">
        <w:rPr>
          <w:rFonts w:cs="Calibri"/>
          <w:color w:val="auto"/>
          <w:sz w:val="22"/>
          <w:szCs w:val="22"/>
          <w:lang w:val="en-GB"/>
        </w:rPr>
        <w:t xml:space="preserve"> under the United Nations Framework Convention on Climate Change (UNFCC), particularly </w:t>
      </w:r>
      <w:r w:rsidR="2D2744F0" w:rsidRPr="5937A937">
        <w:rPr>
          <w:rFonts w:cs="Calibri"/>
          <w:color w:val="auto"/>
          <w:sz w:val="22"/>
          <w:szCs w:val="22"/>
          <w:lang w:val="en-GB"/>
        </w:rPr>
        <w:t xml:space="preserve">in </w:t>
      </w:r>
      <w:r w:rsidRPr="5937A937">
        <w:rPr>
          <w:rFonts w:cs="Calibri"/>
          <w:color w:val="auto"/>
          <w:sz w:val="22"/>
          <w:szCs w:val="22"/>
          <w:lang w:val="en-GB"/>
        </w:rPr>
        <w:t>the</w:t>
      </w:r>
      <w:r w:rsidR="00AC5121">
        <w:rPr>
          <w:rFonts w:cs="Calibri"/>
          <w:color w:val="auto"/>
          <w:sz w:val="22"/>
          <w:szCs w:val="22"/>
          <w:lang w:val="en-GB"/>
        </w:rPr>
        <w:t xml:space="preserve"> United Nations</w:t>
      </w:r>
      <w:r w:rsidRPr="5937A937">
        <w:rPr>
          <w:rFonts w:cs="Calibri"/>
          <w:color w:val="auto"/>
          <w:sz w:val="22"/>
          <w:szCs w:val="22"/>
          <w:lang w:val="en-GB"/>
        </w:rPr>
        <w:t xml:space="preserve"> </w:t>
      </w:r>
      <w:r w:rsidR="00AC5121">
        <w:rPr>
          <w:rFonts w:cs="Calibri"/>
          <w:color w:val="auto"/>
          <w:sz w:val="22"/>
          <w:szCs w:val="22"/>
          <w:lang w:val="en-GB"/>
        </w:rPr>
        <w:t>(</w:t>
      </w:r>
      <w:r w:rsidRPr="5937A937">
        <w:rPr>
          <w:rFonts w:cs="Calibri"/>
          <w:color w:val="auto"/>
          <w:sz w:val="22"/>
          <w:szCs w:val="22"/>
          <w:lang w:val="en-GB"/>
        </w:rPr>
        <w:t>UN</w:t>
      </w:r>
      <w:r w:rsidR="00AC5121">
        <w:rPr>
          <w:rFonts w:cs="Calibri"/>
          <w:color w:val="auto"/>
          <w:sz w:val="22"/>
          <w:szCs w:val="22"/>
          <w:lang w:val="en-GB"/>
        </w:rPr>
        <w:t>)</w:t>
      </w:r>
      <w:r w:rsidRPr="5937A937">
        <w:rPr>
          <w:rFonts w:cs="Calibri"/>
          <w:color w:val="auto"/>
          <w:sz w:val="22"/>
          <w:szCs w:val="22"/>
          <w:lang w:val="en-GB"/>
        </w:rPr>
        <w:t xml:space="preserve"> specialized agency IMO </w:t>
      </w:r>
      <w:r w:rsidR="005A7A2C" w:rsidRPr="5937A937">
        <w:rPr>
          <w:rFonts w:cs="Calibri"/>
          <w:color w:val="auto"/>
          <w:sz w:val="22"/>
          <w:szCs w:val="22"/>
          <w:lang w:val="en-GB"/>
        </w:rPr>
        <w:fldChar w:fldCharType="begin" w:fldLock="1"/>
      </w:r>
      <w:r w:rsidR="005A7A2C" w:rsidRPr="5937A937">
        <w:rPr>
          <w:rFonts w:cs="Calibri"/>
          <w:color w:val="auto"/>
          <w:sz w:val="22"/>
          <w:szCs w:val="22"/>
          <w:lang w:val="en-GB"/>
        </w:rPr>
        <w:instrText>ADDIN CSL_CITATION {"citationItems":[{"id":"ITEM-1","itemData":{"DOI":"10.1007/s12027-020-00637-3","ISSN":"18639038","abstract":"The European Green Deal announced by the European Commission in December 2019 is a roadmap meant to foster the transition of the European Union towards the climate-neutral economy by reducing carbon emissions towards 55% by 2030 and achieving carbon neutrality by 2050. By putting the EGD in a boarder perspective of evolving, constitutional rationale of environmental protection in the EU legal order, this contribution examines horizontal, legal dimension and financial implications of the green transition. The challenge ahead of the Union is now how to transform the ambitious climate agenda into efficient legal and economic instruments ‘in a fair way, leaving no one behind’. This paper argues that EGD is a great opportunity, but in order to turn it into a success, it must be strongly anchored in the concepts pertaining to the constitutional framework of the EU legal order, in particular, the concepts of solidarity, sustainable development and high level of environmental protection.","author":[{"dropping-particle":"","family":"Sikora","given":"Alicja","non-dropping-particle":"","parse-names":false,"suffix":""}],"container-title":"ERA Forum","id":"ITEM-1","issued":{"date-parts":[["2020"]]},"page":"681-697","publisher":"The Author(s)","title":"European Green Deal – legal and financial challenges of the climate change","type":"article-journal"},"uris":["http://www.mendeley.com/documents/?uuid=28a71f4b-3341-4579-a677-8efa15a33d7a"]}],"mendeley":{"formattedCitation":"(Sikora, 2020)","plainTextFormattedCitation":"(Sikora, 2020)","previouslyFormattedCitation":"(Sikora, 2020)"},"properties":{"noteIndex":0},"schema":"https://github.com/citation-style-language/schema/raw/master/csl-citation.json"}</w:instrText>
      </w:r>
      <w:r w:rsidR="005A7A2C" w:rsidRPr="5937A937">
        <w:rPr>
          <w:rFonts w:cs="Calibri"/>
          <w:color w:val="auto"/>
          <w:sz w:val="22"/>
          <w:szCs w:val="22"/>
          <w:lang w:val="en-GB"/>
        </w:rPr>
        <w:fldChar w:fldCharType="separate"/>
      </w:r>
      <w:r w:rsidRPr="5937A937">
        <w:rPr>
          <w:rFonts w:cs="Calibri"/>
          <w:noProof/>
          <w:color w:val="auto"/>
          <w:sz w:val="22"/>
          <w:szCs w:val="22"/>
          <w:lang w:val="en-GB"/>
        </w:rPr>
        <w:t>(Sikora, 2020)</w:t>
      </w:r>
      <w:r w:rsidR="005A7A2C" w:rsidRPr="5937A937">
        <w:rPr>
          <w:rFonts w:cs="Calibri"/>
          <w:color w:val="auto"/>
          <w:sz w:val="22"/>
          <w:szCs w:val="22"/>
          <w:lang w:val="en-GB"/>
        </w:rPr>
        <w:fldChar w:fldCharType="end"/>
      </w:r>
      <w:r w:rsidRPr="5937A937">
        <w:rPr>
          <w:rFonts w:cs="Calibri"/>
          <w:color w:val="auto"/>
          <w:sz w:val="22"/>
          <w:szCs w:val="22"/>
          <w:lang w:val="en-GB"/>
        </w:rPr>
        <w:t>. The IMO's primary purpose is t</w:t>
      </w:r>
      <w:r w:rsidR="3D275B0D" w:rsidRPr="5937A937">
        <w:rPr>
          <w:rFonts w:cs="Calibri"/>
          <w:color w:val="auto"/>
          <w:sz w:val="22"/>
          <w:szCs w:val="22"/>
          <w:lang w:val="en-GB"/>
        </w:rPr>
        <w:t>o</w:t>
      </w:r>
      <w:r w:rsidRPr="5937A937">
        <w:rPr>
          <w:rFonts w:cs="Calibri"/>
          <w:color w:val="auto"/>
          <w:sz w:val="22"/>
          <w:szCs w:val="22"/>
          <w:lang w:val="en-GB"/>
        </w:rPr>
        <w:t xml:space="preserve"> establish and </w:t>
      </w:r>
      <w:r w:rsidR="1FD5CBEB" w:rsidRPr="5937A937">
        <w:rPr>
          <w:rFonts w:cs="Calibri"/>
          <w:color w:val="auto"/>
          <w:sz w:val="22"/>
          <w:szCs w:val="22"/>
          <w:lang w:val="en-GB"/>
        </w:rPr>
        <w:t>maintain</w:t>
      </w:r>
      <w:r w:rsidRPr="5937A937">
        <w:rPr>
          <w:rFonts w:cs="Calibri"/>
          <w:color w:val="auto"/>
          <w:sz w:val="22"/>
          <w:szCs w:val="22"/>
          <w:lang w:val="en-GB"/>
        </w:rPr>
        <w:t xml:space="preserve"> a comprehensive regulatory </w:t>
      </w:r>
      <w:r w:rsidRPr="5937A937">
        <w:rPr>
          <w:rFonts w:cs="Calibri"/>
          <w:color w:val="auto"/>
          <w:sz w:val="22"/>
          <w:szCs w:val="22"/>
          <w:lang w:val="en-GB"/>
        </w:rPr>
        <w:lastRenderedPageBreak/>
        <w:t>framework for shipping, covering</w:t>
      </w:r>
      <w:r w:rsidR="1C6EA51C" w:rsidRPr="5937A937">
        <w:rPr>
          <w:rFonts w:cs="Calibri"/>
          <w:color w:val="auto"/>
          <w:sz w:val="22"/>
          <w:szCs w:val="22"/>
          <w:lang w:val="en-GB"/>
        </w:rPr>
        <w:t>,</w:t>
      </w:r>
      <w:r w:rsidRPr="5937A937">
        <w:rPr>
          <w:rFonts w:cs="Calibri"/>
          <w:color w:val="auto"/>
          <w:sz w:val="22"/>
          <w:szCs w:val="22"/>
          <w:lang w:val="en-GB"/>
        </w:rPr>
        <w:t xml:space="preserve"> amongst others</w:t>
      </w:r>
      <w:r w:rsidR="7AFADB2D" w:rsidRPr="5937A937">
        <w:rPr>
          <w:rFonts w:cs="Calibri"/>
          <w:color w:val="auto"/>
          <w:sz w:val="22"/>
          <w:szCs w:val="22"/>
          <w:lang w:val="en-GB"/>
        </w:rPr>
        <w:t>,</w:t>
      </w:r>
      <w:r w:rsidRPr="5937A937">
        <w:rPr>
          <w:rFonts w:cs="Calibri"/>
          <w:color w:val="auto"/>
          <w:sz w:val="22"/>
          <w:szCs w:val="22"/>
          <w:lang w:val="en-GB"/>
        </w:rPr>
        <w:t xml:space="preserve"> maritime safety, environmental concerns and the efficiency of shipping </w:t>
      </w:r>
      <w:r w:rsidR="005A7A2C" w:rsidRPr="5937A937">
        <w:rPr>
          <w:rFonts w:cs="Calibri"/>
          <w:color w:val="auto"/>
          <w:sz w:val="22"/>
          <w:szCs w:val="22"/>
          <w:lang w:val="en-GB"/>
        </w:rPr>
        <w:fldChar w:fldCharType="begin" w:fldLock="1"/>
      </w:r>
      <w:r w:rsidR="005A7A2C" w:rsidRPr="5937A937">
        <w:rPr>
          <w:rFonts w:cs="Calibri"/>
          <w:color w:val="auto"/>
          <w:sz w:val="22"/>
          <w:szCs w:val="22"/>
          <w:lang w:val="en-GB"/>
        </w:rPr>
        <w:instrText>ADDIN CSL_CITATION {"citationItems":[{"id":"ITEM-1","itemData":{"author":[{"dropping-particle":"","family":"Uslu","given":"Ayla","non-dropping-particle":"","parse-names":false,"suffix":""}],"id":"ITEM-1","issued":{"date-parts":[["2019"]]},"title":"Market analysis","type":"report"},"uris":["http://www.mendeley.com/documents/?uuid=f0487272-4a66-4a0e-b49d-ac94b47a56ec"]}],"mendeley":{"formattedCitation":"(Uslu, 2019)","plainTextFormattedCitation":"(Uslu, 2019)","previouslyFormattedCitation":"(Uslu, 2019)"},"properties":{"noteIndex":0},"schema":"https://github.com/citation-style-language/schema/raw/master/csl-citation.json"}</w:instrText>
      </w:r>
      <w:r w:rsidR="005A7A2C" w:rsidRPr="5937A937">
        <w:rPr>
          <w:rFonts w:cs="Calibri"/>
          <w:color w:val="auto"/>
          <w:sz w:val="22"/>
          <w:szCs w:val="22"/>
          <w:lang w:val="en-GB"/>
        </w:rPr>
        <w:fldChar w:fldCharType="separate"/>
      </w:r>
      <w:r w:rsidRPr="5937A937">
        <w:rPr>
          <w:rFonts w:cs="Calibri"/>
          <w:noProof/>
          <w:color w:val="auto"/>
          <w:sz w:val="22"/>
          <w:szCs w:val="22"/>
          <w:lang w:val="en-GB"/>
        </w:rPr>
        <w:t>(Uslu, 2019)</w:t>
      </w:r>
      <w:r w:rsidR="005A7A2C" w:rsidRPr="5937A937">
        <w:rPr>
          <w:rFonts w:cs="Calibri"/>
          <w:color w:val="auto"/>
          <w:sz w:val="22"/>
          <w:szCs w:val="22"/>
          <w:lang w:val="en-GB"/>
        </w:rPr>
        <w:fldChar w:fldCharType="end"/>
      </w:r>
      <w:r w:rsidRPr="5937A937">
        <w:rPr>
          <w:rFonts w:cs="Calibri"/>
          <w:color w:val="auto"/>
          <w:sz w:val="22"/>
          <w:szCs w:val="22"/>
          <w:lang w:val="en-GB"/>
        </w:rPr>
        <w:t xml:space="preserve">. </w:t>
      </w:r>
    </w:p>
    <w:p w14:paraId="1680CAD5" w14:textId="4D4E8DAB" w:rsidR="005A7A2C" w:rsidRDefault="5EA34800" w:rsidP="5937A937">
      <w:pPr>
        <w:spacing w:after="120" w:line="360" w:lineRule="auto"/>
        <w:ind w:firstLine="720"/>
        <w:rPr>
          <w:rFonts w:cs="Calibri"/>
          <w:color w:val="auto"/>
          <w:sz w:val="22"/>
          <w:szCs w:val="22"/>
        </w:rPr>
      </w:pPr>
      <w:r w:rsidRPr="5937A937">
        <w:rPr>
          <w:rFonts w:cs="Calibri"/>
          <w:color w:val="auto"/>
          <w:sz w:val="22"/>
          <w:szCs w:val="22"/>
        </w:rPr>
        <w:t xml:space="preserve">The International Convention for the Prevention of Pollution from Ships </w:t>
      </w:r>
      <w:r w:rsidR="0F7A4727" w:rsidRPr="5937A937">
        <w:rPr>
          <w:rFonts w:cs="Calibri"/>
          <w:color w:val="auto"/>
          <w:sz w:val="22"/>
          <w:szCs w:val="22"/>
        </w:rPr>
        <w:t xml:space="preserve">deals </w:t>
      </w:r>
      <w:r w:rsidR="2DF810EC" w:rsidRPr="5937A937">
        <w:rPr>
          <w:rFonts w:cs="Calibri"/>
          <w:color w:val="auto"/>
          <w:sz w:val="22"/>
          <w:szCs w:val="22"/>
        </w:rPr>
        <w:t>with environment</w:t>
      </w:r>
      <w:r w:rsidR="08E78DA6" w:rsidRPr="5937A937">
        <w:rPr>
          <w:rFonts w:cs="Calibri"/>
          <w:color w:val="auto"/>
          <w:sz w:val="22"/>
          <w:szCs w:val="22"/>
        </w:rPr>
        <w:t xml:space="preserve"> and </w:t>
      </w:r>
      <w:r w:rsidRPr="5937A937">
        <w:rPr>
          <w:rFonts w:cs="Calibri"/>
          <w:color w:val="auto"/>
          <w:sz w:val="22"/>
          <w:szCs w:val="22"/>
        </w:rPr>
        <w:t xml:space="preserve">pollution </w:t>
      </w:r>
      <w:r w:rsidR="114AB3B4" w:rsidRPr="5937A937">
        <w:rPr>
          <w:rFonts w:cs="Calibri"/>
          <w:color w:val="auto"/>
          <w:sz w:val="22"/>
          <w:szCs w:val="22"/>
        </w:rPr>
        <w:t>related to marine activity</w:t>
      </w:r>
      <w:r w:rsidRPr="5937A937">
        <w:rPr>
          <w:rFonts w:cs="Calibri"/>
          <w:color w:val="auto"/>
          <w:sz w:val="22"/>
          <w:szCs w:val="22"/>
        </w:rPr>
        <w:t xml:space="preserve">. It was adopted in 1973, modified by the MARPOL Protocol in 1978 and entered into force in 1983. MARPOL has been updated by several amendments throughout the years. The Convention includes six technical Annexes that covers </w:t>
      </w:r>
      <w:r w:rsidR="3E7CE717" w:rsidRPr="5937A937">
        <w:rPr>
          <w:rFonts w:cs="Calibri"/>
          <w:color w:val="auto"/>
          <w:sz w:val="22"/>
          <w:szCs w:val="22"/>
        </w:rPr>
        <w:t xml:space="preserve">the </w:t>
      </w:r>
      <w:r w:rsidRPr="5937A937">
        <w:rPr>
          <w:rFonts w:cs="Calibri"/>
          <w:color w:val="auto"/>
          <w:sz w:val="22"/>
          <w:szCs w:val="22"/>
        </w:rPr>
        <w:t>regulations to prevent and minimiz</w:t>
      </w:r>
      <w:r w:rsidR="2FA1ACBB" w:rsidRPr="5937A937">
        <w:rPr>
          <w:rFonts w:cs="Calibri"/>
          <w:color w:val="auto"/>
          <w:sz w:val="22"/>
          <w:szCs w:val="22"/>
        </w:rPr>
        <w:t xml:space="preserve">e pollution </w:t>
      </w:r>
      <w:r w:rsidR="1067DFA8" w:rsidRPr="5937A937">
        <w:rPr>
          <w:rFonts w:cs="Calibri"/>
          <w:color w:val="auto"/>
          <w:sz w:val="22"/>
          <w:szCs w:val="22"/>
        </w:rPr>
        <w:t>prevenient</w:t>
      </w:r>
      <w:r w:rsidR="193CF1D1" w:rsidRPr="5937A937">
        <w:rPr>
          <w:rFonts w:cs="Calibri"/>
          <w:color w:val="auto"/>
          <w:sz w:val="22"/>
          <w:szCs w:val="22"/>
        </w:rPr>
        <w:t xml:space="preserve"> </w:t>
      </w:r>
      <w:r w:rsidR="43550F07" w:rsidRPr="5937A937">
        <w:rPr>
          <w:rFonts w:cs="Calibri"/>
          <w:color w:val="auto"/>
          <w:sz w:val="22"/>
          <w:szCs w:val="22"/>
        </w:rPr>
        <w:t xml:space="preserve">from </w:t>
      </w:r>
      <w:r w:rsidRPr="5937A937">
        <w:rPr>
          <w:rFonts w:cs="Calibri"/>
          <w:color w:val="auto"/>
          <w:sz w:val="22"/>
          <w:szCs w:val="22"/>
        </w:rPr>
        <w:t xml:space="preserve">accidental </w:t>
      </w:r>
      <w:r w:rsidR="7ADE62AB" w:rsidRPr="5937A937">
        <w:rPr>
          <w:rFonts w:cs="Calibri"/>
          <w:color w:val="auto"/>
          <w:sz w:val="22"/>
          <w:szCs w:val="22"/>
        </w:rPr>
        <w:t>or</w:t>
      </w:r>
      <w:r w:rsidRPr="5937A937">
        <w:rPr>
          <w:rFonts w:cs="Calibri"/>
          <w:color w:val="auto"/>
          <w:sz w:val="22"/>
          <w:szCs w:val="22"/>
        </w:rPr>
        <w:t xml:space="preserve"> daily operations. Special </w:t>
      </w:r>
      <w:r w:rsidR="006C3CC7">
        <w:rPr>
          <w:rFonts w:cs="Calibri"/>
          <w:color w:val="auto"/>
          <w:sz w:val="22"/>
          <w:szCs w:val="22"/>
        </w:rPr>
        <w:t>A</w:t>
      </w:r>
      <w:r w:rsidRPr="5937A937">
        <w:rPr>
          <w:rFonts w:cs="Calibri"/>
          <w:color w:val="auto"/>
          <w:sz w:val="22"/>
          <w:szCs w:val="22"/>
        </w:rPr>
        <w:t>reas</w:t>
      </w:r>
      <w:r w:rsidR="6FDC7D97" w:rsidRPr="5937A937">
        <w:rPr>
          <w:rFonts w:cs="Calibri"/>
          <w:color w:val="auto"/>
          <w:sz w:val="22"/>
          <w:szCs w:val="22"/>
        </w:rPr>
        <w:t xml:space="preserve">, practices and restrictions </w:t>
      </w:r>
      <w:r w:rsidRPr="5937A937">
        <w:rPr>
          <w:rFonts w:cs="Calibri"/>
          <w:color w:val="auto"/>
          <w:sz w:val="22"/>
          <w:szCs w:val="22"/>
        </w:rPr>
        <w:t xml:space="preserve">are </w:t>
      </w:r>
      <w:r w:rsidR="78EBA405" w:rsidRPr="5937A937">
        <w:rPr>
          <w:rFonts w:cs="Calibri"/>
          <w:color w:val="auto"/>
          <w:sz w:val="22"/>
          <w:szCs w:val="22"/>
        </w:rPr>
        <w:t>describ</w:t>
      </w:r>
      <w:r w:rsidRPr="5937A937">
        <w:rPr>
          <w:rFonts w:cs="Calibri"/>
          <w:color w:val="auto"/>
          <w:sz w:val="22"/>
          <w:szCs w:val="22"/>
        </w:rPr>
        <w:t>ed in most</w:t>
      </w:r>
      <w:r w:rsidR="006C3CC7">
        <w:rPr>
          <w:rFonts w:cs="Calibri"/>
          <w:color w:val="auto"/>
          <w:sz w:val="22"/>
          <w:szCs w:val="22"/>
        </w:rPr>
        <w:t xml:space="preserve"> of the</w:t>
      </w:r>
      <w:r w:rsidRPr="5937A937">
        <w:rPr>
          <w:rFonts w:cs="Calibri"/>
          <w:color w:val="auto"/>
          <w:sz w:val="22"/>
          <w:szCs w:val="22"/>
        </w:rPr>
        <w:t xml:space="preserve"> Annexes </w:t>
      </w:r>
      <w:r w:rsidR="005A7A2C" w:rsidRPr="5937A937">
        <w:rPr>
          <w:rFonts w:cs="Calibri"/>
          <w:color w:val="auto"/>
          <w:sz w:val="22"/>
          <w:szCs w:val="22"/>
        </w:rPr>
        <w:fldChar w:fldCharType="begin" w:fldLock="1"/>
      </w:r>
      <w:r w:rsidR="005A7A2C" w:rsidRPr="5937A937">
        <w:rPr>
          <w:rFonts w:cs="Calibri"/>
          <w:color w:val="auto"/>
          <w:sz w:val="22"/>
          <w:szCs w:val="22"/>
        </w:rPr>
        <w:instrText>ADDIN CSL_CITATION {"citationItems":[{"id":"ITEM-1","itemData":{"DOI":"10.4324/9781315774695-85","URL":"https://www.imo.org/en/About/Conventions/Pages/International-Convention-for-the-Prevention-of-Pollution-from-Ships-(MARPOL).aspx","abstract":"Lloyd's Register Rulefinder 2005 – Version 9.4 MARPOL -International Convention for the Prevention of Pollution from Ships Amended by Resolution MEPC.111(50) Amended by Resolution MEPC.115(51) Amended by Resolution MEPC.116(51) MARPOL -International Convention for the Prevention of Pollution from Ships Amended by Resolution MEPC.111(50) Amended by Resolution MEPC.115(51) Amended by Resolution MEPC.116(51)","author":[{"dropping-particle":"","family":"Brodie","given":"Peter","non-dropping-particle":"","parse-names":false,"suffix":""}],"container-title":"Commercial Shipping Handbook","id":"ITEM-1","issued":{"date-parts":[["2020"]]},"page":"219-221","title":"International Convention for the Prevention of Pollution from Ships (MARPOL)","type":"webpage"},"uris":["http://www.mendeley.com/documents/?uuid=0f4c6244-31e6-4c62-927f-3c5fd5bd090f"]}],"mendeley":{"formattedCitation":"(Brodie, 2020)","plainTextFormattedCitation":"(Brodie, 2020)","previouslyFormattedCitation":"(Brodie, 2020)"},"properties":{"noteIndex":0},"schema":"https://github.com/citation-style-language/schema/raw/master/csl-citation.json"}</w:instrText>
      </w:r>
      <w:r w:rsidR="005A7A2C" w:rsidRPr="5937A937">
        <w:rPr>
          <w:rFonts w:cs="Calibri"/>
          <w:color w:val="auto"/>
          <w:sz w:val="22"/>
          <w:szCs w:val="22"/>
        </w:rPr>
        <w:fldChar w:fldCharType="separate"/>
      </w:r>
      <w:r w:rsidRPr="5937A937">
        <w:rPr>
          <w:rFonts w:cs="Calibri"/>
          <w:noProof/>
          <w:color w:val="auto"/>
          <w:sz w:val="22"/>
          <w:szCs w:val="22"/>
        </w:rPr>
        <w:t>(Brodie, 2020)</w:t>
      </w:r>
      <w:r w:rsidR="005A7A2C" w:rsidRPr="5937A937">
        <w:rPr>
          <w:rFonts w:cs="Calibri"/>
          <w:color w:val="auto"/>
          <w:sz w:val="22"/>
          <w:szCs w:val="22"/>
        </w:rPr>
        <w:fldChar w:fldCharType="end"/>
      </w:r>
      <w:r w:rsidRPr="5937A937">
        <w:rPr>
          <w:rStyle w:val="FootnoteReference"/>
          <w:rFonts w:cs="Calibri"/>
          <w:color w:val="auto"/>
        </w:rPr>
        <w:t xml:space="preserve"> </w:t>
      </w:r>
    </w:p>
    <w:p w14:paraId="42C35303" w14:textId="35E5D396" w:rsidR="003F3946" w:rsidRDefault="5EA34800" w:rsidP="0040379B">
      <w:pPr>
        <w:spacing w:after="120" w:line="360" w:lineRule="auto"/>
        <w:ind w:firstLine="720"/>
        <w:rPr>
          <w:rFonts w:cs="Calibri"/>
          <w:color w:val="auto"/>
          <w:sz w:val="22"/>
          <w:szCs w:val="22"/>
        </w:rPr>
      </w:pPr>
      <w:r w:rsidRPr="5937A937">
        <w:rPr>
          <w:rFonts w:cs="Calibri"/>
          <w:color w:val="auto"/>
          <w:sz w:val="22"/>
          <w:szCs w:val="22"/>
        </w:rPr>
        <w:t>In 2005</w:t>
      </w:r>
      <w:r w:rsidR="46D43D01" w:rsidRPr="5937A937">
        <w:rPr>
          <w:rFonts w:cs="Calibri"/>
          <w:color w:val="auto"/>
          <w:sz w:val="22"/>
          <w:szCs w:val="22"/>
        </w:rPr>
        <w:t>,</w:t>
      </w:r>
      <w:r w:rsidRPr="5937A937">
        <w:rPr>
          <w:rFonts w:cs="Calibri"/>
          <w:color w:val="auto"/>
          <w:sz w:val="22"/>
          <w:szCs w:val="22"/>
        </w:rPr>
        <w:t xml:space="preserve"> air pollution was </w:t>
      </w:r>
      <w:r w:rsidR="5776BECE" w:rsidRPr="5937A937">
        <w:rPr>
          <w:rFonts w:cs="Calibri"/>
          <w:color w:val="auto"/>
          <w:sz w:val="22"/>
          <w:szCs w:val="22"/>
        </w:rPr>
        <w:t xml:space="preserve">specially </w:t>
      </w:r>
      <w:r w:rsidRPr="5937A937">
        <w:rPr>
          <w:rFonts w:cs="Calibri"/>
          <w:color w:val="auto"/>
          <w:sz w:val="22"/>
          <w:szCs w:val="22"/>
        </w:rPr>
        <w:t xml:space="preserve">addressed by </w:t>
      </w:r>
      <w:r w:rsidR="200F692B" w:rsidRPr="5937A937">
        <w:rPr>
          <w:rFonts w:cs="Calibri"/>
          <w:color w:val="auto"/>
          <w:sz w:val="22"/>
          <w:szCs w:val="22"/>
        </w:rPr>
        <w:t>setting specific limits</w:t>
      </w:r>
      <w:r w:rsidR="57B4D7D2" w:rsidRPr="5937A937">
        <w:rPr>
          <w:rFonts w:cs="Calibri"/>
          <w:color w:val="auto"/>
          <w:sz w:val="22"/>
          <w:szCs w:val="22"/>
        </w:rPr>
        <w:t xml:space="preserve"> on emissions</w:t>
      </w:r>
      <w:r w:rsidR="002679C9">
        <w:rPr>
          <w:rFonts w:cs="Calibri"/>
          <w:color w:val="auto"/>
          <w:sz w:val="22"/>
          <w:szCs w:val="22"/>
        </w:rPr>
        <w:t xml:space="preserve">, and </w:t>
      </w:r>
      <w:r w:rsidR="003870A1">
        <w:rPr>
          <w:rFonts w:cs="Calibri"/>
          <w:color w:val="auto"/>
          <w:sz w:val="22"/>
          <w:szCs w:val="22"/>
        </w:rPr>
        <w:t xml:space="preserve">by </w:t>
      </w:r>
      <w:r w:rsidR="002679C9">
        <w:rPr>
          <w:rFonts w:cs="Calibri"/>
          <w:color w:val="auto"/>
          <w:sz w:val="22"/>
          <w:szCs w:val="22"/>
        </w:rPr>
        <w:t xml:space="preserve">the establishment of </w:t>
      </w:r>
      <w:r w:rsidR="003870A1">
        <w:rPr>
          <w:rFonts w:cs="Calibri"/>
          <w:color w:val="auto"/>
          <w:sz w:val="22"/>
          <w:szCs w:val="22"/>
        </w:rPr>
        <w:t xml:space="preserve">the </w:t>
      </w:r>
      <w:r w:rsidR="002679C9">
        <w:rPr>
          <w:rFonts w:cs="Calibri"/>
          <w:color w:val="auto"/>
          <w:sz w:val="22"/>
          <w:szCs w:val="22"/>
        </w:rPr>
        <w:t xml:space="preserve">emission control </w:t>
      </w:r>
      <w:r w:rsidR="2B29660E" w:rsidRPr="5937A937">
        <w:rPr>
          <w:rFonts w:cs="Calibri"/>
          <w:color w:val="auto"/>
          <w:sz w:val="22"/>
          <w:szCs w:val="22"/>
        </w:rPr>
        <w:t>areas (ECAs)</w:t>
      </w:r>
      <w:r w:rsidR="002679C9">
        <w:rPr>
          <w:rFonts w:cs="Calibri"/>
          <w:color w:val="auto"/>
          <w:sz w:val="22"/>
          <w:szCs w:val="22"/>
        </w:rPr>
        <w:t>.</w:t>
      </w:r>
      <w:r w:rsidR="3A72AFE6" w:rsidRPr="5937A937">
        <w:rPr>
          <w:rFonts w:cs="Calibri"/>
          <w:color w:val="auto"/>
          <w:sz w:val="22"/>
          <w:szCs w:val="22"/>
        </w:rPr>
        <w:t xml:space="preserve"> </w:t>
      </w:r>
      <w:r w:rsidR="002679C9" w:rsidRPr="5937A937">
        <w:rPr>
          <w:rFonts w:cs="Calibri"/>
          <w:color w:val="auto"/>
          <w:sz w:val="22"/>
          <w:szCs w:val="22"/>
          <w:lang w:val="en-GB"/>
        </w:rPr>
        <w:t>ECA zone</w:t>
      </w:r>
      <w:r w:rsidR="00D16898">
        <w:rPr>
          <w:rFonts w:cs="Calibri"/>
          <w:color w:val="auto"/>
          <w:sz w:val="22"/>
          <w:szCs w:val="22"/>
          <w:lang w:val="en-GB"/>
        </w:rPr>
        <w:t>s</w:t>
      </w:r>
      <w:r w:rsidR="000E56EE">
        <w:rPr>
          <w:rFonts w:cs="Calibri"/>
          <w:color w:val="auto"/>
          <w:sz w:val="22"/>
          <w:szCs w:val="22"/>
          <w:lang w:val="en-GB"/>
        </w:rPr>
        <w:t xml:space="preserve"> </w:t>
      </w:r>
      <w:r w:rsidR="000E56EE">
        <w:rPr>
          <w:rFonts w:cs="Calibri"/>
          <w:color w:val="auto"/>
          <w:sz w:val="22"/>
          <w:szCs w:val="22"/>
        </w:rPr>
        <w:t>(</w:t>
      </w:r>
      <w:r w:rsidR="000E56EE" w:rsidRPr="5937A937">
        <w:rPr>
          <w:rFonts w:cs="Calibri"/>
          <w:color w:val="auto"/>
          <w:sz w:val="22"/>
          <w:szCs w:val="22"/>
        </w:rPr>
        <w:t>depicted in Fi</w:t>
      </w:r>
      <w:r w:rsidR="000E56EE">
        <w:rPr>
          <w:rFonts w:cs="Calibri"/>
          <w:color w:val="auto"/>
          <w:sz w:val="22"/>
          <w:szCs w:val="22"/>
        </w:rPr>
        <w:t>g .1)</w:t>
      </w:r>
      <w:r w:rsidR="002679C9" w:rsidRPr="5937A937">
        <w:rPr>
          <w:rFonts w:cs="Calibri"/>
          <w:color w:val="auto"/>
          <w:sz w:val="22"/>
          <w:szCs w:val="22"/>
          <w:lang w:val="en-GB"/>
        </w:rPr>
        <w:t xml:space="preserve"> ha</w:t>
      </w:r>
      <w:r w:rsidR="00D16898">
        <w:rPr>
          <w:rFonts w:cs="Calibri"/>
          <w:color w:val="auto"/>
          <w:sz w:val="22"/>
          <w:szCs w:val="22"/>
          <w:lang w:val="en-GB"/>
        </w:rPr>
        <w:t>ve</w:t>
      </w:r>
      <w:r w:rsidR="002679C9" w:rsidRPr="5937A937">
        <w:rPr>
          <w:rFonts w:cs="Calibri"/>
          <w:color w:val="auto"/>
          <w:sz w:val="22"/>
          <w:szCs w:val="22"/>
          <w:lang w:val="en-GB"/>
        </w:rPr>
        <w:t xml:space="preserve"> a stricter limit for emissions</w:t>
      </w:r>
      <w:r w:rsidR="002679C9">
        <w:rPr>
          <w:rFonts w:cs="Calibri"/>
          <w:color w:val="auto"/>
          <w:sz w:val="22"/>
          <w:szCs w:val="22"/>
          <w:lang w:val="en-GB"/>
        </w:rPr>
        <w:t xml:space="preserve"> </w:t>
      </w:r>
      <w:r w:rsidR="00D16898">
        <w:rPr>
          <w:rFonts w:cs="Calibri"/>
          <w:color w:val="auto"/>
          <w:sz w:val="22"/>
          <w:szCs w:val="22"/>
        </w:rPr>
        <w:t>of</w:t>
      </w:r>
      <w:r w:rsidR="200F692B" w:rsidRPr="5937A937">
        <w:rPr>
          <w:rFonts w:cs="Calibri"/>
          <w:color w:val="auto"/>
          <w:sz w:val="22"/>
          <w:szCs w:val="22"/>
        </w:rPr>
        <w:t xml:space="preserve"> </w:t>
      </w:r>
      <w:r w:rsidR="00433288" w:rsidRPr="5937A937">
        <w:rPr>
          <w:rFonts w:cs="Calibri"/>
          <w:color w:val="auto"/>
          <w:sz w:val="22"/>
          <w:szCs w:val="22"/>
          <w:lang w:val="en-GB"/>
        </w:rPr>
        <w:t>nitrogen</w:t>
      </w:r>
      <w:r w:rsidRPr="5937A937">
        <w:rPr>
          <w:rFonts w:cs="Calibri"/>
          <w:color w:val="auto"/>
          <w:sz w:val="22"/>
          <w:szCs w:val="22"/>
          <w:lang w:val="en-GB"/>
        </w:rPr>
        <w:t xml:space="preserve"> </w:t>
      </w:r>
      <w:r w:rsidR="6F527CE4" w:rsidRPr="5937A937">
        <w:rPr>
          <w:rFonts w:cs="Calibri"/>
          <w:color w:val="auto"/>
          <w:sz w:val="22"/>
          <w:szCs w:val="22"/>
          <w:lang w:val="en-GB"/>
        </w:rPr>
        <w:t>o</w:t>
      </w:r>
      <w:r w:rsidRPr="5937A937">
        <w:rPr>
          <w:rFonts w:cs="Calibri"/>
          <w:color w:val="auto"/>
          <w:sz w:val="22"/>
          <w:szCs w:val="22"/>
          <w:lang w:val="en-GB"/>
        </w:rPr>
        <w:t>xide (NOx)</w:t>
      </w:r>
      <w:r w:rsidR="3ADFA837" w:rsidRPr="5937A937">
        <w:rPr>
          <w:rFonts w:cs="Calibri"/>
          <w:color w:val="auto"/>
          <w:sz w:val="22"/>
          <w:szCs w:val="22"/>
          <w:lang w:val="en-GB"/>
        </w:rPr>
        <w:t>;</w:t>
      </w:r>
      <w:r w:rsidRPr="5937A937">
        <w:rPr>
          <w:rFonts w:cs="Calibri"/>
          <w:color w:val="auto"/>
          <w:sz w:val="22"/>
          <w:szCs w:val="22"/>
          <w:lang w:val="en-GB"/>
        </w:rPr>
        <w:t xml:space="preserve"> </w:t>
      </w:r>
      <w:proofErr w:type="spellStart"/>
      <w:r w:rsidR="6EADFB20" w:rsidRPr="5937A937">
        <w:rPr>
          <w:rFonts w:cs="Calibri"/>
          <w:color w:val="auto"/>
          <w:sz w:val="22"/>
          <w:szCs w:val="22"/>
          <w:lang w:val="en-GB"/>
        </w:rPr>
        <w:t>s</w:t>
      </w:r>
      <w:r w:rsidRPr="5937A937">
        <w:rPr>
          <w:rFonts w:cs="Calibri"/>
          <w:color w:val="auto"/>
          <w:sz w:val="22"/>
          <w:szCs w:val="22"/>
          <w:lang w:val="en-GB"/>
        </w:rPr>
        <w:t>ul</w:t>
      </w:r>
      <w:r w:rsidR="00B3418A">
        <w:rPr>
          <w:rFonts w:cs="Calibri"/>
          <w:color w:val="auto"/>
          <w:sz w:val="22"/>
          <w:szCs w:val="22"/>
          <w:lang w:val="en-GB"/>
        </w:rPr>
        <w:t>f</w:t>
      </w:r>
      <w:r w:rsidRPr="5937A937">
        <w:rPr>
          <w:rFonts w:cs="Calibri"/>
          <w:color w:val="auto"/>
          <w:sz w:val="22"/>
          <w:szCs w:val="22"/>
          <w:lang w:val="en-GB"/>
        </w:rPr>
        <w:t>ur</w:t>
      </w:r>
      <w:proofErr w:type="spellEnd"/>
      <w:r w:rsidRPr="5937A937">
        <w:rPr>
          <w:rFonts w:cs="Calibri"/>
          <w:color w:val="auto"/>
          <w:sz w:val="22"/>
          <w:szCs w:val="22"/>
          <w:lang w:val="en-GB"/>
        </w:rPr>
        <w:t xml:space="preserve"> </w:t>
      </w:r>
      <w:r w:rsidR="3478ED4D" w:rsidRPr="5937A937">
        <w:rPr>
          <w:rFonts w:cs="Calibri"/>
          <w:color w:val="auto"/>
          <w:sz w:val="22"/>
          <w:szCs w:val="22"/>
          <w:lang w:val="en-GB"/>
        </w:rPr>
        <w:t>o</w:t>
      </w:r>
      <w:r w:rsidRPr="5937A937">
        <w:rPr>
          <w:rFonts w:cs="Calibri"/>
          <w:color w:val="auto"/>
          <w:sz w:val="22"/>
          <w:szCs w:val="22"/>
          <w:lang w:val="en-GB"/>
        </w:rPr>
        <w:t>xide (</w:t>
      </w:r>
      <w:proofErr w:type="spellStart"/>
      <w:r w:rsidRPr="5937A937">
        <w:rPr>
          <w:rFonts w:cs="Calibri"/>
          <w:color w:val="auto"/>
          <w:sz w:val="22"/>
          <w:szCs w:val="22"/>
          <w:lang w:val="en-GB"/>
        </w:rPr>
        <w:t>SOx</w:t>
      </w:r>
      <w:proofErr w:type="spellEnd"/>
      <w:r w:rsidRPr="5937A937">
        <w:rPr>
          <w:rFonts w:cs="Calibri"/>
          <w:color w:val="auto"/>
          <w:sz w:val="22"/>
          <w:szCs w:val="22"/>
          <w:lang w:val="en-GB"/>
        </w:rPr>
        <w:t>)</w:t>
      </w:r>
      <w:r w:rsidR="3F09015E" w:rsidRPr="5937A937">
        <w:rPr>
          <w:rFonts w:cs="Calibri"/>
          <w:color w:val="auto"/>
          <w:sz w:val="22"/>
          <w:szCs w:val="22"/>
          <w:lang w:val="en-GB"/>
        </w:rPr>
        <w:t>;</w:t>
      </w:r>
      <w:r w:rsidRPr="5937A937">
        <w:rPr>
          <w:rFonts w:cs="Calibri"/>
          <w:color w:val="auto"/>
          <w:sz w:val="22"/>
          <w:szCs w:val="22"/>
          <w:lang w:val="en-GB"/>
        </w:rPr>
        <w:t xml:space="preserve"> </w:t>
      </w:r>
      <w:r w:rsidR="3865F3CD" w:rsidRPr="5937A937">
        <w:rPr>
          <w:rFonts w:cs="Calibri"/>
          <w:color w:val="auto"/>
          <w:sz w:val="22"/>
          <w:szCs w:val="22"/>
          <w:lang w:val="en-GB"/>
        </w:rPr>
        <w:t>v</w:t>
      </w:r>
      <w:r w:rsidRPr="5937A937">
        <w:rPr>
          <w:rFonts w:cs="Calibri"/>
          <w:color w:val="auto"/>
          <w:sz w:val="22"/>
          <w:szCs w:val="22"/>
          <w:lang w:val="en-GB"/>
        </w:rPr>
        <w:t xml:space="preserve">olatile </w:t>
      </w:r>
      <w:r w:rsidR="5FA88122" w:rsidRPr="5937A937">
        <w:rPr>
          <w:rFonts w:cs="Calibri"/>
          <w:color w:val="auto"/>
          <w:sz w:val="22"/>
          <w:szCs w:val="22"/>
          <w:lang w:val="en-GB"/>
        </w:rPr>
        <w:t>o</w:t>
      </w:r>
      <w:r w:rsidRPr="5937A937">
        <w:rPr>
          <w:rFonts w:cs="Calibri"/>
          <w:color w:val="auto"/>
          <w:sz w:val="22"/>
          <w:szCs w:val="22"/>
          <w:lang w:val="en-GB"/>
        </w:rPr>
        <w:t xml:space="preserve">rganic </w:t>
      </w:r>
      <w:r w:rsidR="4718CA9F" w:rsidRPr="5937A937">
        <w:rPr>
          <w:rFonts w:cs="Calibri"/>
          <w:color w:val="auto"/>
          <w:sz w:val="22"/>
          <w:szCs w:val="22"/>
          <w:lang w:val="en-GB"/>
        </w:rPr>
        <w:t>c</w:t>
      </w:r>
      <w:r w:rsidRPr="5937A937">
        <w:rPr>
          <w:rFonts w:cs="Calibri"/>
          <w:color w:val="auto"/>
          <w:sz w:val="22"/>
          <w:szCs w:val="22"/>
          <w:lang w:val="en-GB"/>
        </w:rPr>
        <w:t>ompounds (VOC)</w:t>
      </w:r>
      <w:r w:rsidR="27464845" w:rsidRPr="5937A937">
        <w:rPr>
          <w:rFonts w:cs="Calibri"/>
          <w:color w:val="auto"/>
          <w:sz w:val="22"/>
          <w:szCs w:val="22"/>
          <w:lang w:val="en-GB"/>
        </w:rPr>
        <w:t>;</w:t>
      </w:r>
      <w:r w:rsidR="002A2257">
        <w:rPr>
          <w:rFonts w:cs="Calibri"/>
          <w:color w:val="auto"/>
          <w:sz w:val="22"/>
          <w:szCs w:val="22"/>
          <w:lang w:val="en-GB"/>
        </w:rPr>
        <w:t xml:space="preserve"> and</w:t>
      </w:r>
      <w:r w:rsidRPr="5937A937">
        <w:rPr>
          <w:rFonts w:cs="Calibri"/>
          <w:color w:val="auto"/>
          <w:sz w:val="22"/>
          <w:szCs w:val="22"/>
          <w:lang w:val="en-GB"/>
        </w:rPr>
        <w:t xml:space="preserve"> </w:t>
      </w:r>
      <w:proofErr w:type="gramStart"/>
      <w:r w:rsidR="0C8A6DF5" w:rsidRPr="5937A937">
        <w:rPr>
          <w:rFonts w:cs="Calibri"/>
          <w:color w:val="auto"/>
          <w:sz w:val="22"/>
          <w:szCs w:val="22"/>
          <w:lang w:val="en-GB"/>
        </w:rPr>
        <w:t>p</w:t>
      </w:r>
      <w:r w:rsidRPr="5937A937">
        <w:rPr>
          <w:rFonts w:cs="Calibri"/>
          <w:color w:val="auto"/>
          <w:sz w:val="22"/>
          <w:szCs w:val="22"/>
          <w:lang w:val="en-GB"/>
        </w:rPr>
        <w:t xml:space="preserve">articular </w:t>
      </w:r>
      <w:r w:rsidR="4234A2E4" w:rsidRPr="5937A937">
        <w:rPr>
          <w:rFonts w:cs="Calibri"/>
          <w:color w:val="auto"/>
          <w:sz w:val="22"/>
          <w:szCs w:val="22"/>
          <w:lang w:val="en-GB"/>
        </w:rPr>
        <w:t>m</w:t>
      </w:r>
      <w:r w:rsidRPr="5937A937">
        <w:rPr>
          <w:rFonts w:cs="Calibri"/>
          <w:color w:val="auto"/>
          <w:sz w:val="22"/>
          <w:szCs w:val="22"/>
          <w:lang w:val="en-GB"/>
        </w:rPr>
        <w:t>atter</w:t>
      </w:r>
      <w:proofErr w:type="gramEnd"/>
      <w:r w:rsidRPr="5937A937">
        <w:rPr>
          <w:rFonts w:cs="Calibri"/>
          <w:color w:val="auto"/>
          <w:sz w:val="22"/>
          <w:szCs w:val="22"/>
          <w:lang w:val="en-GB"/>
        </w:rPr>
        <w:t xml:space="preserve"> (PM)</w:t>
      </w:r>
      <w:r w:rsidR="000E56EE">
        <w:rPr>
          <w:rFonts w:cs="Calibri"/>
          <w:color w:val="auto"/>
          <w:sz w:val="22"/>
          <w:szCs w:val="22"/>
          <w:lang w:val="en-GB"/>
        </w:rPr>
        <w:t xml:space="preserve"> </w:t>
      </w:r>
      <w:r w:rsidR="00037B04">
        <w:rPr>
          <w:rFonts w:cs="Calibri"/>
          <w:color w:val="auto"/>
          <w:sz w:val="22"/>
          <w:szCs w:val="22"/>
          <w:lang w:val="en-GB"/>
        </w:rPr>
        <w:t>(see table 1)</w:t>
      </w:r>
      <w:r w:rsidRPr="5937A937">
        <w:rPr>
          <w:rFonts w:cs="Calibri"/>
          <w:color w:val="auto"/>
          <w:sz w:val="22"/>
          <w:szCs w:val="22"/>
          <w:lang w:val="en-GB"/>
        </w:rPr>
        <w:t xml:space="preserve">. </w:t>
      </w:r>
      <w:r w:rsidR="00F05AD7">
        <w:rPr>
          <w:rFonts w:cs="Calibri"/>
          <w:color w:val="auto"/>
          <w:sz w:val="22"/>
          <w:szCs w:val="22"/>
        </w:rPr>
        <w:t>Limits</w:t>
      </w:r>
      <w:r w:rsidR="00F05AD7" w:rsidDel="00004694">
        <w:rPr>
          <w:rFonts w:cs="Calibri"/>
          <w:color w:val="auto"/>
          <w:sz w:val="22"/>
          <w:szCs w:val="22"/>
          <w:lang w:val="en-GB"/>
        </w:rPr>
        <w:t xml:space="preserve"> </w:t>
      </w:r>
      <w:r w:rsidR="00F05AD7">
        <w:rPr>
          <w:rFonts w:cs="Calibri"/>
          <w:color w:val="auto"/>
          <w:sz w:val="22"/>
          <w:szCs w:val="22"/>
          <w:lang w:val="en-GB"/>
        </w:rPr>
        <w:t xml:space="preserve">in the </w:t>
      </w:r>
      <w:r w:rsidR="00F05AD7">
        <w:rPr>
          <w:rFonts w:cs="Calibri"/>
          <w:color w:val="auto"/>
          <w:sz w:val="22"/>
          <w:szCs w:val="22"/>
        </w:rPr>
        <w:t>s</w:t>
      </w:r>
      <w:r w:rsidR="00D62160" w:rsidRPr="5937A937">
        <w:rPr>
          <w:rFonts w:cs="Calibri"/>
          <w:color w:val="auto"/>
          <w:sz w:val="22"/>
          <w:szCs w:val="22"/>
        </w:rPr>
        <w:t>u</w:t>
      </w:r>
      <w:r w:rsidR="00D62160">
        <w:rPr>
          <w:rFonts w:cs="Calibri"/>
          <w:color w:val="auto"/>
          <w:sz w:val="22"/>
          <w:szCs w:val="22"/>
        </w:rPr>
        <w:t>l</w:t>
      </w:r>
      <w:r w:rsidR="00D62160" w:rsidRPr="5937A937">
        <w:rPr>
          <w:rFonts w:cs="Calibri"/>
          <w:color w:val="auto"/>
          <w:sz w:val="22"/>
          <w:szCs w:val="22"/>
        </w:rPr>
        <w:t>fur</w:t>
      </w:r>
      <w:r w:rsidR="03018CFE" w:rsidRPr="5937A937">
        <w:rPr>
          <w:rFonts w:cs="Calibri"/>
          <w:color w:val="auto"/>
          <w:sz w:val="22"/>
          <w:szCs w:val="22"/>
        </w:rPr>
        <w:t xml:space="preserve"> </w:t>
      </w:r>
      <w:r w:rsidR="00F05AD7">
        <w:rPr>
          <w:rFonts w:cs="Calibri"/>
          <w:color w:val="auto"/>
          <w:sz w:val="22"/>
          <w:szCs w:val="22"/>
        </w:rPr>
        <w:t>content</w:t>
      </w:r>
      <w:r w:rsidR="03018CFE" w:rsidRPr="5937A937">
        <w:rPr>
          <w:rFonts w:cs="Calibri"/>
          <w:color w:val="auto"/>
          <w:sz w:val="22"/>
          <w:szCs w:val="22"/>
        </w:rPr>
        <w:t xml:space="preserve"> </w:t>
      </w:r>
      <w:r w:rsidR="00F05AD7">
        <w:rPr>
          <w:rFonts w:cs="Calibri"/>
          <w:color w:val="auto"/>
          <w:sz w:val="22"/>
          <w:szCs w:val="22"/>
        </w:rPr>
        <w:t xml:space="preserve">of the fuel </w:t>
      </w:r>
      <w:r w:rsidRPr="5937A937">
        <w:rPr>
          <w:rFonts w:cs="Calibri"/>
          <w:color w:val="auto"/>
          <w:sz w:val="22"/>
          <w:szCs w:val="22"/>
        </w:rPr>
        <w:t xml:space="preserve">were reduced from </w:t>
      </w:r>
      <w:r w:rsidR="00004694">
        <w:rPr>
          <w:rFonts w:cs="Calibri"/>
          <w:color w:val="auto"/>
          <w:sz w:val="22"/>
          <w:szCs w:val="22"/>
        </w:rPr>
        <w:t>3</w:t>
      </w:r>
      <w:r w:rsidRPr="5937A937">
        <w:rPr>
          <w:rFonts w:cs="Calibri"/>
          <w:color w:val="auto"/>
          <w:sz w:val="22"/>
          <w:szCs w:val="22"/>
        </w:rPr>
        <w:t>.5</w:t>
      </w:r>
      <w:r w:rsidR="00D9190A">
        <w:rPr>
          <w:rFonts w:cs="Calibri"/>
          <w:color w:val="auto"/>
          <w:sz w:val="22"/>
          <w:szCs w:val="22"/>
        </w:rPr>
        <w:t xml:space="preserve"> </w:t>
      </w:r>
      <w:r w:rsidRPr="5937A937">
        <w:rPr>
          <w:rFonts w:cs="Calibri"/>
          <w:color w:val="auto"/>
          <w:sz w:val="22"/>
          <w:szCs w:val="22"/>
        </w:rPr>
        <w:t>% to 0.5</w:t>
      </w:r>
      <w:r w:rsidR="00D9190A">
        <w:rPr>
          <w:rFonts w:cs="Calibri"/>
          <w:color w:val="auto"/>
          <w:sz w:val="22"/>
          <w:szCs w:val="22"/>
        </w:rPr>
        <w:t xml:space="preserve"> </w:t>
      </w:r>
      <w:r w:rsidRPr="5937A937">
        <w:rPr>
          <w:rFonts w:cs="Calibri"/>
          <w:color w:val="auto"/>
          <w:sz w:val="22"/>
          <w:szCs w:val="22"/>
        </w:rPr>
        <w:t>%</w:t>
      </w:r>
      <w:proofErr w:type="gramStart"/>
      <w:r w:rsidR="0051145B">
        <w:rPr>
          <w:rFonts w:cs="Calibri"/>
          <w:color w:val="auto"/>
          <w:sz w:val="22"/>
          <w:szCs w:val="22"/>
        </w:rPr>
        <w:t xml:space="preserve">. </w:t>
      </w:r>
      <w:r w:rsidR="00487622">
        <w:rPr>
          <w:rFonts w:cs="Calibri"/>
          <w:color w:val="auto"/>
          <w:sz w:val="22"/>
          <w:szCs w:val="22"/>
        </w:rPr>
        <w:t xml:space="preserve"> </w:t>
      </w:r>
      <w:proofErr w:type="gramEnd"/>
      <w:r w:rsidR="00487622">
        <w:rPr>
          <w:rFonts w:cs="Calibri"/>
          <w:color w:val="auto"/>
          <w:sz w:val="22"/>
          <w:szCs w:val="22"/>
        </w:rPr>
        <w:t xml:space="preserve">Whitin </w:t>
      </w:r>
      <w:r w:rsidR="009C2AA5">
        <w:rPr>
          <w:rFonts w:cs="Calibri"/>
          <w:color w:val="auto"/>
          <w:sz w:val="22"/>
          <w:szCs w:val="22"/>
        </w:rPr>
        <w:t>specific design</w:t>
      </w:r>
      <w:r w:rsidR="00D9190A">
        <w:rPr>
          <w:rFonts w:cs="Calibri"/>
          <w:color w:val="auto"/>
          <w:sz w:val="22"/>
          <w:szCs w:val="22"/>
        </w:rPr>
        <w:t>ated ECAs the limits were even stricter (0.1 %</w:t>
      </w:r>
      <w:r w:rsidR="00342B64">
        <w:rPr>
          <w:rFonts w:cs="Calibri"/>
          <w:color w:val="auto"/>
          <w:sz w:val="22"/>
          <w:szCs w:val="22"/>
        </w:rPr>
        <w:t xml:space="preserve">) </w:t>
      </w:r>
      <w:r w:rsidR="00D62160">
        <w:rPr>
          <w:rFonts w:cs="Calibri"/>
          <w:color w:val="auto"/>
          <w:sz w:val="22"/>
          <w:szCs w:val="22"/>
        </w:rPr>
        <w:fldChar w:fldCharType="begin" w:fldLock="1"/>
      </w:r>
      <w:r w:rsidR="00E41D89">
        <w:rPr>
          <w:rFonts w:cs="Calibri"/>
          <w:color w:val="auto"/>
          <w:sz w:val="22"/>
          <w:szCs w:val="22"/>
        </w:rPr>
        <w:instrText>ADDIN CSL_CITATION {"citationItems":[{"id":"ITEM-1","itemData":{"ISBN":"9789280117189","URL":"https://www.imo.org/en/MediaCentre/HotTopics/Pages/Sulphur-2020.aspx","abstract":"\"Sales number I666E\"--Title page verso.","accessed":{"date-parts":[["2021","9","19"]]},"author":[{"dropping-particle":"","family":"IMO","given":"","non-dropping-particle":"","parse-names":false,"suffix":""}],"container-title":"International Maritime Organization","id":"ITEM-1","issue":"January","issued":{"date-parts":[["2020"]]},"page":"97","title":"IMO 2020 – cutting sulphur oxide emissions","type":"webpage"},"uris":["http://www.mendeley.com/documents/?uuid=d4ab555b-0f0a-4a76-8a8c-724514ebf1c8"]}],"mendeley":{"formattedCitation":"(IMO, 2020)","plainTextFormattedCitation":"(IMO, 2020)","previouslyFormattedCitation":"(IMO, 2020)"},"properties":{"noteIndex":0},"schema":"https://github.com/citation-style-language/schema/raw/master/csl-citation.json"}</w:instrText>
      </w:r>
      <w:r w:rsidR="00D62160">
        <w:rPr>
          <w:rFonts w:cs="Calibri"/>
          <w:color w:val="auto"/>
          <w:sz w:val="22"/>
          <w:szCs w:val="22"/>
        </w:rPr>
        <w:fldChar w:fldCharType="separate"/>
      </w:r>
      <w:r w:rsidR="00D62160" w:rsidRPr="00D62160">
        <w:rPr>
          <w:rFonts w:cs="Calibri"/>
          <w:noProof/>
          <w:color w:val="auto"/>
          <w:sz w:val="22"/>
          <w:szCs w:val="22"/>
        </w:rPr>
        <w:t>(IMO, 2020)</w:t>
      </w:r>
      <w:r w:rsidR="00D62160">
        <w:rPr>
          <w:rFonts w:cs="Calibri"/>
          <w:color w:val="auto"/>
          <w:sz w:val="22"/>
          <w:szCs w:val="22"/>
        </w:rPr>
        <w:fldChar w:fldCharType="end"/>
      </w:r>
      <w:r w:rsidR="07F02BB6" w:rsidRPr="5937A937">
        <w:rPr>
          <w:rFonts w:cs="Calibri"/>
          <w:color w:val="auto"/>
          <w:sz w:val="22"/>
          <w:szCs w:val="22"/>
        </w:rPr>
        <w:t>.</w:t>
      </w:r>
      <w:r w:rsidR="5814ACF2" w:rsidRPr="5937A937">
        <w:rPr>
          <w:rFonts w:cs="Calibri"/>
          <w:color w:val="auto"/>
          <w:sz w:val="22"/>
          <w:szCs w:val="22"/>
        </w:rPr>
        <w:t xml:space="preserve"> </w:t>
      </w:r>
      <w:r w:rsidRPr="5937A937">
        <w:rPr>
          <w:rFonts w:cs="Calibri"/>
          <w:color w:val="auto"/>
          <w:sz w:val="22"/>
          <w:szCs w:val="22"/>
        </w:rPr>
        <w:t xml:space="preserve"> </w:t>
      </w:r>
      <w:r w:rsidR="7815FEC3" w:rsidRPr="5937A937">
        <w:rPr>
          <w:rFonts w:cs="Calibri"/>
          <w:color w:val="auto"/>
          <w:sz w:val="22"/>
          <w:szCs w:val="22"/>
        </w:rPr>
        <w:t xml:space="preserve">There are two possible alternatives to reduce </w:t>
      </w:r>
      <w:proofErr w:type="spellStart"/>
      <w:r w:rsidR="7815FEC3" w:rsidRPr="5937A937">
        <w:rPr>
          <w:rFonts w:cs="Calibri"/>
          <w:color w:val="auto"/>
          <w:sz w:val="22"/>
          <w:szCs w:val="22"/>
        </w:rPr>
        <w:t>SOx</w:t>
      </w:r>
      <w:proofErr w:type="spellEnd"/>
      <w:r w:rsidR="7815FEC3" w:rsidRPr="5937A937">
        <w:rPr>
          <w:rFonts w:cs="Calibri"/>
          <w:color w:val="auto"/>
          <w:sz w:val="22"/>
          <w:szCs w:val="22"/>
        </w:rPr>
        <w:t xml:space="preserve"> emission</w:t>
      </w:r>
      <w:r w:rsidR="00C45FEB">
        <w:rPr>
          <w:rFonts w:cs="Calibri"/>
          <w:color w:val="auto"/>
          <w:sz w:val="22"/>
          <w:szCs w:val="22"/>
        </w:rPr>
        <w:t xml:space="preserve"> namely</w:t>
      </w:r>
      <w:r w:rsidR="7815FEC3" w:rsidRPr="5937A937">
        <w:rPr>
          <w:rFonts w:cs="Calibri"/>
          <w:color w:val="auto"/>
          <w:sz w:val="22"/>
          <w:szCs w:val="22"/>
        </w:rPr>
        <w:t xml:space="preserve">, </w:t>
      </w:r>
      <w:r w:rsidR="48AC88A5" w:rsidRPr="5937A937">
        <w:rPr>
          <w:rFonts w:cs="Calibri"/>
          <w:color w:val="auto"/>
          <w:sz w:val="22"/>
          <w:szCs w:val="22"/>
        </w:rPr>
        <w:t xml:space="preserve">the </w:t>
      </w:r>
      <w:r w:rsidR="7815FEC3" w:rsidRPr="5937A937">
        <w:rPr>
          <w:rFonts w:cs="Calibri"/>
          <w:color w:val="auto"/>
          <w:sz w:val="22"/>
          <w:szCs w:val="22"/>
        </w:rPr>
        <w:t>use</w:t>
      </w:r>
      <w:r w:rsidRPr="5937A937">
        <w:rPr>
          <w:rFonts w:cs="Calibri"/>
          <w:color w:val="auto"/>
          <w:sz w:val="22"/>
          <w:szCs w:val="22"/>
        </w:rPr>
        <w:t xml:space="preserve"> </w:t>
      </w:r>
      <w:r w:rsidR="31FCEFA0" w:rsidRPr="5937A937">
        <w:rPr>
          <w:rFonts w:cs="Calibri"/>
          <w:color w:val="auto"/>
          <w:sz w:val="22"/>
          <w:szCs w:val="22"/>
        </w:rPr>
        <w:t xml:space="preserve">of </w:t>
      </w:r>
      <w:r w:rsidRPr="5937A937">
        <w:rPr>
          <w:rFonts w:cs="Calibri"/>
          <w:color w:val="auto"/>
          <w:sz w:val="22"/>
          <w:szCs w:val="22"/>
        </w:rPr>
        <w:t xml:space="preserve">low </w:t>
      </w:r>
      <w:r w:rsidR="628A71F0" w:rsidRPr="5937A937">
        <w:rPr>
          <w:rFonts w:cs="Calibri"/>
          <w:color w:val="auto"/>
          <w:sz w:val="22"/>
          <w:szCs w:val="22"/>
        </w:rPr>
        <w:t>sulfur fuels</w:t>
      </w:r>
      <w:r w:rsidR="7982692B" w:rsidRPr="5937A937">
        <w:rPr>
          <w:rFonts w:cs="Calibri"/>
          <w:color w:val="auto"/>
          <w:sz w:val="22"/>
          <w:szCs w:val="22"/>
        </w:rPr>
        <w:t xml:space="preserve"> or</w:t>
      </w:r>
      <w:r w:rsidRPr="5937A937">
        <w:rPr>
          <w:rFonts w:cs="Calibri"/>
          <w:color w:val="auto"/>
          <w:sz w:val="22"/>
          <w:szCs w:val="22"/>
        </w:rPr>
        <w:t xml:space="preserve"> scrubbers. </w:t>
      </w:r>
      <w:r w:rsidR="72B49509" w:rsidRPr="5937A937">
        <w:rPr>
          <w:rFonts w:cs="Calibri"/>
          <w:color w:val="auto"/>
          <w:sz w:val="22"/>
          <w:szCs w:val="22"/>
        </w:rPr>
        <w:t xml:space="preserve">This is particularly relevant in the context of </w:t>
      </w:r>
      <w:proofErr w:type="gramStart"/>
      <w:r w:rsidR="72B49509" w:rsidRPr="5937A937">
        <w:rPr>
          <w:rFonts w:cs="Calibri"/>
          <w:color w:val="auto"/>
          <w:sz w:val="22"/>
          <w:szCs w:val="22"/>
        </w:rPr>
        <w:t>IDEALFUEL, since</w:t>
      </w:r>
      <w:proofErr w:type="gramEnd"/>
      <w:r w:rsidR="72B49509" w:rsidRPr="5937A937">
        <w:rPr>
          <w:rFonts w:cs="Calibri"/>
          <w:color w:val="auto"/>
          <w:sz w:val="22"/>
          <w:szCs w:val="22"/>
        </w:rPr>
        <w:t xml:space="preserve"> low </w:t>
      </w:r>
      <w:r w:rsidR="00347B73">
        <w:rPr>
          <w:rFonts w:cs="Calibri"/>
          <w:color w:val="auto"/>
          <w:sz w:val="22"/>
          <w:szCs w:val="22"/>
        </w:rPr>
        <w:t>s</w:t>
      </w:r>
      <w:r w:rsidR="72B49509" w:rsidRPr="5937A937">
        <w:rPr>
          <w:rFonts w:cs="Calibri"/>
          <w:color w:val="auto"/>
          <w:sz w:val="22"/>
          <w:szCs w:val="22"/>
        </w:rPr>
        <w:t>ul</w:t>
      </w:r>
      <w:r w:rsidR="00347B73">
        <w:rPr>
          <w:rFonts w:cs="Calibri"/>
          <w:color w:val="auto"/>
          <w:sz w:val="22"/>
          <w:szCs w:val="22"/>
        </w:rPr>
        <w:t>f</w:t>
      </w:r>
      <w:r w:rsidR="72B49509" w:rsidRPr="5937A937">
        <w:rPr>
          <w:rFonts w:cs="Calibri"/>
          <w:color w:val="auto"/>
          <w:sz w:val="22"/>
          <w:szCs w:val="22"/>
        </w:rPr>
        <w:t xml:space="preserve">ur fuels can benefit from a premium price. </w:t>
      </w:r>
    </w:p>
    <w:p w14:paraId="354ECD94" w14:textId="77777777" w:rsidR="00DF3F0E" w:rsidRDefault="00DF3F0E" w:rsidP="00DC3405">
      <w:pPr>
        <w:spacing w:after="120" w:line="360" w:lineRule="auto"/>
        <w:rPr>
          <w:rFonts w:cs="Calibri"/>
          <w:color w:val="auto"/>
          <w:sz w:val="22"/>
          <w:szCs w:val="22"/>
        </w:rPr>
      </w:pPr>
    </w:p>
    <w:p w14:paraId="7D6BF761" w14:textId="2B0AAEA2" w:rsidR="00E54BBD" w:rsidRDefault="00E54BBD" w:rsidP="00E54BBD">
      <w:pPr>
        <w:pStyle w:val="Caption"/>
        <w:keepNext/>
      </w:pPr>
      <w:bookmarkStart w:id="13" w:name="_Toc85627887"/>
      <w:bookmarkStart w:id="14" w:name="_Toc85627893"/>
      <w:r>
        <w:t xml:space="preserve">Table </w:t>
      </w:r>
      <w:fldSimple w:instr=" SEQ Table \* ARABIC ">
        <w:r w:rsidR="008027AE">
          <w:rPr>
            <w:noProof/>
          </w:rPr>
          <w:t>1</w:t>
        </w:r>
      </w:fldSimple>
      <w:r>
        <w:t>. Annex VI NO</w:t>
      </w:r>
      <w:r w:rsidRPr="00E54BBD">
        <w:rPr>
          <w:vertAlign w:val="subscript"/>
        </w:rPr>
        <w:t>x</w:t>
      </w:r>
      <w:r>
        <w:t xml:space="preserve"> emissions limits by Tier</w:t>
      </w:r>
      <w:bookmarkEnd w:id="13"/>
      <w:bookmarkEnd w:id="14"/>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5"/>
        <w:gridCol w:w="1925"/>
        <w:gridCol w:w="1926"/>
        <w:gridCol w:w="1926"/>
        <w:gridCol w:w="1926"/>
      </w:tblGrid>
      <w:tr w:rsidR="00D25B19" w:rsidRPr="00E54BBD" w14:paraId="47925F31" w14:textId="77777777" w:rsidTr="00E54BBD">
        <w:trPr>
          <w:jc w:val="center"/>
        </w:trPr>
        <w:tc>
          <w:tcPr>
            <w:tcW w:w="1925" w:type="dxa"/>
            <w:vMerge w:val="restart"/>
            <w:vAlign w:val="center"/>
          </w:tcPr>
          <w:p w14:paraId="6AD9A03D" w14:textId="08D14DBF" w:rsidR="00D25B19" w:rsidRPr="00AD1ED7" w:rsidRDefault="00D25B19" w:rsidP="00E54BBD">
            <w:pPr>
              <w:spacing w:before="120" w:after="120"/>
              <w:jc w:val="center"/>
              <w:rPr>
                <w:rFonts w:cs="Calibri"/>
                <w:b/>
                <w:bCs/>
                <w:color w:val="auto"/>
                <w:sz w:val="18"/>
                <w:szCs w:val="18"/>
              </w:rPr>
            </w:pPr>
            <w:r w:rsidRPr="00AD1ED7">
              <w:rPr>
                <w:rFonts w:cs="Calibri"/>
                <w:b/>
                <w:bCs/>
                <w:color w:val="auto"/>
                <w:sz w:val="18"/>
                <w:szCs w:val="18"/>
              </w:rPr>
              <w:t>Tier</w:t>
            </w:r>
          </w:p>
        </w:tc>
        <w:tc>
          <w:tcPr>
            <w:tcW w:w="1925" w:type="dxa"/>
            <w:vMerge w:val="restart"/>
            <w:vAlign w:val="center"/>
          </w:tcPr>
          <w:p w14:paraId="39E5366D" w14:textId="7955B8DA" w:rsidR="00D25B19" w:rsidRPr="00AD1ED7" w:rsidRDefault="00D25B19" w:rsidP="00E54BBD">
            <w:pPr>
              <w:spacing w:before="120" w:after="120"/>
              <w:jc w:val="center"/>
              <w:rPr>
                <w:rFonts w:cs="Calibri"/>
                <w:b/>
                <w:bCs/>
                <w:color w:val="auto"/>
                <w:sz w:val="18"/>
                <w:szCs w:val="18"/>
              </w:rPr>
            </w:pPr>
            <w:r w:rsidRPr="00AD1ED7">
              <w:rPr>
                <w:rFonts w:cs="Calibri"/>
                <w:b/>
                <w:bCs/>
                <w:color w:val="auto"/>
                <w:sz w:val="18"/>
                <w:szCs w:val="18"/>
              </w:rPr>
              <w:t>Date</w:t>
            </w:r>
          </w:p>
        </w:tc>
        <w:tc>
          <w:tcPr>
            <w:tcW w:w="5778" w:type="dxa"/>
            <w:gridSpan w:val="3"/>
            <w:vAlign w:val="center"/>
          </w:tcPr>
          <w:p w14:paraId="528B5D98" w14:textId="07AEFB20" w:rsidR="00D25B19" w:rsidRPr="00AD1ED7" w:rsidRDefault="00D25B19" w:rsidP="00E54BBD">
            <w:pPr>
              <w:spacing w:before="120" w:after="120"/>
              <w:jc w:val="center"/>
              <w:rPr>
                <w:rFonts w:cs="Calibri"/>
                <w:b/>
                <w:bCs/>
                <w:color w:val="auto"/>
                <w:sz w:val="18"/>
                <w:szCs w:val="18"/>
              </w:rPr>
            </w:pPr>
            <w:r w:rsidRPr="00AD1ED7">
              <w:rPr>
                <w:rFonts w:cs="Calibri"/>
                <w:b/>
                <w:bCs/>
                <w:color w:val="auto"/>
                <w:sz w:val="18"/>
                <w:szCs w:val="18"/>
              </w:rPr>
              <w:t>NOx Limit [g/kWh]</w:t>
            </w:r>
          </w:p>
        </w:tc>
      </w:tr>
      <w:tr w:rsidR="00D25B19" w:rsidRPr="00E54BBD" w14:paraId="7655BD50" w14:textId="77777777" w:rsidTr="00E54BBD">
        <w:trPr>
          <w:jc w:val="center"/>
        </w:trPr>
        <w:tc>
          <w:tcPr>
            <w:tcW w:w="1925" w:type="dxa"/>
            <w:vMerge/>
            <w:tcBorders>
              <w:bottom w:val="single" w:sz="4" w:space="0" w:color="auto"/>
            </w:tcBorders>
            <w:vAlign w:val="center"/>
          </w:tcPr>
          <w:p w14:paraId="555AC5DF" w14:textId="77777777" w:rsidR="00D25B19" w:rsidRPr="00AD1ED7" w:rsidRDefault="00D25B19" w:rsidP="00E54BBD">
            <w:pPr>
              <w:spacing w:before="120" w:after="120"/>
              <w:jc w:val="center"/>
              <w:rPr>
                <w:rFonts w:cs="Calibri"/>
                <w:b/>
                <w:bCs/>
                <w:color w:val="auto"/>
                <w:sz w:val="18"/>
                <w:szCs w:val="18"/>
              </w:rPr>
            </w:pPr>
          </w:p>
        </w:tc>
        <w:tc>
          <w:tcPr>
            <w:tcW w:w="1925" w:type="dxa"/>
            <w:vMerge/>
            <w:tcBorders>
              <w:bottom w:val="single" w:sz="4" w:space="0" w:color="auto"/>
            </w:tcBorders>
            <w:vAlign w:val="center"/>
          </w:tcPr>
          <w:p w14:paraId="1665EB82" w14:textId="77777777" w:rsidR="00D25B19" w:rsidRPr="00AD1ED7" w:rsidRDefault="00D25B19" w:rsidP="00E54BBD">
            <w:pPr>
              <w:spacing w:before="120" w:after="120"/>
              <w:jc w:val="center"/>
              <w:rPr>
                <w:rFonts w:cs="Calibri"/>
                <w:b/>
                <w:bCs/>
                <w:color w:val="auto"/>
                <w:sz w:val="18"/>
                <w:szCs w:val="18"/>
              </w:rPr>
            </w:pPr>
          </w:p>
        </w:tc>
        <w:tc>
          <w:tcPr>
            <w:tcW w:w="1926" w:type="dxa"/>
            <w:tcBorders>
              <w:bottom w:val="single" w:sz="4" w:space="0" w:color="auto"/>
            </w:tcBorders>
            <w:vAlign w:val="center"/>
          </w:tcPr>
          <w:p w14:paraId="5F08987E" w14:textId="3CC08620" w:rsidR="00D25B19" w:rsidRPr="00AD1ED7" w:rsidRDefault="00D25B19" w:rsidP="00E54BBD">
            <w:pPr>
              <w:spacing w:before="120" w:after="120"/>
              <w:jc w:val="center"/>
              <w:rPr>
                <w:rFonts w:cs="Calibri"/>
                <w:b/>
                <w:bCs/>
                <w:color w:val="auto"/>
                <w:sz w:val="18"/>
                <w:szCs w:val="18"/>
              </w:rPr>
            </w:pPr>
            <w:r w:rsidRPr="00AD1ED7">
              <w:rPr>
                <w:rFonts w:cs="Calibri"/>
                <w:b/>
                <w:bCs/>
                <w:color w:val="auto"/>
                <w:sz w:val="18"/>
                <w:szCs w:val="18"/>
              </w:rPr>
              <w:t>n &lt; 130</w:t>
            </w:r>
          </w:p>
        </w:tc>
        <w:tc>
          <w:tcPr>
            <w:tcW w:w="1926" w:type="dxa"/>
            <w:tcBorders>
              <w:bottom w:val="single" w:sz="4" w:space="0" w:color="auto"/>
            </w:tcBorders>
            <w:vAlign w:val="center"/>
          </w:tcPr>
          <w:p w14:paraId="67CEF170" w14:textId="33AEA86C" w:rsidR="00D25B19" w:rsidRPr="00AD1ED7" w:rsidRDefault="00D25B19" w:rsidP="00E54BBD">
            <w:pPr>
              <w:spacing w:before="120" w:after="120"/>
              <w:jc w:val="center"/>
              <w:rPr>
                <w:rFonts w:cs="Calibri"/>
                <w:b/>
                <w:bCs/>
                <w:color w:val="auto"/>
                <w:sz w:val="18"/>
                <w:szCs w:val="18"/>
              </w:rPr>
            </w:pPr>
            <w:r w:rsidRPr="00AD1ED7">
              <w:rPr>
                <w:rFonts w:cs="Calibri"/>
                <w:b/>
                <w:bCs/>
                <w:color w:val="auto"/>
                <w:sz w:val="18"/>
                <w:szCs w:val="18"/>
              </w:rPr>
              <w:t>130 ≤ n &lt; 2000</w:t>
            </w:r>
          </w:p>
        </w:tc>
        <w:tc>
          <w:tcPr>
            <w:tcW w:w="1926" w:type="dxa"/>
            <w:tcBorders>
              <w:bottom w:val="single" w:sz="4" w:space="0" w:color="auto"/>
            </w:tcBorders>
            <w:vAlign w:val="center"/>
          </w:tcPr>
          <w:p w14:paraId="09114376" w14:textId="43C0210B" w:rsidR="00D25B19" w:rsidRPr="00AD1ED7" w:rsidRDefault="00D25B19" w:rsidP="00E54BBD">
            <w:pPr>
              <w:spacing w:before="120" w:after="120"/>
              <w:jc w:val="center"/>
              <w:rPr>
                <w:rFonts w:cs="Calibri"/>
                <w:b/>
                <w:bCs/>
                <w:color w:val="auto"/>
                <w:sz w:val="18"/>
                <w:szCs w:val="18"/>
              </w:rPr>
            </w:pPr>
            <w:r w:rsidRPr="00AD1ED7">
              <w:rPr>
                <w:rFonts w:cs="Calibri"/>
                <w:b/>
                <w:bCs/>
                <w:color w:val="auto"/>
                <w:sz w:val="18"/>
                <w:szCs w:val="18"/>
              </w:rPr>
              <w:t>n ≥ 2000</w:t>
            </w:r>
          </w:p>
        </w:tc>
      </w:tr>
      <w:tr w:rsidR="00394CCB" w:rsidRPr="00E54BBD" w14:paraId="4D6E4165" w14:textId="77777777" w:rsidTr="00E54BBD">
        <w:trPr>
          <w:jc w:val="center"/>
        </w:trPr>
        <w:tc>
          <w:tcPr>
            <w:tcW w:w="1925" w:type="dxa"/>
            <w:tcBorders>
              <w:top w:val="single" w:sz="4" w:space="0" w:color="auto"/>
            </w:tcBorders>
            <w:vAlign w:val="center"/>
          </w:tcPr>
          <w:p w14:paraId="524C8FC9" w14:textId="650152EA" w:rsidR="00671FF9" w:rsidRPr="00E54BBD" w:rsidRDefault="00D25B19" w:rsidP="00E54BBD">
            <w:pPr>
              <w:spacing w:before="120" w:after="120"/>
              <w:jc w:val="center"/>
              <w:rPr>
                <w:rFonts w:cs="Calibri"/>
                <w:color w:val="auto"/>
                <w:sz w:val="18"/>
                <w:szCs w:val="18"/>
              </w:rPr>
            </w:pPr>
            <w:r w:rsidRPr="00E54BBD">
              <w:rPr>
                <w:rFonts w:cs="Calibri"/>
                <w:color w:val="auto"/>
                <w:sz w:val="18"/>
                <w:szCs w:val="18"/>
              </w:rPr>
              <w:t>Tie</w:t>
            </w:r>
            <w:r w:rsidR="00671FF9" w:rsidRPr="00E54BBD">
              <w:rPr>
                <w:rFonts w:cs="Calibri"/>
                <w:color w:val="auto"/>
                <w:sz w:val="18"/>
                <w:szCs w:val="18"/>
              </w:rPr>
              <w:t>r I</w:t>
            </w:r>
          </w:p>
        </w:tc>
        <w:tc>
          <w:tcPr>
            <w:tcW w:w="1925" w:type="dxa"/>
            <w:tcBorders>
              <w:top w:val="single" w:sz="4" w:space="0" w:color="auto"/>
            </w:tcBorders>
            <w:vAlign w:val="center"/>
          </w:tcPr>
          <w:p w14:paraId="5E34F73F" w14:textId="03214475" w:rsidR="00394CCB" w:rsidRPr="00E54BBD" w:rsidRDefault="00FC7DD1" w:rsidP="00E54BBD">
            <w:pPr>
              <w:spacing w:before="120" w:after="120"/>
              <w:jc w:val="center"/>
              <w:rPr>
                <w:rFonts w:cs="Calibri"/>
                <w:color w:val="auto"/>
                <w:sz w:val="18"/>
                <w:szCs w:val="18"/>
              </w:rPr>
            </w:pPr>
            <w:r w:rsidRPr="00E54BBD">
              <w:rPr>
                <w:rFonts w:cs="Calibri"/>
                <w:color w:val="auto"/>
                <w:sz w:val="18"/>
                <w:szCs w:val="18"/>
              </w:rPr>
              <w:t>2000</w:t>
            </w:r>
          </w:p>
        </w:tc>
        <w:tc>
          <w:tcPr>
            <w:tcW w:w="1926" w:type="dxa"/>
            <w:tcBorders>
              <w:top w:val="single" w:sz="4" w:space="0" w:color="auto"/>
            </w:tcBorders>
            <w:vAlign w:val="center"/>
          </w:tcPr>
          <w:p w14:paraId="30FE14F0" w14:textId="367AC472" w:rsidR="00394CCB" w:rsidRPr="00E54BBD" w:rsidRDefault="00182601" w:rsidP="00E54BBD">
            <w:pPr>
              <w:spacing w:before="120" w:after="120"/>
              <w:jc w:val="center"/>
              <w:rPr>
                <w:rFonts w:cs="Calibri"/>
                <w:color w:val="auto"/>
                <w:sz w:val="18"/>
                <w:szCs w:val="18"/>
              </w:rPr>
            </w:pPr>
            <w:r w:rsidRPr="00E54BBD">
              <w:rPr>
                <w:rFonts w:cs="Calibri"/>
                <w:color w:val="auto"/>
                <w:sz w:val="18"/>
                <w:szCs w:val="18"/>
              </w:rPr>
              <w:t>17</w:t>
            </w:r>
          </w:p>
        </w:tc>
        <w:tc>
          <w:tcPr>
            <w:tcW w:w="1926" w:type="dxa"/>
            <w:tcBorders>
              <w:top w:val="single" w:sz="4" w:space="0" w:color="auto"/>
            </w:tcBorders>
            <w:vAlign w:val="center"/>
          </w:tcPr>
          <w:p w14:paraId="1E7607FE" w14:textId="35ACCF95" w:rsidR="00394CCB" w:rsidRPr="00E54BBD" w:rsidRDefault="00F931B6" w:rsidP="00E54BBD">
            <w:pPr>
              <w:spacing w:before="120" w:after="120"/>
              <w:jc w:val="center"/>
              <w:rPr>
                <w:rFonts w:cs="Calibri"/>
                <w:color w:val="auto"/>
                <w:sz w:val="18"/>
                <w:szCs w:val="18"/>
              </w:rPr>
            </w:pPr>
            <w:r w:rsidRPr="00E54BBD">
              <w:rPr>
                <w:rFonts w:cs="Calibri"/>
                <w:color w:val="auto"/>
                <w:sz w:val="18"/>
                <w:szCs w:val="18"/>
              </w:rPr>
              <w:t>45 · n</w:t>
            </w:r>
            <w:r w:rsidRPr="00E54BBD">
              <w:rPr>
                <w:rFonts w:cs="Calibri"/>
                <w:color w:val="auto"/>
                <w:sz w:val="18"/>
                <w:szCs w:val="18"/>
                <w:vertAlign w:val="superscript"/>
              </w:rPr>
              <w:t>-0.2</w:t>
            </w:r>
          </w:p>
        </w:tc>
        <w:tc>
          <w:tcPr>
            <w:tcW w:w="1926" w:type="dxa"/>
            <w:tcBorders>
              <w:top w:val="single" w:sz="4" w:space="0" w:color="auto"/>
            </w:tcBorders>
            <w:vAlign w:val="center"/>
          </w:tcPr>
          <w:p w14:paraId="311D55B8" w14:textId="79FD9E63" w:rsidR="00394CCB" w:rsidRPr="00E54BBD" w:rsidRDefault="00182601" w:rsidP="00E54BBD">
            <w:pPr>
              <w:spacing w:before="120" w:after="120"/>
              <w:jc w:val="center"/>
              <w:rPr>
                <w:rFonts w:cs="Calibri"/>
                <w:color w:val="auto"/>
                <w:sz w:val="18"/>
                <w:szCs w:val="18"/>
              </w:rPr>
            </w:pPr>
            <w:r w:rsidRPr="00E54BBD">
              <w:rPr>
                <w:rFonts w:cs="Calibri"/>
                <w:color w:val="auto"/>
                <w:sz w:val="18"/>
                <w:szCs w:val="18"/>
              </w:rPr>
              <w:t>9.8</w:t>
            </w:r>
          </w:p>
        </w:tc>
      </w:tr>
      <w:tr w:rsidR="00394CCB" w:rsidRPr="00E54BBD" w14:paraId="5156B527" w14:textId="77777777" w:rsidTr="00E54BBD">
        <w:trPr>
          <w:jc w:val="center"/>
        </w:trPr>
        <w:tc>
          <w:tcPr>
            <w:tcW w:w="1925" w:type="dxa"/>
            <w:vAlign w:val="center"/>
          </w:tcPr>
          <w:p w14:paraId="19CF9975" w14:textId="6DCB92BC" w:rsidR="00394CCB" w:rsidRPr="00E54BBD" w:rsidRDefault="00671FF9" w:rsidP="00E54BBD">
            <w:pPr>
              <w:spacing w:before="120" w:after="120"/>
              <w:jc w:val="center"/>
              <w:rPr>
                <w:rFonts w:cs="Calibri"/>
                <w:color w:val="auto"/>
                <w:sz w:val="18"/>
                <w:szCs w:val="18"/>
              </w:rPr>
            </w:pPr>
            <w:r w:rsidRPr="00E54BBD">
              <w:rPr>
                <w:rFonts w:cs="Calibri"/>
                <w:color w:val="auto"/>
                <w:sz w:val="18"/>
                <w:szCs w:val="18"/>
              </w:rPr>
              <w:t>Tier II*</w:t>
            </w:r>
          </w:p>
        </w:tc>
        <w:tc>
          <w:tcPr>
            <w:tcW w:w="1925" w:type="dxa"/>
            <w:vAlign w:val="center"/>
          </w:tcPr>
          <w:p w14:paraId="4C3EE835" w14:textId="711C0D6B" w:rsidR="00394CCB" w:rsidRPr="00E54BBD" w:rsidRDefault="00FC7DD1" w:rsidP="00E54BBD">
            <w:pPr>
              <w:spacing w:before="120" w:after="120"/>
              <w:jc w:val="center"/>
              <w:rPr>
                <w:rFonts w:cs="Calibri"/>
                <w:color w:val="auto"/>
                <w:sz w:val="18"/>
                <w:szCs w:val="18"/>
              </w:rPr>
            </w:pPr>
            <w:r w:rsidRPr="00E54BBD">
              <w:rPr>
                <w:rFonts w:cs="Calibri"/>
                <w:color w:val="auto"/>
                <w:sz w:val="18"/>
                <w:szCs w:val="18"/>
              </w:rPr>
              <w:t>2011</w:t>
            </w:r>
          </w:p>
        </w:tc>
        <w:tc>
          <w:tcPr>
            <w:tcW w:w="1926" w:type="dxa"/>
            <w:vAlign w:val="center"/>
          </w:tcPr>
          <w:p w14:paraId="245F16C4" w14:textId="66F0AE1A" w:rsidR="00394CCB" w:rsidRPr="00E54BBD" w:rsidRDefault="00182601" w:rsidP="00E54BBD">
            <w:pPr>
              <w:spacing w:before="120" w:after="120"/>
              <w:jc w:val="center"/>
              <w:rPr>
                <w:rFonts w:cs="Calibri"/>
                <w:color w:val="auto"/>
                <w:sz w:val="18"/>
                <w:szCs w:val="18"/>
              </w:rPr>
            </w:pPr>
            <w:r w:rsidRPr="00E54BBD">
              <w:rPr>
                <w:rFonts w:cs="Calibri"/>
                <w:color w:val="auto"/>
                <w:sz w:val="18"/>
                <w:szCs w:val="18"/>
              </w:rPr>
              <w:t>14.4</w:t>
            </w:r>
          </w:p>
        </w:tc>
        <w:tc>
          <w:tcPr>
            <w:tcW w:w="1926" w:type="dxa"/>
            <w:vAlign w:val="center"/>
          </w:tcPr>
          <w:p w14:paraId="6EF92B0D" w14:textId="275AFA5C" w:rsidR="00394CCB" w:rsidRPr="00E54BBD" w:rsidRDefault="00E928C7" w:rsidP="00E54BBD">
            <w:pPr>
              <w:spacing w:before="120" w:after="120"/>
              <w:jc w:val="center"/>
              <w:rPr>
                <w:rFonts w:cs="Calibri"/>
                <w:color w:val="auto"/>
                <w:sz w:val="18"/>
                <w:szCs w:val="18"/>
              </w:rPr>
            </w:pPr>
            <w:r w:rsidRPr="00E54BBD">
              <w:rPr>
                <w:rFonts w:cs="Calibri"/>
                <w:color w:val="auto"/>
                <w:sz w:val="18"/>
                <w:szCs w:val="18"/>
              </w:rPr>
              <w:t>44 · n</w:t>
            </w:r>
            <w:r w:rsidRPr="00E54BBD">
              <w:rPr>
                <w:rFonts w:cs="Calibri"/>
                <w:color w:val="auto"/>
                <w:sz w:val="18"/>
                <w:szCs w:val="18"/>
                <w:vertAlign w:val="superscript"/>
              </w:rPr>
              <w:t>-0.2</w:t>
            </w:r>
          </w:p>
        </w:tc>
        <w:tc>
          <w:tcPr>
            <w:tcW w:w="1926" w:type="dxa"/>
            <w:vAlign w:val="center"/>
          </w:tcPr>
          <w:p w14:paraId="67F5875C" w14:textId="6ABD2159" w:rsidR="00394CCB" w:rsidRPr="00E54BBD" w:rsidRDefault="00182601" w:rsidP="00E54BBD">
            <w:pPr>
              <w:spacing w:before="120" w:after="120"/>
              <w:jc w:val="center"/>
              <w:rPr>
                <w:rFonts w:cs="Calibri"/>
                <w:color w:val="auto"/>
                <w:sz w:val="18"/>
                <w:szCs w:val="18"/>
              </w:rPr>
            </w:pPr>
            <w:r w:rsidRPr="00E54BBD">
              <w:rPr>
                <w:rFonts w:cs="Calibri"/>
                <w:color w:val="auto"/>
                <w:sz w:val="18"/>
                <w:szCs w:val="18"/>
              </w:rPr>
              <w:t>7.7</w:t>
            </w:r>
          </w:p>
        </w:tc>
      </w:tr>
      <w:tr w:rsidR="00671FF9" w:rsidRPr="00E54BBD" w14:paraId="5E5FD400" w14:textId="77777777" w:rsidTr="00E54BBD">
        <w:trPr>
          <w:jc w:val="center"/>
        </w:trPr>
        <w:tc>
          <w:tcPr>
            <w:tcW w:w="1925" w:type="dxa"/>
            <w:tcBorders>
              <w:bottom w:val="single" w:sz="4" w:space="0" w:color="auto"/>
            </w:tcBorders>
            <w:vAlign w:val="center"/>
          </w:tcPr>
          <w:p w14:paraId="27FC0D67" w14:textId="017ABD54" w:rsidR="00671FF9" w:rsidRPr="00E54BBD" w:rsidRDefault="00671FF9" w:rsidP="00E54BBD">
            <w:pPr>
              <w:spacing w:before="120" w:after="120"/>
              <w:jc w:val="center"/>
              <w:rPr>
                <w:rFonts w:cs="Calibri"/>
                <w:color w:val="auto"/>
                <w:sz w:val="18"/>
                <w:szCs w:val="18"/>
              </w:rPr>
            </w:pPr>
            <w:r w:rsidRPr="00E54BBD">
              <w:rPr>
                <w:rFonts w:cs="Calibri"/>
                <w:color w:val="auto"/>
                <w:sz w:val="18"/>
                <w:szCs w:val="18"/>
              </w:rPr>
              <w:t>Tier III</w:t>
            </w:r>
            <w:r w:rsidR="00DA728D" w:rsidRPr="00E54BBD">
              <w:rPr>
                <w:rFonts w:cs="Calibri"/>
                <w:color w:val="auto"/>
                <w:sz w:val="18"/>
                <w:szCs w:val="18"/>
              </w:rPr>
              <w:t>**</w:t>
            </w:r>
          </w:p>
        </w:tc>
        <w:tc>
          <w:tcPr>
            <w:tcW w:w="1925" w:type="dxa"/>
            <w:tcBorders>
              <w:bottom w:val="single" w:sz="4" w:space="0" w:color="auto"/>
            </w:tcBorders>
            <w:vAlign w:val="center"/>
          </w:tcPr>
          <w:p w14:paraId="0B9AED6E" w14:textId="0E9E1C66" w:rsidR="00671FF9" w:rsidRPr="00E54BBD" w:rsidRDefault="00182601" w:rsidP="00E54BBD">
            <w:pPr>
              <w:spacing w:before="120" w:after="120"/>
              <w:jc w:val="center"/>
              <w:rPr>
                <w:rFonts w:cs="Calibri"/>
                <w:color w:val="auto"/>
                <w:sz w:val="18"/>
                <w:szCs w:val="18"/>
              </w:rPr>
            </w:pPr>
            <w:r w:rsidRPr="00E54BBD">
              <w:rPr>
                <w:rFonts w:cs="Calibri"/>
                <w:color w:val="auto"/>
                <w:sz w:val="18"/>
                <w:szCs w:val="18"/>
              </w:rPr>
              <w:t>2016</w:t>
            </w:r>
          </w:p>
        </w:tc>
        <w:tc>
          <w:tcPr>
            <w:tcW w:w="1926" w:type="dxa"/>
            <w:tcBorders>
              <w:bottom w:val="single" w:sz="4" w:space="0" w:color="auto"/>
            </w:tcBorders>
            <w:vAlign w:val="center"/>
          </w:tcPr>
          <w:p w14:paraId="5193539A" w14:textId="6FDADAB1" w:rsidR="00671FF9" w:rsidRPr="00E54BBD" w:rsidRDefault="00182601" w:rsidP="00E54BBD">
            <w:pPr>
              <w:spacing w:before="120" w:after="120"/>
              <w:jc w:val="center"/>
              <w:rPr>
                <w:rFonts w:cs="Calibri"/>
                <w:color w:val="auto"/>
                <w:sz w:val="18"/>
                <w:szCs w:val="18"/>
              </w:rPr>
            </w:pPr>
            <w:r w:rsidRPr="00E54BBD">
              <w:rPr>
                <w:rFonts w:cs="Calibri"/>
                <w:color w:val="auto"/>
                <w:sz w:val="18"/>
                <w:szCs w:val="18"/>
              </w:rPr>
              <w:t>3.4</w:t>
            </w:r>
          </w:p>
        </w:tc>
        <w:tc>
          <w:tcPr>
            <w:tcW w:w="1926" w:type="dxa"/>
            <w:tcBorders>
              <w:bottom w:val="single" w:sz="4" w:space="0" w:color="auto"/>
            </w:tcBorders>
            <w:vAlign w:val="center"/>
          </w:tcPr>
          <w:p w14:paraId="1BFB0F18" w14:textId="7BB40E81" w:rsidR="00671FF9" w:rsidRPr="00E54BBD" w:rsidRDefault="00E928C7" w:rsidP="00E54BBD">
            <w:pPr>
              <w:spacing w:before="120" w:after="120"/>
              <w:jc w:val="center"/>
              <w:rPr>
                <w:rFonts w:cs="Calibri"/>
                <w:color w:val="auto"/>
                <w:sz w:val="18"/>
                <w:szCs w:val="18"/>
              </w:rPr>
            </w:pPr>
            <w:r w:rsidRPr="00E54BBD">
              <w:rPr>
                <w:rFonts w:cs="Calibri"/>
                <w:color w:val="auto"/>
                <w:sz w:val="18"/>
                <w:szCs w:val="18"/>
              </w:rPr>
              <w:t>9 · n</w:t>
            </w:r>
            <w:r w:rsidRPr="00E54BBD">
              <w:rPr>
                <w:rFonts w:cs="Calibri"/>
                <w:color w:val="auto"/>
                <w:sz w:val="18"/>
                <w:szCs w:val="18"/>
                <w:vertAlign w:val="superscript"/>
              </w:rPr>
              <w:t>-0.2</w:t>
            </w:r>
          </w:p>
        </w:tc>
        <w:tc>
          <w:tcPr>
            <w:tcW w:w="1926" w:type="dxa"/>
            <w:tcBorders>
              <w:bottom w:val="single" w:sz="4" w:space="0" w:color="auto"/>
            </w:tcBorders>
            <w:vAlign w:val="center"/>
          </w:tcPr>
          <w:p w14:paraId="097EBE86" w14:textId="4AF56109" w:rsidR="00671FF9" w:rsidRPr="00E54BBD" w:rsidRDefault="00182601" w:rsidP="00E54BBD">
            <w:pPr>
              <w:spacing w:before="120" w:after="120"/>
              <w:jc w:val="center"/>
              <w:rPr>
                <w:rFonts w:cs="Calibri"/>
                <w:color w:val="auto"/>
                <w:sz w:val="18"/>
                <w:szCs w:val="18"/>
              </w:rPr>
            </w:pPr>
            <w:r w:rsidRPr="00E54BBD">
              <w:rPr>
                <w:rFonts w:cs="Calibri"/>
                <w:color w:val="auto"/>
                <w:sz w:val="18"/>
                <w:szCs w:val="18"/>
              </w:rPr>
              <w:t>1.96</w:t>
            </w:r>
          </w:p>
        </w:tc>
      </w:tr>
    </w:tbl>
    <w:p w14:paraId="2B3053CE" w14:textId="3B0214D7" w:rsidR="00037B04" w:rsidRDefault="00FC7DD1" w:rsidP="00FC7DD1">
      <w:pPr>
        <w:spacing w:after="120" w:line="360" w:lineRule="auto"/>
        <w:rPr>
          <w:rFonts w:cs="Calibri"/>
          <w:color w:val="auto"/>
          <w:sz w:val="18"/>
          <w:szCs w:val="18"/>
        </w:rPr>
      </w:pPr>
      <w:r w:rsidRPr="00E54BBD">
        <w:rPr>
          <w:rFonts w:cs="Calibri"/>
          <w:color w:val="auto"/>
          <w:sz w:val="18"/>
          <w:szCs w:val="18"/>
        </w:rPr>
        <w:t>*Apply for areas outside ECAs.</w:t>
      </w:r>
      <w:r w:rsidR="00DA728D" w:rsidRPr="00E54BBD">
        <w:rPr>
          <w:rFonts w:cs="Calibri"/>
          <w:color w:val="auto"/>
          <w:sz w:val="18"/>
          <w:szCs w:val="18"/>
        </w:rPr>
        <w:t xml:space="preserve"> **</w:t>
      </w:r>
      <w:r w:rsidR="00F931B6" w:rsidRPr="00E54BBD">
        <w:rPr>
          <w:rFonts w:cs="Calibri"/>
          <w:color w:val="auto"/>
          <w:sz w:val="18"/>
          <w:szCs w:val="18"/>
        </w:rPr>
        <w:t>Apply in ECAs</w:t>
      </w:r>
    </w:p>
    <w:p w14:paraId="59E65844" w14:textId="77777777" w:rsidR="007B4B4D" w:rsidRPr="00E54BBD" w:rsidRDefault="007B4B4D" w:rsidP="00FC7DD1">
      <w:pPr>
        <w:spacing w:after="120" w:line="360" w:lineRule="auto"/>
        <w:rPr>
          <w:rFonts w:cs="Calibri"/>
          <w:color w:val="auto"/>
          <w:sz w:val="18"/>
          <w:szCs w:val="18"/>
        </w:rPr>
      </w:pPr>
    </w:p>
    <w:p w14:paraId="47CB6118" w14:textId="77777777" w:rsidR="00D16A2F" w:rsidRDefault="0006573F" w:rsidP="009E3D26">
      <w:pPr>
        <w:keepNext/>
        <w:spacing w:after="120" w:line="360" w:lineRule="auto"/>
      </w:pPr>
      <w:r>
        <w:rPr>
          <w:noProof/>
        </w:rPr>
        <w:lastRenderedPageBreak/>
        <w:drawing>
          <wp:inline distT="0" distB="0" distL="0" distR="0" wp14:anchorId="31BF776E" wp14:editId="59ACACCD">
            <wp:extent cx="6120130" cy="2909570"/>
            <wp:effectExtent l="0" t="0" r="0" b="5080"/>
            <wp:docPr id="6" name="Picture 6" descr="T1_Ind_284_current_seca_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1_Ind_284_current_seca_zon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2909570"/>
                    </a:xfrm>
                    <a:prstGeom prst="rect">
                      <a:avLst/>
                    </a:prstGeom>
                    <a:noFill/>
                    <a:ln>
                      <a:noFill/>
                    </a:ln>
                  </pic:spPr>
                </pic:pic>
              </a:graphicData>
            </a:graphic>
          </wp:inline>
        </w:drawing>
      </w:r>
    </w:p>
    <w:p w14:paraId="28940B59" w14:textId="6A0AB3FA" w:rsidR="0006573F" w:rsidRDefault="00D16A2F" w:rsidP="009E3D26">
      <w:pPr>
        <w:pStyle w:val="Caption"/>
        <w:spacing w:before="0" w:line="360" w:lineRule="auto"/>
        <w:rPr>
          <w:rFonts w:cs="Calibri"/>
          <w:color w:val="auto"/>
          <w:sz w:val="22"/>
        </w:rPr>
      </w:pPr>
      <w:bookmarkStart w:id="15" w:name="_Toc85627879"/>
      <w:r>
        <w:t xml:space="preserve">Figure </w:t>
      </w:r>
      <w:fldSimple w:instr=" SEQ Figure \* ARABIC ">
        <w:r w:rsidR="008027AE">
          <w:rPr>
            <w:noProof/>
          </w:rPr>
          <w:t>1</w:t>
        </w:r>
      </w:fldSimple>
      <w:r>
        <w:t xml:space="preserve">. </w:t>
      </w:r>
      <w:r w:rsidRPr="0057124F">
        <w:t>Emission control areas (ECA)</w:t>
      </w:r>
      <w:r w:rsidR="00954F40">
        <w:t xml:space="preserve"> </w:t>
      </w:r>
      <w:proofErr w:type="gramStart"/>
      <w:r w:rsidR="00954F40">
        <w:t>(</w:t>
      </w:r>
      <w:r w:rsidRPr="0057124F">
        <w:t xml:space="preserve"> Source</w:t>
      </w:r>
      <w:proofErr w:type="gramEnd"/>
      <w:r w:rsidRPr="0057124F">
        <w:t>: DND GL</w:t>
      </w:r>
      <w:r w:rsidR="00954F40">
        <w:t>).</w:t>
      </w:r>
      <w:bookmarkEnd w:id="15"/>
    </w:p>
    <w:p w14:paraId="50EC0C60" w14:textId="489EBFA7" w:rsidR="59587566" w:rsidRDefault="5EA34800" w:rsidP="59587566">
      <w:pPr>
        <w:spacing w:after="120" w:line="360" w:lineRule="auto"/>
        <w:ind w:firstLine="709"/>
        <w:rPr>
          <w:sz w:val="22"/>
          <w:szCs w:val="22"/>
          <w:lang w:val="en-GB"/>
        </w:rPr>
      </w:pPr>
      <w:r w:rsidRPr="59587566">
        <w:rPr>
          <w:rFonts w:cs="Calibri"/>
          <w:color w:val="auto"/>
          <w:sz w:val="22"/>
          <w:szCs w:val="22"/>
        </w:rPr>
        <w:t xml:space="preserve">In </w:t>
      </w:r>
      <w:r w:rsidR="5801EBDA" w:rsidRPr="59587566">
        <w:rPr>
          <w:rFonts w:cs="Calibri"/>
          <w:color w:val="auto"/>
          <w:sz w:val="22"/>
          <w:szCs w:val="22"/>
        </w:rPr>
        <w:t>2018, IMO</w:t>
      </w:r>
      <w:r w:rsidRPr="59587566">
        <w:rPr>
          <w:rFonts w:cs="Calibri"/>
          <w:color w:val="auto"/>
          <w:sz w:val="22"/>
          <w:szCs w:val="22"/>
        </w:rPr>
        <w:t xml:space="preserve"> adopted </w:t>
      </w:r>
      <w:r w:rsidR="399470AE" w:rsidRPr="59587566">
        <w:rPr>
          <w:rFonts w:cs="Calibri"/>
          <w:color w:val="auto"/>
          <w:sz w:val="22"/>
          <w:szCs w:val="22"/>
        </w:rPr>
        <w:t>the</w:t>
      </w:r>
      <w:r w:rsidRPr="59587566">
        <w:rPr>
          <w:rFonts w:cs="Calibri"/>
          <w:color w:val="auto"/>
          <w:sz w:val="22"/>
          <w:szCs w:val="22"/>
        </w:rPr>
        <w:t xml:space="preserve"> strategy to reduce the GHG emission by 40% in 2030 and 50% in 2050, with respect to 2008 baseline </w:t>
      </w:r>
      <w:r w:rsidR="005A7A2C" w:rsidRPr="59587566">
        <w:rPr>
          <w:rFonts w:cs="Calibri"/>
          <w:color w:val="auto"/>
          <w:sz w:val="22"/>
          <w:szCs w:val="22"/>
        </w:rPr>
        <w:fldChar w:fldCharType="begin" w:fldLock="1"/>
      </w:r>
      <w:r w:rsidR="005A7A2C" w:rsidRPr="59587566">
        <w:rPr>
          <w:rFonts w:cs="Calibri"/>
          <w:color w:val="auto"/>
          <w:sz w:val="22"/>
          <w:szCs w:val="22"/>
        </w:rPr>
        <w:instrText>ADDIN CSL_CITATION {"citationItems":[{"id":"ITEM-1","itemData":{"author":[{"dropping-particle":"","family":"Yuanrong Zhou","given":"Nikita Pavlenko","non-dropping-particle":"","parse-names":false,"suffix":""}],"container-title":"International Council on Clean Transportation","id":"ITEM-1","issue":"September","issued":{"date-parts":[["2020"]]},"title":"The potential of liquid biofuels in reducing ship emissions | International Council on Clean Transportation","type":"article-journal"},"uris":["http://www.mendeley.com/documents/?uuid=b068b5b9-4ddb-42c8-b9fb-6ed4f5b5341f"]},{"id":"ITEM-2","itemData":{"DOI":"10.1007/s12027-020-00637-3","ISSN":"18639038","abstract":"The European Green Deal announced by the European Commission in December 2019 is a roadmap meant to foster the transition of the European Union towards the climate-neutral economy by reducing carbon emissions towards 55% by 2030 and achieving carbon neutrality by 2050. By putting the EGD in a boarder perspective of evolving, constitutional rationale of environmental protection in the EU legal order, this contribution examines horizontal, legal dimension and financial implications of the green transition. The challenge ahead of the Union is now how to transform the ambitious climate agenda into efficient legal and economic instruments ‘in a fair way, leaving no one behind’. This paper argues that EGD is a great opportunity, but in order to turn it into a success, it must be strongly anchored in the concepts pertaining to the constitutional framework of the EU legal order, in particular, the concepts of solidarity, sustainable development and high level of environmental protection.","author":[{"dropping-particle":"","family":"Sikora","given":"Alicja","non-dropping-particle":"","parse-names":false,"suffix":""}],"container-title":"ERA Forum","id":"ITEM-2","issued":{"date-parts":[["2020"]]},"page":"681-697","publisher":"The Author(s)","title":"European Green Deal – legal and financial challenges of the climate change","type":"article-journal"},"uris":["http://www.mendeley.com/documents/?uuid=28a71f4b-3341-4579-a677-8efa15a33d7a"]}],"mendeley":{"formattedCitation":"(Sikora, 2020; Yuanrong Zhou, 2020)","plainTextFormattedCitation":"(Sikora, 2020; Yuanrong Zhou, 2020)","previouslyFormattedCitation":"(Sikora, 2020; Yuanrong Zhou, 2020)"},"properties":{"noteIndex":0},"schema":"https://github.com/citation-style-language/schema/raw/master/csl-citation.json"}</w:instrText>
      </w:r>
      <w:r w:rsidR="005A7A2C" w:rsidRPr="59587566">
        <w:rPr>
          <w:rFonts w:cs="Calibri"/>
          <w:color w:val="auto"/>
          <w:sz w:val="22"/>
          <w:szCs w:val="22"/>
        </w:rPr>
        <w:fldChar w:fldCharType="separate"/>
      </w:r>
      <w:r w:rsidRPr="59587566">
        <w:rPr>
          <w:rFonts w:cs="Calibri"/>
          <w:noProof/>
          <w:color w:val="auto"/>
          <w:sz w:val="22"/>
          <w:szCs w:val="22"/>
        </w:rPr>
        <w:t>(Sikora, 2020; Yuanrong Zhou, 2020)</w:t>
      </w:r>
      <w:r w:rsidR="005A7A2C" w:rsidRPr="59587566">
        <w:rPr>
          <w:rFonts w:cs="Calibri"/>
          <w:color w:val="auto"/>
          <w:sz w:val="22"/>
          <w:szCs w:val="22"/>
        </w:rPr>
        <w:fldChar w:fldCharType="end"/>
      </w:r>
      <w:r w:rsidRPr="59587566">
        <w:rPr>
          <w:rFonts w:cs="Calibri"/>
          <w:color w:val="auto"/>
          <w:sz w:val="22"/>
          <w:szCs w:val="22"/>
        </w:rPr>
        <w:t xml:space="preserve">. </w:t>
      </w:r>
      <w:r w:rsidR="7C3C4467" w:rsidRPr="59587566">
        <w:rPr>
          <w:rFonts w:cs="Calibri"/>
          <w:color w:val="auto"/>
          <w:sz w:val="22"/>
          <w:szCs w:val="22"/>
        </w:rPr>
        <w:t>Consequently, i</w:t>
      </w:r>
      <w:r w:rsidRPr="59587566">
        <w:rPr>
          <w:rFonts w:cs="Calibri"/>
          <w:color w:val="auto"/>
          <w:sz w:val="22"/>
          <w:szCs w:val="22"/>
        </w:rPr>
        <w:t xml:space="preserve">t is expected </w:t>
      </w:r>
      <w:r w:rsidR="53981A66" w:rsidRPr="59587566">
        <w:rPr>
          <w:rFonts w:cs="Calibri"/>
          <w:color w:val="auto"/>
          <w:sz w:val="22"/>
          <w:szCs w:val="22"/>
        </w:rPr>
        <w:t xml:space="preserve">a </w:t>
      </w:r>
      <w:r w:rsidRPr="59587566">
        <w:rPr>
          <w:rFonts w:cs="Calibri"/>
          <w:color w:val="auto"/>
          <w:sz w:val="22"/>
          <w:szCs w:val="22"/>
        </w:rPr>
        <w:t>high investment in R&amp;D, infrastructure and trials to support the development of new technologies and fuels</w:t>
      </w:r>
      <w:r w:rsidR="63520FA2" w:rsidRPr="59587566">
        <w:rPr>
          <w:rFonts w:cs="Calibri"/>
          <w:color w:val="auto"/>
          <w:sz w:val="22"/>
          <w:szCs w:val="22"/>
        </w:rPr>
        <w:t xml:space="preserve"> to</w:t>
      </w:r>
      <w:r w:rsidRPr="59587566">
        <w:rPr>
          <w:rFonts w:cs="Calibri"/>
          <w:color w:val="auto"/>
          <w:sz w:val="22"/>
          <w:szCs w:val="22"/>
        </w:rPr>
        <w:t xml:space="preserve"> </w:t>
      </w:r>
      <w:r w:rsidR="36B70121" w:rsidRPr="59587566">
        <w:rPr>
          <w:rFonts w:cs="Calibri"/>
          <w:color w:val="auto"/>
          <w:sz w:val="22"/>
          <w:szCs w:val="22"/>
        </w:rPr>
        <w:t>meet</w:t>
      </w:r>
      <w:r w:rsidRPr="59587566">
        <w:rPr>
          <w:rFonts w:cs="Calibri"/>
          <w:color w:val="auto"/>
          <w:sz w:val="22"/>
          <w:szCs w:val="22"/>
        </w:rPr>
        <w:t xml:space="preserve"> </w:t>
      </w:r>
      <w:r w:rsidR="60129367" w:rsidRPr="59587566">
        <w:rPr>
          <w:rFonts w:cs="Calibri"/>
          <w:color w:val="auto"/>
          <w:sz w:val="22"/>
          <w:szCs w:val="22"/>
        </w:rPr>
        <w:t>such</w:t>
      </w:r>
      <w:r w:rsidRPr="59587566">
        <w:rPr>
          <w:rFonts w:cs="Calibri"/>
          <w:color w:val="auto"/>
          <w:sz w:val="22"/>
          <w:szCs w:val="22"/>
        </w:rPr>
        <w:t xml:space="preserve"> targets </w:t>
      </w:r>
      <w:r w:rsidR="005A7A2C" w:rsidRPr="59587566">
        <w:rPr>
          <w:rFonts w:cs="Calibri"/>
          <w:color w:val="auto"/>
          <w:sz w:val="22"/>
          <w:szCs w:val="22"/>
        </w:rPr>
        <w:fldChar w:fldCharType="begin" w:fldLock="1"/>
      </w:r>
      <w:r w:rsidR="005A7A2C" w:rsidRPr="59587566">
        <w:rPr>
          <w:rFonts w:cs="Calibri"/>
          <w:color w:val="auto"/>
          <w:sz w:val="22"/>
          <w:szCs w:val="22"/>
        </w:rPr>
        <w:instrText>ADDIN CSL_CITATION {"citationItems":[{"id":"ITEM-1","itemData":{"URL":"https://www.imo.org/en/MediaCentre/PressBriefings/Pages/06GHGinitialstrategy.aspx","author":[{"dropping-particle":"","family":"International Maritime Organization","given":"","non-dropping-particle":"","parse-names":false,"suffix":""}],"id":"ITEM-1","issued":{"date-parts":[["2019"]]},"title":"UN body adopts climate change strategy for shipping","type":"webpage"},"uris":["http://www.mendeley.com/documents/?uuid=b7448477-ab54-4ab8-9e03-f999bf59beda"]}],"mendeley":{"formattedCitation":"(International Maritime Organization, 2019)","plainTextFormattedCitation":"(International Maritime Organization, 2019)","previouslyFormattedCitation":"(International Maritime Organization, 2019)"},"properties":{"noteIndex":0},"schema":"https://github.com/citation-style-language/schema/raw/master/csl-citation.json"}</w:instrText>
      </w:r>
      <w:r w:rsidR="005A7A2C" w:rsidRPr="59587566">
        <w:rPr>
          <w:rFonts w:cs="Calibri"/>
          <w:color w:val="auto"/>
          <w:sz w:val="22"/>
          <w:szCs w:val="22"/>
        </w:rPr>
        <w:fldChar w:fldCharType="separate"/>
      </w:r>
      <w:r w:rsidRPr="59587566">
        <w:rPr>
          <w:rFonts w:cs="Calibri"/>
          <w:noProof/>
          <w:color w:val="auto"/>
          <w:sz w:val="22"/>
          <w:szCs w:val="22"/>
        </w:rPr>
        <w:t>(International Maritime Organization, 2019)</w:t>
      </w:r>
      <w:r w:rsidR="005A7A2C" w:rsidRPr="59587566">
        <w:rPr>
          <w:rFonts w:cs="Calibri"/>
          <w:color w:val="auto"/>
          <w:sz w:val="22"/>
          <w:szCs w:val="22"/>
        </w:rPr>
        <w:fldChar w:fldCharType="end"/>
      </w:r>
      <w:r w:rsidRPr="59587566">
        <w:rPr>
          <w:rFonts w:cs="Calibri"/>
          <w:color w:val="auto"/>
          <w:sz w:val="22"/>
          <w:szCs w:val="22"/>
        </w:rPr>
        <w:t xml:space="preserve">. </w:t>
      </w:r>
      <w:r w:rsidR="00D72716">
        <w:rPr>
          <w:rFonts w:cs="Calibri"/>
          <w:color w:val="auto"/>
          <w:sz w:val="22"/>
          <w:szCs w:val="22"/>
        </w:rPr>
        <w:t>R</w:t>
      </w:r>
      <w:r w:rsidRPr="59587566">
        <w:rPr>
          <w:rFonts w:cs="Calibri"/>
          <w:color w:val="auto"/>
          <w:sz w:val="22"/>
          <w:szCs w:val="22"/>
        </w:rPr>
        <w:t>evision o</w:t>
      </w:r>
      <w:r w:rsidR="75C817D3" w:rsidRPr="59587566">
        <w:rPr>
          <w:rFonts w:cs="Calibri"/>
          <w:color w:val="auto"/>
          <w:sz w:val="22"/>
          <w:szCs w:val="22"/>
        </w:rPr>
        <w:t>n the strategy adopted for</w:t>
      </w:r>
      <w:r w:rsidRPr="59587566">
        <w:rPr>
          <w:rFonts w:cs="Calibri"/>
          <w:color w:val="auto"/>
          <w:sz w:val="22"/>
          <w:szCs w:val="22"/>
        </w:rPr>
        <w:t xml:space="preserve"> GHG </w:t>
      </w:r>
      <w:r w:rsidR="317C1B7B" w:rsidRPr="59587566">
        <w:rPr>
          <w:rFonts w:cs="Calibri"/>
          <w:color w:val="auto"/>
          <w:sz w:val="22"/>
          <w:szCs w:val="22"/>
        </w:rPr>
        <w:t>mitigation</w:t>
      </w:r>
      <w:r w:rsidRPr="59587566">
        <w:rPr>
          <w:rFonts w:cs="Calibri"/>
          <w:color w:val="auto"/>
          <w:sz w:val="22"/>
          <w:szCs w:val="22"/>
        </w:rPr>
        <w:t xml:space="preserve"> is expected </w:t>
      </w:r>
      <w:r w:rsidR="54B34AD4" w:rsidRPr="59587566">
        <w:rPr>
          <w:rFonts w:cs="Calibri"/>
          <w:color w:val="auto"/>
          <w:sz w:val="22"/>
          <w:szCs w:val="22"/>
        </w:rPr>
        <w:t>by</w:t>
      </w:r>
      <w:r w:rsidRPr="59587566">
        <w:rPr>
          <w:rFonts w:cs="Calibri"/>
          <w:color w:val="auto"/>
          <w:sz w:val="22"/>
          <w:szCs w:val="22"/>
        </w:rPr>
        <w:t xml:space="preserve"> 2023</w:t>
      </w:r>
      <w:r w:rsidR="6428AC3D" w:rsidRPr="59587566">
        <w:rPr>
          <w:rFonts w:cs="Calibri"/>
          <w:color w:val="auto"/>
          <w:sz w:val="22"/>
          <w:szCs w:val="22"/>
        </w:rPr>
        <w:t>,</w:t>
      </w:r>
      <w:r w:rsidRPr="59587566">
        <w:rPr>
          <w:rFonts w:cs="Calibri"/>
          <w:color w:val="auto"/>
          <w:sz w:val="22"/>
          <w:szCs w:val="22"/>
        </w:rPr>
        <w:t xml:space="preserve"> whe</w:t>
      </w:r>
      <w:r w:rsidR="142230B5" w:rsidRPr="59587566">
        <w:rPr>
          <w:rFonts w:cs="Calibri"/>
          <w:color w:val="auto"/>
          <w:sz w:val="22"/>
          <w:szCs w:val="22"/>
        </w:rPr>
        <w:t>n</w:t>
      </w:r>
      <w:r w:rsidRPr="59587566">
        <w:rPr>
          <w:rFonts w:cs="Calibri"/>
          <w:color w:val="auto"/>
          <w:sz w:val="22"/>
          <w:szCs w:val="22"/>
        </w:rPr>
        <w:t xml:space="preserve"> </w:t>
      </w:r>
      <w:r w:rsidR="069BA89B" w:rsidRPr="59587566">
        <w:rPr>
          <w:rFonts w:cs="Calibri"/>
          <w:color w:val="auto"/>
          <w:sz w:val="22"/>
          <w:szCs w:val="22"/>
        </w:rPr>
        <w:t xml:space="preserve">updated directives </w:t>
      </w:r>
      <w:r w:rsidR="524BE03C" w:rsidRPr="59587566">
        <w:rPr>
          <w:rFonts w:cs="Calibri"/>
          <w:color w:val="auto"/>
          <w:sz w:val="22"/>
          <w:szCs w:val="22"/>
        </w:rPr>
        <w:t>will be considered in global scale by IMO</w:t>
      </w:r>
      <w:r w:rsidR="003A6712">
        <w:rPr>
          <w:rFonts w:cs="Calibri"/>
          <w:color w:val="auto"/>
          <w:sz w:val="22"/>
          <w:szCs w:val="22"/>
        </w:rPr>
        <w:t xml:space="preserve"> </w:t>
      </w:r>
      <w:r w:rsidR="005A7A2C" w:rsidRPr="59587566">
        <w:rPr>
          <w:rFonts w:cs="Calibri"/>
          <w:color w:val="auto"/>
          <w:sz w:val="22"/>
          <w:szCs w:val="22"/>
        </w:rPr>
        <w:fldChar w:fldCharType="begin" w:fldLock="1"/>
      </w:r>
      <w:r w:rsidR="005A7A2C" w:rsidRPr="59587566">
        <w:rPr>
          <w:rFonts w:cs="Calibri"/>
          <w:color w:val="auto"/>
          <w:sz w:val="22"/>
          <w:szCs w:val="22"/>
        </w:rPr>
        <w:instrText>ADDIN CSL_CITATION {"citationItems":[{"id":"ITEM-1","itemData":{"author":[{"dropping-particle":"","family":"Yuanrong Zhou","given":"Nikita Pavlenko","non-dropping-particle":"","parse-names":false,"suffix":""}],"container-title":"International Council on Clean Transportation","id":"ITEM-1","issue":"September","issued":{"date-parts":[["2020"]]},"title":"The potential of liquid biofuels in reducing ship emissions | International Council on Clean Transportation","type":"article-journal"},"uris":["http://www.mendeley.com/documents/?uuid=b068b5b9-4ddb-42c8-b9fb-6ed4f5b5341f"]}],"mendeley":{"formattedCitation":"(Yuanrong Zhou, 2020)","plainTextFormattedCitation":"(Yuanrong Zhou, 2020)","previouslyFormattedCitation":"(Yuanrong Zhou, 2020)"},"properties":{"noteIndex":0},"schema":"https://github.com/citation-style-language/schema/raw/master/csl-citation.json"}</w:instrText>
      </w:r>
      <w:r w:rsidR="005A7A2C" w:rsidRPr="59587566">
        <w:rPr>
          <w:rFonts w:cs="Calibri"/>
          <w:color w:val="auto"/>
          <w:sz w:val="22"/>
          <w:szCs w:val="22"/>
        </w:rPr>
        <w:fldChar w:fldCharType="separate"/>
      </w:r>
      <w:r w:rsidR="5D4AE8D4" w:rsidRPr="59587566">
        <w:rPr>
          <w:rFonts w:cs="Calibri"/>
          <w:noProof/>
          <w:color w:val="auto"/>
          <w:sz w:val="22"/>
          <w:szCs w:val="22"/>
        </w:rPr>
        <w:t>(Yuanrong Zhou, 2020)</w:t>
      </w:r>
      <w:r w:rsidR="005A7A2C" w:rsidRPr="59587566">
        <w:rPr>
          <w:rFonts w:cs="Calibri"/>
          <w:color w:val="auto"/>
          <w:sz w:val="22"/>
          <w:szCs w:val="22"/>
        </w:rPr>
        <w:fldChar w:fldCharType="end"/>
      </w:r>
      <w:r w:rsidRPr="59587566">
        <w:rPr>
          <w:rFonts w:cs="Calibri"/>
          <w:color w:val="auto"/>
          <w:sz w:val="22"/>
          <w:szCs w:val="22"/>
        </w:rPr>
        <w:t>.</w:t>
      </w:r>
      <w:r w:rsidRPr="59587566">
        <w:rPr>
          <w:rFonts w:cs="Calibri"/>
          <w:color w:val="auto"/>
          <w:sz w:val="24"/>
          <w:szCs w:val="24"/>
        </w:rPr>
        <w:t xml:space="preserve"> </w:t>
      </w:r>
      <w:r w:rsidR="2180D552" w:rsidRPr="00BF4637">
        <w:rPr>
          <w:rFonts w:cs="Calibri"/>
          <w:color w:val="auto"/>
          <w:sz w:val="22"/>
          <w:szCs w:val="22"/>
          <w:lang w:val="en-GB"/>
        </w:rPr>
        <w:t xml:space="preserve">With these regulations in </w:t>
      </w:r>
      <w:r w:rsidR="62CAFB44" w:rsidRPr="00BF4637">
        <w:rPr>
          <w:rFonts w:cs="Calibri"/>
          <w:color w:val="auto"/>
          <w:sz w:val="22"/>
          <w:szCs w:val="22"/>
          <w:lang w:val="en-GB"/>
        </w:rPr>
        <w:t>place,</w:t>
      </w:r>
      <w:r w:rsidR="2180D552" w:rsidRPr="00BF4637">
        <w:rPr>
          <w:rFonts w:cs="Calibri"/>
          <w:color w:val="auto"/>
          <w:sz w:val="22"/>
          <w:szCs w:val="22"/>
          <w:lang w:val="en-GB"/>
        </w:rPr>
        <w:t xml:space="preserve"> it is </w:t>
      </w:r>
      <w:r w:rsidR="11A02D70" w:rsidRPr="00BF4637">
        <w:rPr>
          <w:rFonts w:cs="Calibri"/>
          <w:color w:val="auto"/>
          <w:sz w:val="22"/>
          <w:szCs w:val="22"/>
          <w:lang w:val="en-GB"/>
        </w:rPr>
        <w:t>estimat</w:t>
      </w:r>
      <w:r w:rsidR="2180D552" w:rsidRPr="00BF4637">
        <w:rPr>
          <w:rFonts w:cs="Calibri"/>
          <w:color w:val="auto"/>
          <w:sz w:val="22"/>
          <w:szCs w:val="22"/>
          <w:lang w:val="en-GB"/>
        </w:rPr>
        <w:t xml:space="preserve">ed that </w:t>
      </w:r>
      <w:r w:rsidR="28788233" w:rsidRPr="00BF4637">
        <w:rPr>
          <w:rFonts w:cs="Calibri"/>
          <w:color w:val="auto"/>
          <w:sz w:val="22"/>
          <w:szCs w:val="22"/>
          <w:lang w:val="en-GB"/>
        </w:rPr>
        <w:t>approximatively</w:t>
      </w:r>
      <w:r w:rsidR="2180D552" w:rsidRPr="00BF4637">
        <w:rPr>
          <w:rFonts w:cs="Calibri"/>
          <w:color w:val="auto"/>
          <w:sz w:val="22"/>
          <w:szCs w:val="22"/>
          <w:lang w:val="en-GB"/>
        </w:rPr>
        <w:t xml:space="preserve"> 70% of </w:t>
      </w:r>
      <w:r w:rsidR="7D3B9AAE" w:rsidRPr="00BF4637">
        <w:rPr>
          <w:rFonts w:cs="Calibri"/>
          <w:color w:val="auto"/>
          <w:sz w:val="22"/>
          <w:szCs w:val="22"/>
          <w:lang w:val="en-GB"/>
        </w:rPr>
        <w:t>the current f</w:t>
      </w:r>
      <w:r w:rsidR="2180D552" w:rsidRPr="00BF4637">
        <w:rPr>
          <w:rFonts w:cs="Calibri"/>
          <w:color w:val="auto"/>
          <w:sz w:val="22"/>
          <w:szCs w:val="22"/>
          <w:lang w:val="en-GB"/>
        </w:rPr>
        <w:t xml:space="preserve">uels </w:t>
      </w:r>
      <w:r w:rsidR="00727034" w:rsidRPr="00BF4637">
        <w:rPr>
          <w:rFonts w:cs="Calibri"/>
          <w:color w:val="auto"/>
          <w:sz w:val="22"/>
          <w:szCs w:val="22"/>
          <w:lang w:val="en-GB"/>
        </w:rPr>
        <w:t xml:space="preserve">in the market </w:t>
      </w:r>
      <w:r w:rsidR="2180D552" w:rsidRPr="00BF4637">
        <w:rPr>
          <w:rFonts w:cs="Calibri"/>
          <w:color w:val="auto"/>
          <w:sz w:val="22"/>
          <w:szCs w:val="22"/>
          <w:lang w:val="en-GB"/>
        </w:rPr>
        <w:t>will need to be</w:t>
      </w:r>
      <w:r w:rsidR="00602387">
        <w:rPr>
          <w:rFonts w:cs="Calibri"/>
          <w:color w:val="auto"/>
          <w:sz w:val="22"/>
          <w:szCs w:val="22"/>
          <w:lang w:val="en-GB"/>
        </w:rPr>
        <w:t xml:space="preserve"> </w:t>
      </w:r>
      <w:r w:rsidR="2180D552" w:rsidRPr="00BF4637">
        <w:rPr>
          <w:rFonts w:cs="Calibri"/>
          <w:color w:val="auto"/>
          <w:sz w:val="22"/>
          <w:szCs w:val="22"/>
          <w:lang w:val="en-GB"/>
        </w:rPr>
        <w:t xml:space="preserve">changed </w:t>
      </w:r>
      <w:r w:rsidR="00FE37AF">
        <w:rPr>
          <w:rFonts w:cs="Calibri"/>
          <w:color w:val="auto"/>
          <w:sz w:val="22"/>
          <w:szCs w:val="22"/>
          <w:lang w:val="en-GB"/>
        </w:rPr>
        <w:t>to</w:t>
      </w:r>
      <w:r w:rsidR="00A661E9">
        <w:rPr>
          <w:rFonts w:cs="Calibri"/>
          <w:color w:val="auto"/>
          <w:sz w:val="22"/>
          <w:szCs w:val="22"/>
          <w:lang w:val="en-GB"/>
        </w:rPr>
        <w:t xml:space="preserve"> sustainable fuels to</w:t>
      </w:r>
      <w:r w:rsidR="00FE37AF">
        <w:rPr>
          <w:rFonts w:cs="Calibri"/>
          <w:color w:val="auto"/>
          <w:sz w:val="22"/>
          <w:szCs w:val="22"/>
          <w:lang w:val="en-GB"/>
        </w:rPr>
        <w:t xml:space="preserve"> cope with</w:t>
      </w:r>
      <w:r w:rsidR="2180D552" w:rsidRPr="00BF4637">
        <w:rPr>
          <w:rFonts w:cs="Calibri"/>
          <w:color w:val="auto"/>
          <w:sz w:val="22"/>
          <w:szCs w:val="22"/>
          <w:lang w:val="en-GB"/>
        </w:rPr>
        <w:t xml:space="preserve"> </w:t>
      </w:r>
      <w:r w:rsidR="00FE37AF">
        <w:rPr>
          <w:rFonts w:cs="Calibri"/>
          <w:color w:val="auto"/>
          <w:sz w:val="22"/>
          <w:szCs w:val="22"/>
          <w:lang w:val="en-GB"/>
        </w:rPr>
        <w:t xml:space="preserve">the targets </w:t>
      </w:r>
      <w:r w:rsidR="2180D552" w:rsidRPr="00BF4637">
        <w:rPr>
          <w:rFonts w:cs="Calibri"/>
          <w:color w:val="auto"/>
          <w:sz w:val="22"/>
          <w:szCs w:val="22"/>
          <w:lang w:val="en-GB"/>
        </w:rPr>
        <w:fldChar w:fldCharType="begin" w:fldLock="1"/>
      </w:r>
      <w:r w:rsidR="2180D552" w:rsidRPr="00BF4637">
        <w:rPr>
          <w:rFonts w:cs="Calibri"/>
          <w:color w:val="auto"/>
          <w:sz w:val="22"/>
          <w:szCs w:val="22"/>
          <w:lang w:val="en-GB"/>
        </w:rPr>
        <w:instrText>ADDIN CSL_CITATION {"citationItems":[{"id":"ITEM-1","itemData":{"author":[{"dropping-particle":"","family":"Uslu","given":"Ayla","non-dropping-particle":"","parse-names":false,"suffix":""}],"id":"ITEM-1","issued":{"date-parts":[["2019"]]},"title":"Market analysis","type":"report"},"uris":["http://www.mendeley.com/documents/?uuid=f0487272-4a66-4a0e-b49d-ac94b47a56ec"]}],"mendeley":{"formattedCitation":"(Uslu, 2019)","plainTextFormattedCitation":"(Uslu, 2019)","previouslyFormattedCitation":"(Uslu, 2019)"},"properties":{"noteIndex":0},"schema":"https://github.com/citation-style-language/schema/raw/master/csl-citation.json"}</w:instrText>
      </w:r>
      <w:r w:rsidR="2180D552" w:rsidRPr="00BF4637">
        <w:rPr>
          <w:rFonts w:cs="Calibri"/>
          <w:color w:val="auto"/>
          <w:sz w:val="22"/>
          <w:szCs w:val="22"/>
          <w:lang w:val="en-GB"/>
        </w:rPr>
        <w:fldChar w:fldCharType="separate"/>
      </w:r>
      <w:r w:rsidR="2180D552" w:rsidRPr="00BF4637">
        <w:rPr>
          <w:rFonts w:cs="Calibri"/>
          <w:noProof/>
          <w:color w:val="auto"/>
          <w:sz w:val="22"/>
          <w:szCs w:val="22"/>
          <w:lang w:val="en-GB"/>
        </w:rPr>
        <w:t>(Uslu, 2019)</w:t>
      </w:r>
      <w:r w:rsidR="2180D552" w:rsidRPr="00BF4637">
        <w:rPr>
          <w:rFonts w:cs="Calibri"/>
          <w:color w:val="auto"/>
          <w:sz w:val="22"/>
          <w:szCs w:val="22"/>
          <w:lang w:val="en-GB"/>
        </w:rPr>
        <w:fldChar w:fldCharType="end"/>
      </w:r>
      <w:r w:rsidR="2180D552" w:rsidRPr="00C07FF4">
        <w:rPr>
          <w:rFonts w:cs="Calibri"/>
          <w:color w:val="auto"/>
          <w:sz w:val="22"/>
          <w:szCs w:val="22"/>
          <w:lang w:val="en-GB"/>
        </w:rPr>
        <w:t>.</w:t>
      </w:r>
      <w:r w:rsidR="2180D552" w:rsidRPr="59587566">
        <w:rPr>
          <w:rFonts w:cs="Calibri"/>
          <w:color w:val="FF0000"/>
          <w:sz w:val="22"/>
          <w:szCs w:val="22"/>
          <w:lang w:val="en-GB"/>
        </w:rPr>
        <w:t xml:space="preserve"> </w:t>
      </w:r>
      <w:r w:rsidR="004E3CED">
        <w:rPr>
          <w:sz w:val="22"/>
          <w:szCs w:val="22"/>
          <w:lang w:val="en-GB"/>
        </w:rPr>
        <w:t>At European level</w:t>
      </w:r>
      <w:r w:rsidR="000D1B57">
        <w:rPr>
          <w:sz w:val="22"/>
          <w:szCs w:val="22"/>
          <w:lang w:val="en-GB"/>
        </w:rPr>
        <w:t>,</w:t>
      </w:r>
      <w:r w:rsidR="004E3CED">
        <w:rPr>
          <w:sz w:val="22"/>
          <w:szCs w:val="22"/>
          <w:lang w:val="en-GB"/>
        </w:rPr>
        <w:t xml:space="preserve"> the targets and goals for the maritime sector are still under definition. </w:t>
      </w:r>
      <w:r w:rsidR="00BF40CA">
        <w:rPr>
          <w:sz w:val="22"/>
          <w:szCs w:val="22"/>
          <w:lang w:val="en-GB"/>
        </w:rPr>
        <w:t xml:space="preserve">Below are described the current and future </w:t>
      </w:r>
      <w:r w:rsidR="00C342FD">
        <w:rPr>
          <w:sz w:val="22"/>
          <w:szCs w:val="22"/>
          <w:lang w:val="en-GB"/>
        </w:rPr>
        <w:t xml:space="preserve">legislatives instruments </w:t>
      </w:r>
      <w:r w:rsidR="00832D38">
        <w:rPr>
          <w:sz w:val="22"/>
          <w:szCs w:val="22"/>
          <w:lang w:val="en-GB"/>
        </w:rPr>
        <w:t xml:space="preserve">that </w:t>
      </w:r>
      <w:r w:rsidR="007E0A3E">
        <w:rPr>
          <w:sz w:val="22"/>
          <w:szCs w:val="22"/>
          <w:lang w:val="en-GB"/>
        </w:rPr>
        <w:t>might</w:t>
      </w:r>
      <w:r w:rsidR="00832D38">
        <w:rPr>
          <w:sz w:val="22"/>
          <w:szCs w:val="22"/>
          <w:lang w:val="en-GB"/>
        </w:rPr>
        <w:t xml:space="preserve"> have influence on renewable fuels in the maritime sector.</w:t>
      </w:r>
    </w:p>
    <w:p w14:paraId="1EB4F039" w14:textId="77777777" w:rsidR="00FE37AF" w:rsidRDefault="00FE37AF" w:rsidP="59587566">
      <w:pPr>
        <w:spacing w:after="120" w:line="360" w:lineRule="auto"/>
        <w:ind w:firstLine="709"/>
        <w:rPr>
          <w:szCs w:val="21"/>
          <w:lang w:val="en-GB"/>
        </w:rPr>
      </w:pPr>
    </w:p>
    <w:p w14:paraId="1F8C21BE" w14:textId="77777777" w:rsidR="00C5314B" w:rsidRDefault="1290CD4C" w:rsidP="00DC3405">
      <w:pPr>
        <w:pStyle w:val="Heading3"/>
      </w:pPr>
      <w:bookmarkStart w:id="16" w:name="_Toc85627860"/>
      <w:r>
        <w:t>Renewable Energy Directive (RED)</w:t>
      </w:r>
      <w:bookmarkEnd w:id="16"/>
    </w:p>
    <w:p w14:paraId="3FA713DA" w14:textId="737E9566" w:rsidR="5937A937" w:rsidRDefault="5937A937" w:rsidP="5937A937">
      <w:pPr>
        <w:rPr>
          <w:szCs w:val="21"/>
        </w:rPr>
      </w:pPr>
    </w:p>
    <w:p w14:paraId="71A05B66" w14:textId="6A9C627F" w:rsidR="00C5314B" w:rsidRDefault="1290CD4C" w:rsidP="0011532E">
      <w:pPr>
        <w:spacing w:after="120" w:line="360" w:lineRule="auto"/>
        <w:ind w:firstLine="709"/>
        <w:rPr>
          <w:sz w:val="22"/>
          <w:szCs w:val="22"/>
          <w:lang w:val="en-GB"/>
        </w:rPr>
      </w:pPr>
      <w:r w:rsidRPr="59587566">
        <w:rPr>
          <w:sz w:val="22"/>
          <w:szCs w:val="22"/>
          <w:lang w:val="en-GB"/>
        </w:rPr>
        <w:t>The R</w:t>
      </w:r>
      <w:r w:rsidR="007352F9">
        <w:rPr>
          <w:sz w:val="22"/>
          <w:szCs w:val="22"/>
          <w:lang w:val="en-GB"/>
        </w:rPr>
        <w:t>enewable Energy Directive (RED)</w:t>
      </w:r>
      <w:r w:rsidRPr="59587566">
        <w:rPr>
          <w:sz w:val="22"/>
          <w:szCs w:val="22"/>
          <w:lang w:val="en-GB"/>
        </w:rPr>
        <w:t xml:space="preserve"> was introduced in 2009, with the aim of promoting renewable energies in the EU. </w:t>
      </w:r>
      <w:r w:rsidR="5277925B" w:rsidRPr="59587566">
        <w:rPr>
          <w:sz w:val="22"/>
          <w:szCs w:val="22"/>
          <w:lang w:val="en-GB"/>
        </w:rPr>
        <w:t>At</w:t>
      </w:r>
      <w:r w:rsidRPr="59587566">
        <w:rPr>
          <w:sz w:val="22"/>
          <w:szCs w:val="22"/>
          <w:lang w:val="en-GB"/>
        </w:rPr>
        <w:t xml:space="preserve"> first</w:t>
      </w:r>
      <w:r w:rsidR="2FEDB9A8" w:rsidRPr="59587566">
        <w:rPr>
          <w:sz w:val="22"/>
          <w:szCs w:val="22"/>
          <w:lang w:val="en-GB"/>
        </w:rPr>
        <w:t>,</w:t>
      </w:r>
      <w:r w:rsidRPr="59587566">
        <w:rPr>
          <w:sz w:val="22"/>
          <w:szCs w:val="22"/>
          <w:lang w:val="en-GB"/>
        </w:rPr>
        <w:t xml:space="preserve"> </w:t>
      </w:r>
      <w:r w:rsidR="34F9A78F" w:rsidRPr="59587566">
        <w:rPr>
          <w:sz w:val="22"/>
          <w:szCs w:val="22"/>
          <w:lang w:val="en-GB"/>
        </w:rPr>
        <w:t>it</w:t>
      </w:r>
      <w:r w:rsidRPr="59587566">
        <w:rPr>
          <w:sz w:val="22"/>
          <w:szCs w:val="22"/>
          <w:lang w:val="en-GB"/>
        </w:rPr>
        <w:t xml:space="preserve"> establishe</w:t>
      </w:r>
      <w:r w:rsidR="33AD4B15" w:rsidRPr="59587566">
        <w:rPr>
          <w:sz w:val="22"/>
          <w:szCs w:val="22"/>
          <w:lang w:val="en-GB"/>
        </w:rPr>
        <w:t>d</w:t>
      </w:r>
      <w:r w:rsidRPr="59587566">
        <w:rPr>
          <w:sz w:val="22"/>
          <w:szCs w:val="22"/>
          <w:lang w:val="en-GB"/>
        </w:rPr>
        <w:t xml:space="preserve"> that 10</w:t>
      </w:r>
      <w:r w:rsidR="005D0FC1">
        <w:rPr>
          <w:sz w:val="22"/>
          <w:szCs w:val="22"/>
          <w:lang w:val="en-GB"/>
        </w:rPr>
        <w:t xml:space="preserve"> </w:t>
      </w:r>
      <w:r w:rsidRPr="59587566">
        <w:rPr>
          <w:sz w:val="22"/>
          <w:szCs w:val="22"/>
          <w:lang w:val="en-GB"/>
        </w:rPr>
        <w:t>% of the energy in the transport sector should be obtained from renewable resources. In 2015</w:t>
      </w:r>
      <w:r w:rsidR="0D033B8F" w:rsidRPr="59587566">
        <w:rPr>
          <w:sz w:val="22"/>
          <w:szCs w:val="22"/>
          <w:lang w:val="en-GB"/>
        </w:rPr>
        <w:t>,</w:t>
      </w:r>
      <w:r w:rsidRPr="59587566">
        <w:rPr>
          <w:sz w:val="22"/>
          <w:szCs w:val="22"/>
          <w:lang w:val="en-GB"/>
        </w:rPr>
        <w:t xml:space="preserve"> it was modified by the EU Indirect Land Use Change Directive, </w:t>
      </w:r>
      <w:r w:rsidR="26E1FB6E" w:rsidRPr="59587566">
        <w:rPr>
          <w:sz w:val="22"/>
          <w:szCs w:val="22"/>
          <w:lang w:val="en-GB"/>
        </w:rPr>
        <w:t>imposing</w:t>
      </w:r>
      <w:r w:rsidRPr="59587566">
        <w:rPr>
          <w:sz w:val="22"/>
          <w:szCs w:val="22"/>
          <w:lang w:val="en-GB"/>
        </w:rPr>
        <w:t xml:space="preserve"> a limit of 7</w:t>
      </w:r>
      <w:r w:rsidR="005D0FC1">
        <w:rPr>
          <w:sz w:val="22"/>
          <w:szCs w:val="22"/>
          <w:lang w:val="en-GB"/>
        </w:rPr>
        <w:t xml:space="preserve"> </w:t>
      </w:r>
      <w:r w:rsidRPr="59587566">
        <w:rPr>
          <w:sz w:val="22"/>
          <w:szCs w:val="22"/>
          <w:lang w:val="en-GB"/>
        </w:rPr>
        <w:t xml:space="preserve">% over those fuels coming from resources that </w:t>
      </w:r>
      <w:r w:rsidR="6683354A" w:rsidRPr="59587566">
        <w:rPr>
          <w:sz w:val="22"/>
          <w:szCs w:val="22"/>
          <w:lang w:val="en-GB"/>
        </w:rPr>
        <w:t xml:space="preserve">could potentially </w:t>
      </w:r>
      <w:r w:rsidRPr="59587566">
        <w:rPr>
          <w:sz w:val="22"/>
          <w:szCs w:val="22"/>
          <w:lang w:val="en-GB"/>
        </w:rPr>
        <w:t>compete with food production</w:t>
      </w:r>
      <w:r w:rsidR="4E5BBB07" w:rsidRPr="59587566">
        <w:rPr>
          <w:sz w:val="22"/>
          <w:szCs w:val="22"/>
          <w:lang w:val="en-GB"/>
        </w:rPr>
        <w:t xml:space="preserve">, </w:t>
      </w:r>
      <w:proofErr w:type="gramStart"/>
      <w:r w:rsidRPr="59587566">
        <w:rPr>
          <w:sz w:val="22"/>
          <w:szCs w:val="22"/>
          <w:lang w:val="en-GB"/>
        </w:rPr>
        <w:t>e.g.</w:t>
      </w:r>
      <w:proofErr w:type="gramEnd"/>
      <w:r w:rsidRPr="59587566">
        <w:rPr>
          <w:sz w:val="22"/>
          <w:szCs w:val="22"/>
          <w:lang w:val="en-GB"/>
        </w:rPr>
        <w:t xml:space="preserve"> </w:t>
      </w:r>
      <w:r w:rsidR="3F066BC5" w:rsidRPr="59587566">
        <w:rPr>
          <w:sz w:val="22"/>
          <w:szCs w:val="22"/>
          <w:lang w:val="en-GB"/>
        </w:rPr>
        <w:t>soy</w:t>
      </w:r>
      <w:r w:rsidRPr="59587566">
        <w:rPr>
          <w:sz w:val="22"/>
          <w:szCs w:val="22"/>
          <w:lang w:val="en-GB"/>
        </w:rPr>
        <w:t xml:space="preserve">. </w:t>
      </w:r>
      <w:r w:rsidR="7FE3411A" w:rsidRPr="59587566">
        <w:rPr>
          <w:sz w:val="22"/>
          <w:szCs w:val="22"/>
          <w:lang w:val="en-GB"/>
        </w:rPr>
        <w:t>Later</w:t>
      </w:r>
      <w:r w:rsidRPr="59587566">
        <w:rPr>
          <w:sz w:val="22"/>
          <w:szCs w:val="22"/>
          <w:lang w:val="en-GB"/>
        </w:rPr>
        <w:t xml:space="preserve"> </w:t>
      </w:r>
      <w:r w:rsidR="00E14108">
        <w:rPr>
          <w:sz w:val="22"/>
          <w:szCs w:val="22"/>
          <w:lang w:val="en-GB"/>
        </w:rPr>
        <w:t>a</w:t>
      </w:r>
      <w:r w:rsidRPr="59587566">
        <w:rPr>
          <w:sz w:val="22"/>
          <w:szCs w:val="22"/>
          <w:lang w:val="en-GB"/>
        </w:rPr>
        <w:t xml:space="preserve"> target </w:t>
      </w:r>
      <w:r w:rsidR="74C29D4F" w:rsidRPr="59587566">
        <w:rPr>
          <w:sz w:val="22"/>
          <w:szCs w:val="22"/>
          <w:lang w:val="en-GB"/>
        </w:rPr>
        <w:t xml:space="preserve">of </w:t>
      </w:r>
      <w:r w:rsidRPr="59587566">
        <w:rPr>
          <w:sz w:val="22"/>
          <w:szCs w:val="22"/>
          <w:lang w:val="en-GB"/>
        </w:rPr>
        <w:t>0.5</w:t>
      </w:r>
      <w:r w:rsidR="005D0FC1">
        <w:rPr>
          <w:sz w:val="22"/>
          <w:szCs w:val="22"/>
          <w:lang w:val="en-GB"/>
        </w:rPr>
        <w:t xml:space="preserve"> </w:t>
      </w:r>
      <w:r w:rsidRPr="59587566">
        <w:rPr>
          <w:sz w:val="22"/>
          <w:szCs w:val="22"/>
          <w:lang w:val="en-GB"/>
        </w:rPr>
        <w:t>% for advanced biofuels was introduced</w:t>
      </w:r>
      <w:r w:rsidR="00E41D89">
        <w:rPr>
          <w:sz w:val="22"/>
          <w:szCs w:val="22"/>
          <w:lang w:val="en-GB"/>
        </w:rPr>
        <w:t xml:space="preserve"> </w:t>
      </w:r>
      <w:r w:rsidR="00E41D89">
        <w:rPr>
          <w:sz w:val="22"/>
          <w:szCs w:val="22"/>
          <w:lang w:val="en-GB"/>
        </w:rPr>
        <w:fldChar w:fldCharType="begin" w:fldLock="1"/>
      </w:r>
      <w:r w:rsidR="00F82B1E">
        <w:rPr>
          <w:sz w:val="22"/>
          <w:szCs w:val="22"/>
          <w:lang w:val="en-GB"/>
        </w:rPr>
        <w:instrText>ADDIN CSL_CITATION {"citationItems":[{"id":"ITEM-1","itemData":{"DOI":"10.1016/j.esr.2021.100633","ISSN":"2211467X","abstract":"Advanced biofuels are among the available options to decarbonise transport in the short to medium term especially for aviation, marine and heavy-duty vehicles that lack immediate alternatives. Their production and market uptake, however, is still very low due to several challenges arising across their value chain. So far policy has established targets and monitoring frameworks for low carbon fuels and improved engine performance but has not yet been sufficient to facilitate their effective market uptake. Their market roll-out must be immediate if the 2030 targets are to be met. Analysis in this paper reiterates that the future deployment of these fuels, in market shares that can lead to the desired decarbonisation levels, still depends largely on the integration of tailored policy interventions that can overcome challenges and improve upstream and downstream performance. The work presented aims to i) inform on policy relevant challenges that restrict the flexible, reliable and cost-efficient market uptake of sustainable advanced biofuels for transport, and ii) highlight policy interventions that, have strong potential to overcome the challenges and are relevant to current policy, Green Deal and the Sustainable Development Goals (SDGs).","author":[{"dropping-particle":"","family":"Panoutsou","given":"Calliope","non-dropping-particle":"","parse-names":false,"suffix":""},{"dropping-particle":"","family":"Germer","given":"Sonja","non-dropping-particle":"","parse-names":false,"suffix":""},{"dropping-particle":"","family":"Karka","given":"Paraskevi","non-dropping-particle":"","parse-names":false,"suffix":""},{"dropping-particle":"","family":"Papadokostantakis","given":"Stavros","non-dropping-particle":"","parse-names":false,"suffix":""},{"dropping-particle":"","family":"Kroyan","given":"Yuri","non-dropping-particle":"","parse-names":false,"suffix":""},{"dropping-particle":"","family":"Wojcieszyk","given":"Michal","non-dropping-particle":"","parse-names":false,"suffix":""},{"dropping-particle":"","family":"Maniatis","given":"Kyriakos","non-dropping-particle":"","parse-names":false,"suffix":""},{"dropping-particle":"","family":"Marchand","given":"Philippe","non-dropping-particle":"","parse-names":false,"suffix":""},{"dropping-particle":"","family":"Landalv","given":"Ingvar","non-dropping-particle":"","parse-names":false,"suffix":""}],"container-title":"Energy Strategy Reviews","id":"ITEM-1","issue":"March","issued":{"date-parts":[["2021"]]},"page":"100633","publisher":"Elsevier Ltd","title":"Advanced biofuels to decarbonise European transport by 2030: Markets, challenges, and policies that impact their successful market uptake","type":"article-journal","volume":"34"},"uris":["http://www.mendeley.com/documents/?uuid=e0b8486c-e671-49c6-b25c-f2ad745dcfe0"]}],"mendeley":{"formattedCitation":"(Panoutsou et al., 2021)","plainTextFormattedCitation":"(Panoutsou et al., 2021)","previouslyFormattedCitation":"(Panoutsou et al., 2021)"},"properties":{"noteIndex":0},"schema":"https://github.com/citation-style-language/schema/raw/master/csl-citation.json"}</w:instrText>
      </w:r>
      <w:r w:rsidR="00E41D89">
        <w:rPr>
          <w:sz w:val="22"/>
          <w:szCs w:val="22"/>
          <w:lang w:val="en-GB"/>
        </w:rPr>
        <w:fldChar w:fldCharType="separate"/>
      </w:r>
      <w:r w:rsidR="00E41D89" w:rsidRPr="00E41D89">
        <w:rPr>
          <w:noProof/>
          <w:sz w:val="22"/>
          <w:szCs w:val="22"/>
          <w:lang w:val="en-GB"/>
        </w:rPr>
        <w:t>(Panoutsou et al., 2021)</w:t>
      </w:r>
      <w:r w:rsidR="00E41D89">
        <w:rPr>
          <w:sz w:val="22"/>
          <w:szCs w:val="22"/>
          <w:lang w:val="en-GB"/>
        </w:rPr>
        <w:fldChar w:fldCharType="end"/>
      </w:r>
      <w:r w:rsidRPr="59587566">
        <w:rPr>
          <w:sz w:val="22"/>
          <w:szCs w:val="22"/>
          <w:lang w:val="en-GB"/>
        </w:rPr>
        <w:t xml:space="preserve">. </w:t>
      </w:r>
    </w:p>
    <w:p w14:paraId="079A0587" w14:textId="7BDD8084" w:rsidR="00AB34CC" w:rsidRDefault="415EFDA2" w:rsidP="00BA4A18">
      <w:pPr>
        <w:spacing w:after="120" w:line="360" w:lineRule="auto"/>
        <w:ind w:firstLine="709"/>
        <w:rPr>
          <w:sz w:val="22"/>
          <w:szCs w:val="22"/>
          <w:lang w:val="en-GB"/>
        </w:rPr>
      </w:pPr>
      <w:r w:rsidRPr="59587566">
        <w:rPr>
          <w:sz w:val="22"/>
          <w:szCs w:val="22"/>
          <w:lang w:val="en-GB"/>
        </w:rPr>
        <w:t>In</w:t>
      </w:r>
      <w:r w:rsidR="2A28DF93" w:rsidRPr="59587566">
        <w:rPr>
          <w:sz w:val="22"/>
          <w:szCs w:val="22"/>
          <w:lang w:val="en-GB"/>
        </w:rPr>
        <w:t xml:space="preserve"> 2018, RED was revised and RED II came into effect. The RED II provided</w:t>
      </w:r>
      <w:r w:rsidR="3C34D7CC" w:rsidRPr="59587566">
        <w:rPr>
          <w:sz w:val="22"/>
          <w:szCs w:val="22"/>
          <w:lang w:val="en-GB"/>
        </w:rPr>
        <w:t>,</w:t>
      </w:r>
      <w:r w:rsidR="2A28DF93" w:rsidRPr="59587566">
        <w:rPr>
          <w:sz w:val="22"/>
          <w:szCs w:val="22"/>
          <w:lang w:val="en-GB"/>
        </w:rPr>
        <w:t xml:space="preserve"> for the first time</w:t>
      </w:r>
      <w:r w:rsidR="310E5675" w:rsidRPr="59587566">
        <w:rPr>
          <w:sz w:val="22"/>
          <w:szCs w:val="22"/>
          <w:lang w:val="en-GB"/>
        </w:rPr>
        <w:t>,</w:t>
      </w:r>
      <w:r w:rsidR="2A28DF93" w:rsidRPr="59587566">
        <w:rPr>
          <w:sz w:val="22"/>
          <w:szCs w:val="22"/>
          <w:lang w:val="en-GB"/>
        </w:rPr>
        <w:t xml:space="preserve"> a roadmap with specific sustainability criteria and targets for biofuels. Th</w:t>
      </w:r>
      <w:r w:rsidR="24CF1E57" w:rsidRPr="59587566">
        <w:rPr>
          <w:sz w:val="22"/>
          <w:szCs w:val="22"/>
          <w:lang w:val="en-GB"/>
        </w:rPr>
        <w:t>e</w:t>
      </w:r>
      <w:r w:rsidR="2A28DF93" w:rsidRPr="59587566">
        <w:rPr>
          <w:sz w:val="22"/>
          <w:szCs w:val="22"/>
          <w:lang w:val="en-GB"/>
        </w:rPr>
        <w:t xml:space="preserve"> revised version increased the target for </w:t>
      </w:r>
      <w:r w:rsidR="50B38534" w:rsidRPr="59587566">
        <w:rPr>
          <w:sz w:val="22"/>
          <w:szCs w:val="22"/>
          <w:lang w:val="en-GB"/>
        </w:rPr>
        <w:t xml:space="preserve">total </w:t>
      </w:r>
      <w:r w:rsidR="2A28DF93" w:rsidRPr="59587566">
        <w:rPr>
          <w:sz w:val="22"/>
          <w:szCs w:val="22"/>
          <w:lang w:val="en-GB"/>
        </w:rPr>
        <w:t>renewable</w:t>
      </w:r>
      <w:r w:rsidR="0E8BE8CC" w:rsidRPr="59587566">
        <w:rPr>
          <w:sz w:val="22"/>
          <w:szCs w:val="22"/>
          <w:lang w:val="en-GB"/>
        </w:rPr>
        <w:t>s</w:t>
      </w:r>
      <w:r w:rsidR="2A28DF93" w:rsidRPr="59587566">
        <w:rPr>
          <w:sz w:val="22"/>
          <w:szCs w:val="22"/>
          <w:lang w:val="en-GB"/>
        </w:rPr>
        <w:t xml:space="preserve"> to 14</w:t>
      </w:r>
      <w:r w:rsidR="005D0FC1">
        <w:rPr>
          <w:sz w:val="22"/>
          <w:szCs w:val="22"/>
          <w:lang w:val="en-GB"/>
        </w:rPr>
        <w:t xml:space="preserve"> </w:t>
      </w:r>
      <w:r w:rsidR="2A28DF93" w:rsidRPr="59587566">
        <w:rPr>
          <w:sz w:val="22"/>
          <w:szCs w:val="22"/>
          <w:lang w:val="en-GB"/>
        </w:rPr>
        <w:t>%, and to 3.</w:t>
      </w:r>
      <w:r w:rsidR="00C1103C">
        <w:rPr>
          <w:sz w:val="22"/>
          <w:szCs w:val="22"/>
          <w:lang w:val="en-GB"/>
        </w:rPr>
        <w:t>5</w:t>
      </w:r>
      <w:r w:rsidR="005D0FC1">
        <w:rPr>
          <w:sz w:val="22"/>
          <w:szCs w:val="22"/>
          <w:lang w:val="en-GB"/>
        </w:rPr>
        <w:t xml:space="preserve"> </w:t>
      </w:r>
      <w:r w:rsidR="2A28DF93" w:rsidRPr="59587566">
        <w:rPr>
          <w:sz w:val="22"/>
          <w:szCs w:val="22"/>
          <w:lang w:val="en-GB"/>
        </w:rPr>
        <w:t>% for advanced biofuels</w:t>
      </w:r>
      <w:r w:rsidR="00C1103C">
        <w:rPr>
          <w:sz w:val="22"/>
          <w:szCs w:val="22"/>
          <w:lang w:val="en-GB"/>
        </w:rPr>
        <w:t xml:space="preserve"> in 2030</w:t>
      </w:r>
      <w:r w:rsidR="7DDBC449" w:rsidRPr="59587566">
        <w:rPr>
          <w:sz w:val="22"/>
          <w:szCs w:val="22"/>
          <w:lang w:val="en-GB"/>
        </w:rPr>
        <w:t>,</w:t>
      </w:r>
      <w:r w:rsidR="3E88264C" w:rsidRPr="59587566">
        <w:rPr>
          <w:sz w:val="22"/>
          <w:szCs w:val="22"/>
          <w:lang w:val="en-GB"/>
        </w:rPr>
        <w:t xml:space="preserve"> also</w:t>
      </w:r>
      <w:r w:rsidR="7DDBC449" w:rsidRPr="59587566">
        <w:rPr>
          <w:sz w:val="22"/>
          <w:szCs w:val="22"/>
          <w:lang w:val="en-GB"/>
        </w:rPr>
        <w:t xml:space="preserve"> introducing the </w:t>
      </w:r>
      <w:r w:rsidR="2A28DF93" w:rsidRPr="59587566">
        <w:rPr>
          <w:sz w:val="22"/>
          <w:szCs w:val="22"/>
          <w:lang w:val="en-GB"/>
        </w:rPr>
        <w:t>double counting</w:t>
      </w:r>
      <w:r w:rsidR="65525757" w:rsidRPr="59587566">
        <w:rPr>
          <w:sz w:val="22"/>
          <w:szCs w:val="22"/>
          <w:lang w:val="en-GB"/>
        </w:rPr>
        <w:t xml:space="preserve"> approach</w:t>
      </w:r>
      <w:r w:rsidR="3951C37D" w:rsidRPr="59587566">
        <w:rPr>
          <w:sz w:val="22"/>
          <w:szCs w:val="22"/>
          <w:lang w:val="en-GB"/>
        </w:rPr>
        <w:t xml:space="preserve">. </w:t>
      </w:r>
      <w:r w:rsidR="3874DDCE" w:rsidRPr="59587566">
        <w:rPr>
          <w:sz w:val="22"/>
          <w:szCs w:val="22"/>
          <w:lang w:val="en-GB"/>
        </w:rPr>
        <w:t xml:space="preserve">The </w:t>
      </w:r>
      <w:r w:rsidR="2A28DF93" w:rsidRPr="59587566">
        <w:rPr>
          <w:sz w:val="22"/>
          <w:szCs w:val="22"/>
          <w:lang w:val="en-GB"/>
        </w:rPr>
        <w:t>double counting</w:t>
      </w:r>
      <w:r w:rsidR="4A369244" w:rsidRPr="59587566">
        <w:rPr>
          <w:sz w:val="22"/>
          <w:szCs w:val="22"/>
          <w:lang w:val="en-GB"/>
        </w:rPr>
        <w:t xml:space="preserve"> approach states that </w:t>
      </w:r>
      <w:r w:rsidR="2A28DF93" w:rsidRPr="59587566">
        <w:rPr>
          <w:sz w:val="22"/>
          <w:szCs w:val="22"/>
          <w:lang w:val="en-GB"/>
        </w:rPr>
        <w:t xml:space="preserve">advanced biofuels </w:t>
      </w:r>
      <w:r w:rsidR="1D24BEB5" w:rsidRPr="59587566">
        <w:rPr>
          <w:sz w:val="22"/>
          <w:szCs w:val="22"/>
          <w:lang w:val="en-GB"/>
        </w:rPr>
        <w:t xml:space="preserve">have their </w:t>
      </w:r>
      <w:r w:rsidR="00FE37AF">
        <w:rPr>
          <w:sz w:val="22"/>
          <w:szCs w:val="22"/>
          <w:lang w:val="en-GB"/>
        </w:rPr>
        <w:t>contribution</w:t>
      </w:r>
      <w:r w:rsidR="2A28DF93" w:rsidRPr="59587566">
        <w:rPr>
          <w:sz w:val="22"/>
          <w:szCs w:val="22"/>
          <w:lang w:val="en-GB"/>
        </w:rPr>
        <w:t xml:space="preserve"> </w:t>
      </w:r>
      <w:r w:rsidR="6B3CEA29" w:rsidRPr="59587566">
        <w:rPr>
          <w:sz w:val="22"/>
          <w:szCs w:val="22"/>
          <w:lang w:val="en-GB"/>
        </w:rPr>
        <w:t xml:space="preserve">accounted </w:t>
      </w:r>
      <w:r w:rsidR="6B3CEA29" w:rsidRPr="59587566">
        <w:rPr>
          <w:sz w:val="22"/>
          <w:szCs w:val="22"/>
          <w:lang w:val="en-GB"/>
        </w:rPr>
        <w:lastRenderedPageBreak/>
        <w:t>twice in</w:t>
      </w:r>
      <w:r w:rsidR="2A28DF93" w:rsidRPr="59587566">
        <w:rPr>
          <w:sz w:val="22"/>
          <w:szCs w:val="22"/>
          <w:lang w:val="en-GB"/>
        </w:rPr>
        <w:t xml:space="preserve"> the </w:t>
      </w:r>
      <w:r w:rsidR="00FE37AF">
        <w:rPr>
          <w:sz w:val="22"/>
          <w:szCs w:val="22"/>
          <w:lang w:val="en-GB"/>
        </w:rPr>
        <w:t xml:space="preserve">GHG </w:t>
      </w:r>
      <w:r w:rsidR="2A28DF93" w:rsidRPr="59587566">
        <w:rPr>
          <w:sz w:val="22"/>
          <w:szCs w:val="22"/>
          <w:lang w:val="en-GB"/>
        </w:rPr>
        <w:t xml:space="preserve">balance. </w:t>
      </w:r>
      <w:r w:rsidR="2C04BC36" w:rsidRPr="59587566">
        <w:rPr>
          <w:sz w:val="22"/>
          <w:szCs w:val="22"/>
          <w:lang w:val="en-GB"/>
        </w:rPr>
        <w:t>The use of fuels produced from feedstock</w:t>
      </w:r>
      <w:r w:rsidR="1E379522" w:rsidRPr="59587566">
        <w:rPr>
          <w:sz w:val="22"/>
          <w:szCs w:val="22"/>
          <w:lang w:val="en-GB"/>
        </w:rPr>
        <w:t>s</w:t>
      </w:r>
      <w:r w:rsidR="2C04BC36" w:rsidRPr="59587566">
        <w:rPr>
          <w:sz w:val="22"/>
          <w:szCs w:val="22"/>
          <w:lang w:val="en-GB"/>
        </w:rPr>
        <w:t xml:space="preserve"> that do not cope with food security </w:t>
      </w:r>
      <w:r w:rsidR="638C999E" w:rsidRPr="59587566">
        <w:rPr>
          <w:sz w:val="22"/>
          <w:szCs w:val="22"/>
          <w:lang w:val="en-GB"/>
        </w:rPr>
        <w:t>and</w:t>
      </w:r>
      <w:r w:rsidR="007D4A4F">
        <w:rPr>
          <w:sz w:val="22"/>
          <w:szCs w:val="22"/>
          <w:lang w:val="en-GB"/>
        </w:rPr>
        <w:t>/or</w:t>
      </w:r>
      <w:r w:rsidR="638C999E" w:rsidRPr="59587566">
        <w:rPr>
          <w:sz w:val="22"/>
          <w:szCs w:val="22"/>
          <w:lang w:val="en-GB"/>
        </w:rPr>
        <w:t xml:space="preserve"> represent a potential risk for land use change</w:t>
      </w:r>
      <w:r w:rsidR="022669FE" w:rsidRPr="59587566">
        <w:rPr>
          <w:sz w:val="22"/>
          <w:szCs w:val="22"/>
          <w:lang w:val="en-GB"/>
        </w:rPr>
        <w:t>,</w:t>
      </w:r>
      <w:r w:rsidR="2C04BC36" w:rsidRPr="59587566">
        <w:rPr>
          <w:sz w:val="22"/>
          <w:szCs w:val="22"/>
          <w:lang w:val="en-GB"/>
        </w:rPr>
        <w:t xml:space="preserve"> </w:t>
      </w:r>
      <w:r w:rsidR="2A28DF93" w:rsidRPr="59587566">
        <w:rPr>
          <w:sz w:val="22"/>
          <w:szCs w:val="22"/>
          <w:lang w:val="en-GB"/>
        </w:rPr>
        <w:t xml:space="preserve">will be gradually dismissed by 2030. </w:t>
      </w:r>
      <w:r w:rsidR="007D4A4F">
        <w:rPr>
          <w:sz w:val="22"/>
          <w:szCs w:val="22"/>
          <w:lang w:val="en-GB"/>
        </w:rPr>
        <w:t>Some Eu member states</w:t>
      </w:r>
      <w:r w:rsidR="003C20A0">
        <w:rPr>
          <w:sz w:val="22"/>
          <w:szCs w:val="22"/>
          <w:lang w:val="en-GB"/>
        </w:rPr>
        <w:t>, however,</w:t>
      </w:r>
      <w:r w:rsidR="007D4A4F">
        <w:rPr>
          <w:sz w:val="22"/>
          <w:szCs w:val="22"/>
          <w:lang w:val="en-GB"/>
        </w:rPr>
        <w:t xml:space="preserve"> </w:t>
      </w:r>
      <w:r w:rsidR="003C20A0">
        <w:rPr>
          <w:sz w:val="22"/>
          <w:szCs w:val="22"/>
          <w:lang w:val="en-GB"/>
        </w:rPr>
        <w:t>pledge the non-use of traditional feedstocks before 2030</w:t>
      </w:r>
      <w:r w:rsidR="007D4A4F">
        <w:rPr>
          <w:sz w:val="22"/>
          <w:szCs w:val="22"/>
          <w:lang w:val="en-GB"/>
        </w:rPr>
        <w:t xml:space="preserve">. </w:t>
      </w:r>
      <w:r w:rsidR="2A28DF93" w:rsidRPr="59587566">
        <w:rPr>
          <w:sz w:val="22"/>
          <w:szCs w:val="22"/>
          <w:lang w:val="en-GB"/>
        </w:rPr>
        <w:t>The Delegated Regulation (EU) 2019/807</w:t>
      </w:r>
      <w:r w:rsidR="536E58B7" w:rsidRPr="59587566">
        <w:rPr>
          <w:sz w:val="22"/>
          <w:szCs w:val="22"/>
          <w:lang w:val="en-GB"/>
        </w:rPr>
        <w:t>,</w:t>
      </w:r>
      <w:r w:rsidR="2A28DF93" w:rsidRPr="59587566">
        <w:rPr>
          <w:sz w:val="22"/>
          <w:szCs w:val="22"/>
          <w:lang w:val="en-GB"/>
        </w:rPr>
        <w:t xml:space="preserve"> supplementing the RED II</w:t>
      </w:r>
      <w:r w:rsidR="27D80ED2" w:rsidRPr="59587566">
        <w:rPr>
          <w:sz w:val="22"/>
          <w:szCs w:val="22"/>
          <w:lang w:val="en-GB"/>
        </w:rPr>
        <w:t>,</w:t>
      </w:r>
      <w:r w:rsidR="2A28DF93" w:rsidRPr="59587566">
        <w:rPr>
          <w:sz w:val="22"/>
          <w:szCs w:val="22"/>
          <w:lang w:val="en-GB"/>
        </w:rPr>
        <w:t xml:space="preserve"> </w:t>
      </w:r>
      <w:r w:rsidR="00FE37AF">
        <w:rPr>
          <w:sz w:val="22"/>
          <w:szCs w:val="22"/>
          <w:lang w:val="en-GB"/>
        </w:rPr>
        <w:t>fosters</w:t>
      </w:r>
      <w:r w:rsidR="2A28DF93" w:rsidRPr="59587566">
        <w:rPr>
          <w:sz w:val="22"/>
          <w:szCs w:val="22"/>
          <w:lang w:val="en-GB"/>
        </w:rPr>
        <w:t xml:space="preserve"> the use of resources </w:t>
      </w:r>
      <w:r w:rsidR="42B5A1A0" w:rsidRPr="59587566">
        <w:rPr>
          <w:sz w:val="22"/>
          <w:szCs w:val="22"/>
          <w:lang w:val="en-GB"/>
        </w:rPr>
        <w:t>with low risk for</w:t>
      </w:r>
      <w:r w:rsidR="2A28DF93" w:rsidRPr="59587566">
        <w:rPr>
          <w:sz w:val="22"/>
          <w:szCs w:val="22"/>
          <w:lang w:val="en-GB"/>
        </w:rPr>
        <w:t xml:space="preserve"> Indirect Land Use</w:t>
      </w:r>
      <w:r w:rsidR="00FE37AF">
        <w:rPr>
          <w:sz w:val="22"/>
          <w:szCs w:val="22"/>
          <w:lang w:val="en-GB"/>
        </w:rPr>
        <w:t xml:space="preserve"> Change</w:t>
      </w:r>
      <w:r w:rsidR="2A28DF93" w:rsidRPr="59587566">
        <w:rPr>
          <w:sz w:val="22"/>
          <w:szCs w:val="22"/>
          <w:lang w:val="en-GB"/>
        </w:rPr>
        <w:t xml:space="preserve"> (ILUC) and </w:t>
      </w:r>
      <w:r w:rsidR="00FE37AF">
        <w:rPr>
          <w:sz w:val="22"/>
          <w:szCs w:val="22"/>
          <w:lang w:val="en-GB"/>
        </w:rPr>
        <w:t xml:space="preserve">which </w:t>
      </w:r>
      <w:r w:rsidR="002001F7" w:rsidRPr="59587566">
        <w:rPr>
          <w:sz w:val="22"/>
          <w:szCs w:val="22"/>
          <w:lang w:val="en-GB"/>
        </w:rPr>
        <w:t xml:space="preserve">promote </w:t>
      </w:r>
      <w:r w:rsidR="2A28DF93" w:rsidRPr="59587566">
        <w:rPr>
          <w:sz w:val="22"/>
          <w:szCs w:val="22"/>
          <w:lang w:val="en-GB"/>
        </w:rPr>
        <w:t>improve</w:t>
      </w:r>
      <w:r w:rsidR="0BF2DBC6" w:rsidRPr="59587566">
        <w:rPr>
          <w:sz w:val="22"/>
          <w:szCs w:val="22"/>
          <w:lang w:val="en-GB"/>
        </w:rPr>
        <w:t>d</w:t>
      </w:r>
      <w:r w:rsidR="2A28DF93" w:rsidRPr="59587566">
        <w:rPr>
          <w:sz w:val="22"/>
          <w:szCs w:val="22"/>
          <w:lang w:val="en-GB"/>
        </w:rPr>
        <w:t xml:space="preserve"> agricultural practices (</w:t>
      </w:r>
      <w:proofErr w:type="spellStart"/>
      <w:r w:rsidR="2A28DF93" w:rsidRPr="59587566">
        <w:rPr>
          <w:sz w:val="22"/>
          <w:szCs w:val="22"/>
          <w:lang w:val="en-GB"/>
        </w:rPr>
        <w:t>Panoutsou</w:t>
      </w:r>
      <w:proofErr w:type="spellEnd"/>
      <w:r w:rsidR="2A28DF93" w:rsidRPr="59587566">
        <w:rPr>
          <w:sz w:val="22"/>
          <w:szCs w:val="22"/>
          <w:lang w:val="en-GB"/>
        </w:rPr>
        <w:t xml:space="preserve"> et al., 2021).</w:t>
      </w:r>
    </w:p>
    <w:p w14:paraId="30147E97" w14:textId="1D540A00" w:rsidR="00BA4A18" w:rsidRDefault="00BA4A18" w:rsidP="00BA4A18">
      <w:pPr>
        <w:spacing w:after="120" w:line="360" w:lineRule="auto"/>
        <w:ind w:firstLine="709"/>
        <w:rPr>
          <w:sz w:val="22"/>
          <w:szCs w:val="22"/>
          <w:lang w:val="en-GB"/>
        </w:rPr>
      </w:pPr>
      <w:r w:rsidRPr="00BA4A18">
        <w:rPr>
          <w:sz w:val="22"/>
          <w:szCs w:val="22"/>
          <w:lang w:val="en-GB"/>
        </w:rPr>
        <w:t xml:space="preserve"> </w:t>
      </w:r>
      <w:r>
        <w:rPr>
          <w:sz w:val="22"/>
          <w:szCs w:val="22"/>
          <w:lang w:val="en-GB"/>
        </w:rPr>
        <w:t>A</w:t>
      </w:r>
      <w:r w:rsidRPr="00F22544">
        <w:rPr>
          <w:sz w:val="22"/>
          <w:szCs w:val="22"/>
          <w:lang w:val="en-GB"/>
        </w:rPr>
        <w:t>nnex IX of RED II conveys to edible feedstock for advanced fuel production. As for annex IX, advanced biofuels are mostly produced from residual streams.</w:t>
      </w:r>
      <w:r w:rsidRPr="000E166E">
        <w:rPr>
          <w:sz w:val="22"/>
          <w:szCs w:val="22"/>
          <w:lang w:val="en-GB"/>
        </w:rPr>
        <w:t xml:space="preserve"> </w:t>
      </w:r>
      <w:r w:rsidRPr="00F22544">
        <w:rPr>
          <w:sz w:val="22"/>
          <w:szCs w:val="22"/>
          <w:lang w:val="en-GB"/>
        </w:rPr>
        <w:t xml:space="preserve">Much attention is given to this topic since it is a sensible step towards sustainable biofuels production. The sustainable use of lignocellulosic material for energy application is dependent on how and where such material is derived. The direct or indirect land use change (LUC) refers to potential impact that commercial cultivation might have on the availability of productive land, suitable for food production, and the displacement of natural vegetation towards the commercial application. While the first debates on food vs fuel matter, the second leads to GHG emissions prevenient from natural carbon stocks and the loss of biodiversity </w:t>
      </w:r>
      <w:r w:rsidR="00B0696A">
        <w:rPr>
          <w:sz w:val="22"/>
          <w:szCs w:val="22"/>
          <w:lang w:val="en-GB"/>
        </w:rPr>
        <w:t xml:space="preserve"> </w:t>
      </w:r>
      <w:r w:rsidR="00B0696A">
        <w:rPr>
          <w:sz w:val="22"/>
          <w:szCs w:val="22"/>
          <w:lang w:val="en-GB"/>
        </w:rPr>
        <w:fldChar w:fldCharType="begin" w:fldLock="1"/>
      </w:r>
      <w:r w:rsidR="00B0696A">
        <w:rPr>
          <w:sz w:val="22"/>
          <w:szCs w:val="22"/>
          <w:lang w:val="en-GB"/>
        </w:rPr>
        <w:instrText>ADDIN CSL_CITATION {"citationItems":[{"id":"ITEM-1","itemData":{"DOI":"10.1016/j.biombioe.2011.07.015","ISSN":"0961-9534","author":[{"dropping-particle":"Van","family":"Stappen","given":"Florence","non-dropping-particle":"","parse-names":false,"suffix":""},{"dropping-particle":"","family":"Brose","given":"Isabelle","non-dropping-particle":"","parse-names":false,"suffix":""},{"dropping-particle":"","family":"Schenkel","given":"Yves","non-dropping-particle":"","parse-names":false,"suffix":""}],"container-title":"Biomass and Bioenergy","id":"ITEM-1","issue":"12","issued":{"date-parts":[["2011"]]},"page":"4824-4834","publisher":"Elsevier Ltd","title":"Direct and indirect land use changes issues in European sustainability initiatives : State-of-the-art , open issues and future developments","type":"article-journal","volume":"35"},"uris":["http://www.mendeley.com/documents/?uuid=4603b30b-5dfb-4731-a2f0-7954227e62f2"]}],"mendeley":{"formattedCitation":"(Stappen et al., 2011)","plainTextFormattedCitation":"(Stappen et al., 2011)","previouslyFormattedCitation":"(Stappen et al., 2011)"},"properties":{"noteIndex":0},"schema":"https://github.com/citation-style-language/schema/raw/master/csl-citation.json"}</w:instrText>
      </w:r>
      <w:r w:rsidR="00B0696A">
        <w:rPr>
          <w:sz w:val="22"/>
          <w:szCs w:val="22"/>
          <w:lang w:val="en-GB"/>
        </w:rPr>
        <w:fldChar w:fldCharType="separate"/>
      </w:r>
      <w:r w:rsidR="00B0696A" w:rsidRPr="00B0696A">
        <w:rPr>
          <w:noProof/>
          <w:sz w:val="22"/>
          <w:szCs w:val="22"/>
          <w:lang w:val="en-GB"/>
        </w:rPr>
        <w:t>(Stappen et al., 2011)</w:t>
      </w:r>
      <w:r w:rsidR="00B0696A">
        <w:rPr>
          <w:sz w:val="22"/>
          <w:szCs w:val="22"/>
          <w:lang w:val="en-GB"/>
        </w:rPr>
        <w:fldChar w:fldCharType="end"/>
      </w:r>
      <w:r w:rsidRPr="00F22544">
        <w:rPr>
          <w:sz w:val="22"/>
          <w:szCs w:val="22"/>
          <w:lang w:val="en-GB"/>
        </w:rPr>
        <w:t xml:space="preserve">. Moreover, the management of any agricultural crop must deal with the depletion of soil nutrients and, consequently, the use of fertilizers increasing its carbon intensity. </w:t>
      </w:r>
      <w:proofErr w:type="gramStart"/>
      <w:r w:rsidR="00EC6938">
        <w:rPr>
          <w:sz w:val="22"/>
          <w:szCs w:val="22"/>
          <w:lang w:val="en-GB"/>
        </w:rPr>
        <w:t xml:space="preserve">This </w:t>
      </w:r>
      <w:r w:rsidRPr="00F22544">
        <w:rPr>
          <w:sz w:val="22"/>
          <w:szCs w:val="22"/>
          <w:lang w:val="en-GB"/>
        </w:rPr>
        <w:t xml:space="preserve"> </w:t>
      </w:r>
      <w:r w:rsidR="00EC6938" w:rsidRPr="00F22544">
        <w:rPr>
          <w:sz w:val="22"/>
          <w:szCs w:val="22"/>
          <w:lang w:val="en-GB"/>
        </w:rPr>
        <w:t>must</w:t>
      </w:r>
      <w:proofErr w:type="gramEnd"/>
      <w:r w:rsidR="00EC6938" w:rsidRPr="00F22544">
        <w:rPr>
          <w:sz w:val="22"/>
          <w:szCs w:val="22"/>
          <w:lang w:val="en-GB"/>
        </w:rPr>
        <w:t xml:space="preserve"> be considered under critical assessment </w:t>
      </w:r>
      <w:r w:rsidRPr="00F22544">
        <w:rPr>
          <w:sz w:val="22"/>
          <w:szCs w:val="22"/>
          <w:lang w:val="en-GB"/>
        </w:rPr>
        <w:t>together</w:t>
      </w:r>
      <w:r w:rsidR="00EC6938">
        <w:rPr>
          <w:sz w:val="22"/>
          <w:szCs w:val="22"/>
          <w:lang w:val="en-GB"/>
        </w:rPr>
        <w:t xml:space="preserve"> with</w:t>
      </w:r>
      <w:r w:rsidRPr="00F22544">
        <w:rPr>
          <w:sz w:val="22"/>
          <w:szCs w:val="22"/>
          <w:lang w:val="en-GB"/>
        </w:rPr>
        <w:t xml:space="preserve"> the expansion of agricultural areas.</w:t>
      </w:r>
      <w:r w:rsidRPr="00BA4A18">
        <w:rPr>
          <w:sz w:val="22"/>
          <w:szCs w:val="22"/>
          <w:lang w:val="en-GB"/>
        </w:rPr>
        <w:t xml:space="preserve"> </w:t>
      </w:r>
      <w:r w:rsidR="00AB34CC">
        <w:rPr>
          <w:sz w:val="22"/>
          <w:szCs w:val="22"/>
          <w:lang w:val="en-GB"/>
        </w:rPr>
        <w:t>On the other hand, t</w:t>
      </w:r>
      <w:r w:rsidRPr="00F22544">
        <w:rPr>
          <w:sz w:val="22"/>
          <w:szCs w:val="22"/>
          <w:lang w:val="en-GB"/>
        </w:rPr>
        <w:t xml:space="preserve">he use of dedicated energy crops on degraded and marginal lands can contribute to improve soil </w:t>
      </w:r>
      <w:r w:rsidR="00AB34CC">
        <w:rPr>
          <w:sz w:val="22"/>
          <w:szCs w:val="22"/>
          <w:lang w:val="en-GB"/>
        </w:rPr>
        <w:t>fertility</w:t>
      </w:r>
      <w:r w:rsidRPr="00F22544">
        <w:rPr>
          <w:sz w:val="22"/>
          <w:szCs w:val="22"/>
          <w:lang w:val="en-GB"/>
        </w:rPr>
        <w:t xml:space="preserve">, and could be </w:t>
      </w:r>
      <w:proofErr w:type="gramStart"/>
      <w:r w:rsidRPr="00F22544">
        <w:rPr>
          <w:sz w:val="22"/>
          <w:szCs w:val="22"/>
          <w:lang w:val="en-GB"/>
        </w:rPr>
        <w:t>an</w:t>
      </w:r>
      <w:proofErr w:type="gramEnd"/>
      <w:r w:rsidRPr="00F22544">
        <w:rPr>
          <w:sz w:val="22"/>
          <w:szCs w:val="22"/>
          <w:lang w:val="en-GB"/>
        </w:rPr>
        <w:t xml:space="preserve"> strategy to increase feedstock availability, as suggested by the Delegated Regulation (EU) 2019/807. Nevertheless, the definition and classification of degraded lands </w:t>
      </w:r>
      <w:r w:rsidR="00EC6938">
        <w:rPr>
          <w:sz w:val="22"/>
          <w:szCs w:val="22"/>
          <w:lang w:val="en-GB"/>
        </w:rPr>
        <w:t xml:space="preserve">still </w:t>
      </w:r>
      <w:r w:rsidRPr="00F22544">
        <w:rPr>
          <w:sz w:val="22"/>
          <w:szCs w:val="22"/>
          <w:lang w:val="en-GB"/>
        </w:rPr>
        <w:t>lack</w:t>
      </w:r>
      <w:r w:rsidR="00EC6938">
        <w:rPr>
          <w:sz w:val="22"/>
          <w:szCs w:val="22"/>
          <w:lang w:val="en-GB"/>
        </w:rPr>
        <w:t>s</w:t>
      </w:r>
      <w:r w:rsidRPr="00F22544">
        <w:rPr>
          <w:sz w:val="22"/>
          <w:szCs w:val="22"/>
          <w:lang w:val="en-GB"/>
        </w:rPr>
        <w:t xml:space="preserve"> clarity </w:t>
      </w:r>
      <w:r w:rsidR="00B0696A">
        <w:rPr>
          <w:sz w:val="22"/>
          <w:szCs w:val="22"/>
          <w:lang w:val="en-GB"/>
        </w:rPr>
        <w:fldChar w:fldCharType="begin" w:fldLock="1"/>
      </w:r>
      <w:r w:rsidR="00B0696A">
        <w:rPr>
          <w:sz w:val="22"/>
          <w:szCs w:val="22"/>
          <w:lang w:val="en-GB"/>
        </w:rPr>
        <w:instrText>ADDIN CSL_CITATION {"citationItems":[{"id":"ITEM-1","itemData":{"DOI":"10.1016/j.rser.2020.110220","author":[{"dropping-particle":"","family":"Thomas","given":"R","non-dropping-particle":"","parse-names":false,"suffix":""},{"dropping-particle":"","family":"Hursthouse","given":"A","non-dropping-particle":"","parse-names":false,"suffix":""},{"dropping-particle":"","family":"Mellor","given":"P","non-dropping-particle":"","parse-names":false,"suffix":""},{"dropping-particle":"","family":"Lord","given":"R A","non-dropping-particle":"","parse-names":false,"suffix":""},{"dropping-particle":"","family":"Jo","given":"E","non-dropping-particle":"","parse-names":false,"suffix":""}],"id":"ITEM-1","issue":"August 2020","issued":{"date-parts":[["2021"]]},"title":"Identifying non-agricultural marginal lands as a route to sustainable bioenergy provision - A review and holistic definition","type":"article-journal","volume":"135"},"uris":["http://www.mendeley.com/documents/?uuid=354f418e-c815-4306-b1c0-11c1267a5ca8"]}],"mendeley":{"formattedCitation":"(Thomas et al., 2021)","plainTextFormattedCitation":"(Thomas et al., 2021)"},"properties":{"noteIndex":0},"schema":"https://github.com/citation-style-language/schema/raw/master/csl-citation.json"}</w:instrText>
      </w:r>
      <w:r w:rsidR="00B0696A">
        <w:rPr>
          <w:sz w:val="22"/>
          <w:szCs w:val="22"/>
          <w:lang w:val="en-GB"/>
        </w:rPr>
        <w:fldChar w:fldCharType="separate"/>
      </w:r>
      <w:r w:rsidR="00B0696A" w:rsidRPr="00B0696A">
        <w:rPr>
          <w:noProof/>
          <w:sz w:val="22"/>
          <w:szCs w:val="22"/>
          <w:lang w:val="en-GB"/>
        </w:rPr>
        <w:t>(Thomas et al., 2021)</w:t>
      </w:r>
      <w:r w:rsidR="00B0696A">
        <w:rPr>
          <w:sz w:val="22"/>
          <w:szCs w:val="22"/>
          <w:lang w:val="en-GB"/>
        </w:rPr>
        <w:fldChar w:fldCharType="end"/>
      </w:r>
      <w:r w:rsidRPr="00F22544">
        <w:rPr>
          <w:sz w:val="22"/>
          <w:szCs w:val="22"/>
          <w:lang w:val="en-GB"/>
        </w:rPr>
        <w:t>.</w:t>
      </w:r>
    </w:p>
    <w:p w14:paraId="42096AD3" w14:textId="096E2DD5" w:rsidR="00AB34CC" w:rsidRPr="00F22544" w:rsidRDefault="00AB34CC" w:rsidP="00BA4A18">
      <w:pPr>
        <w:spacing w:after="120" w:line="360" w:lineRule="auto"/>
        <w:ind w:firstLine="709"/>
        <w:rPr>
          <w:sz w:val="22"/>
          <w:szCs w:val="22"/>
          <w:lang w:val="en-GB"/>
        </w:rPr>
      </w:pPr>
      <w:r w:rsidRPr="00AB34CC">
        <w:rPr>
          <w:sz w:val="22"/>
          <w:szCs w:val="22"/>
          <w:lang w:val="en-GB"/>
        </w:rPr>
        <w:t xml:space="preserve">It is </w:t>
      </w:r>
      <w:r>
        <w:rPr>
          <w:sz w:val="22"/>
          <w:szCs w:val="22"/>
          <w:lang w:val="en-GB"/>
        </w:rPr>
        <w:t>vital</w:t>
      </w:r>
      <w:r w:rsidRPr="00AB34CC">
        <w:rPr>
          <w:sz w:val="22"/>
          <w:szCs w:val="22"/>
          <w:lang w:val="en-GB"/>
        </w:rPr>
        <w:t xml:space="preserve">, therefore, to consider the use of agricultural residues when discussing the use of lignocellulosic material for energy purposes. The valorisation of agricultural and forestry residues is fundamental to increase bioenergy capacity and </w:t>
      </w:r>
      <w:r>
        <w:rPr>
          <w:sz w:val="22"/>
          <w:szCs w:val="22"/>
          <w:lang w:val="en-GB"/>
        </w:rPr>
        <w:t>boost</w:t>
      </w:r>
      <w:r w:rsidRPr="00AB34CC">
        <w:rPr>
          <w:sz w:val="22"/>
          <w:szCs w:val="22"/>
          <w:lang w:val="en-GB"/>
        </w:rPr>
        <w:t xml:space="preserve"> the value added to the feedstock without land area expansion. Therefore, mitigating the matters related to agricultural practices and land use change</w:t>
      </w:r>
      <w:r>
        <w:rPr>
          <w:sz w:val="22"/>
          <w:szCs w:val="22"/>
          <w:lang w:val="en-GB"/>
        </w:rPr>
        <w:t>.</w:t>
      </w:r>
    </w:p>
    <w:p w14:paraId="76365923" w14:textId="1B4FF449" w:rsidR="00BA4A18" w:rsidRDefault="23508578" w:rsidP="00BA4A18">
      <w:pPr>
        <w:spacing w:after="120" w:line="360" w:lineRule="auto"/>
        <w:ind w:firstLine="709"/>
        <w:rPr>
          <w:sz w:val="22"/>
          <w:szCs w:val="22"/>
          <w:lang w:val="en-GB"/>
        </w:rPr>
      </w:pPr>
      <w:r w:rsidRPr="59587566">
        <w:rPr>
          <w:sz w:val="22"/>
          <w:szCs w:val="22"/>
          <w:lang w:val="en-GB"/>
        </w:rPr>
        <w:t xml:space="preserve"> </w:t>
      </w:r>
      <w:r w:rsidR="00EC6938">
        <w:rPr>
          <w:sz w:val="22"/>
          <w:szCs w:val="22"/>
          <w:lang w:val="en-GB"/>
        </w:rPr>
        <w:t>I</w:t>
      </w:r>
      <w:r w:rsidR="2A28DF93" w:rsidRPr="59587566">
        <w:rPr>
          <w:sz w:val="22"/>
          <w:szCs w:val="22"/>
          <w:lang w:val="en-GB"/>
        </w:rPr>
        <w:t xml:space="preserve">n </w:t>
      </w:r>
      <w:r w:rsidR="00EC6938">
        <w:rPr>
          <w:sz w:val="22"/>
          <w:szCs w:val="22"/>
          <w:lang w:val="en-GB"/>
        </w:rPr>
        <w:t>A</w:t>
      </w:r>
      <w:r w:rsidR="00EC6938" w:rsidRPr="59587566">
        <w:rPr>
          <w:sz w:val="22"/>
          <w:szCs w:val="22"/>
          <w:lang w:val="en-GB"/>
        </w:rPr>
        <w:t>nnex IX of RED II</w:t>
      </w:r>
      <w:r w:rsidR="00EC6938">
        <w:rPr>
          <w:sz w:val="22"/>
          <w:szCs w:val="22"/>
          <w:lang w:val="en-GB"/>
        </w:rPr>
        <w:t>,</w:t>
      </w:r>
      <w:r w:rsidR="00EC6938" w:rsidRPr="59587566">
        <w:rPr>
          <w:sz w:val="22"/>
          <w:szCs w:val="22"/>
          <w:lang w:val="en-GB"/>
        </w:rPr>
        <w:t xml:space="preserve"> </w:t>
      </w:r>
      <w:r w:rsidR="2A28DF93" w:rsidRPr="59587566">
        <w:rPr>
          <w:sz w:val="22"/>
          <w:szCs w:val="22"/>
          <w:lang w:val="en-GB"/>
        </w:rPr>
        <w:t xml:space="preserve">Part </w:t>
      </w:r>
      <w:proofErr w:type="gramStart"/>
      <w:r w:rsidR="2A28DF93" w:rsidRPr="59587566">
        <w:rPr>
          <w:sz w:val="22"/>
          <w:szCs w:val="22"/>
          <w:lang w:val="en-GB"/>
        </w:rPr>
        <w:t>A</w:t>
      </w:r>
      <w:r w:rsidR="1FB9A345" w:rsidRPr="59587566">
        <w:rPr>
          <w:sz w:val="22"/>
          <w:szCs w:val="22"/>
          <w:lang w:val="en-GB"/>
        </w:rPr>
        <w:t>,</w:t>
      </w:r>
      <w:r w:rsidR="00EC6938">
        <w:rPr>
          <w:sz w:val="22"/>
          <w:szCs w:val="22"/>
          <w:lang w:val="en-GB"/>
        </w:rPr>
        <w:t xml:space="preserve"> </w:t>
      </w:r>
      <w:r w:rsidR="071EF526" w:rsidRPr="59587566">
        <w:rPr>
          <w:sz w:val="22"/>
          <w:szCs w:val="22"/>
          <w:lang w:val="en-GB"/>
        </w:rPr>
        <w:t xml:space="preserve"> are</w:t>
      </w:r>
      <w:proofErr w:type="gramEnd"/>
      <w:r w:rsidR="071EF526" w:rsidRPr="59587566">
        <w:rPr>
          <w:sz w:val="22"/>
          <w:szCs w:val="22"/>
          <w:lang w:val="en-GB"/>
        </w:rPr>
        <w:t xml:space="preserve"> </w:t>
      </w:r>
      <w:r w:rsidR="00AB3894">
        <w:rPr>
          <w:sz w:val="22"/>
          <w:szCs w:val="22"/>
          <w:lang w:val="en-GB"/>
        </w:rPr>
        <w:t xml:space="preserve">listed </w:t>
      </w:r>
      <w:r w:rsidR="071EF526" w:rsidRPr="59587566">
        <w:rPr>
          <w:sz w:val="22"/>
          <w:szCs w:val="22"/>
          <w:lang w:val="en-GB"/>
        </w:rPr>
        <w:t>some l</w:t>
      </w:r>
      <w:r w:rsidR="2A28DF93" w:rsidRPr="59587566">
        <w:rPr>
          <w:sz w:val="22"/>
          <w:szCs w:val="22"/>
          <w:lang w:val="en-GB"/>
        </w:rPr>
        <w:t>ignocellulosic feedstock</w:t>
      </w:r>
      <w:r w:rsidR="49E8309A" w:rsidRPr="59587566">
        <w:rPr>
          <w:sz w:val="22"/>
          <w:szCs w:val="22"/>
          <w:lang w:val="en-GB"/>
        </w:rPr>
        <w:t>s</w:t>
      </w:r>
      <w:r w:rsidR="008F6319">
        <w:rPr>
          <w:sz w:val="22"/>
          <w:szCs w:val="22"/>
          <w:lang w:val="en-GB"/>
        </w:rPr>
        <w:t>, available for advanced biofuels production</w:t>
      </w:r>
      <w:r w:rsidR="00AB3894">
        <w:rPr>
          <w:sz w:val="22"/>
          <w:szCs w:val="22"/>
          <w:lang w:val="en-GB"/>
        </w:rPr>
        <w:t>:</w:t>
      </w:r>
      <w:r w:rsidR="2A28DF93" w:rsidRPr="59587566">
        <w:rPr>
          <w:sz w:val="22"/>
          <w:szCs w:val="22"/>
          <w:lang w:val="en-GB"/>
        </w:rPr>
        <w:t xml:space="preserve"> </w:t>
      </w:r>
      <w:r w:rsidR="0EEF2DCD" w:rsidRPr="59587566">
        <w:rPr>
          <w:sz w:val="22"/>
          <w:szCs w:val="22"/>
          <w:lang w:val="en-GB"/>
        </w:rPr>
        <w:t>such as</w:t>
      </w:r>
      <w:r w:rsidR="2A28DF93" w:rsidRPr="59587566">
        <w:rPr>
          <w:sz w:val="22"/>
          <w:szCs w:val="22"/>
          <w:lang w:val="en-GB"/>
        </w:rPr>
        <w:t xml:space="preserve"> straw, bagasse, husk, </w:t>
      </w:r>
      <w:r w:rsidR="05FA1695" w:rsidRPr="59587566">
        <w:rPr>
          <w:sz w:val="22"/>
          <w:szCs w:val="22"/>
          <w:lang w:val="en-GB"/>
        </w:rPr>
        <w:t>nutshells, cobs</w:t>
      </w:r>
      <w:r w:rsidR="2A28DF93" w:rsidRPr="59587566">
        <w:rPr>
          <w:sz w:val="22"/>
          <w:szCs w:val="22"/>
          <w:lang w:val="en-GB"/>
        </w:rPr>
        <w:t xml:space="preserve">, </w:t>
      </w:r>
      <w:r w:rsidR="27474826" w:rsidRPr="59587566">
        <w:rPr>
          <w:sz w:val="22"/>
          <w:szCs w:val="22"/>
          <w:lang w:val="en-GB"/>
        </w:rPr>
        <w:t xml:space="preserve">forestry </w:t>
      </w:r>
      <w:r w:rsidR="2A28DF93" w:rsidRPr="59587566">
        <w:rPr>
          <w:sz w:val="22"/>
          <w:szCs w:val="22"/>
          <w:lang w:val="en-GB"/>
        </w:rPr>
        <w:t>residues</w:t>
      </w:r>
      <w:r w:rsidR="6E085DF4" w:rsidRPr="59587566">
        <w:rPr>
          <w:sz w:val="22"/>
          <w:szCs w:val="22"/>
          <w:lang w:val="en-GB"/>
        </w:rPr>
        <w:t xml:space="preserve"> and</w:t>
      </w:r>
      <w:r w:rsidR="2A28DF93" w:rsidRPr="59587566">
        <w:rPr>
          <w:sz w:val="22"/>
          <w:szCs w:val="22"/>
          <w:lang w:val="en-GB"/>
        </w:rPr>
        <w:t xml:space="preserve"> non-food cellulosic material</w:t>
      </w:r>
      <w:r w:rsidR="008F6319">
        <w:rPr>
          <w:sz w:val="22"/>
          <w:szCs w:val="22"/>
          <w:lang w:val="en-GB"/>
        </w:rPr>
        <w:t xml:space="preserve">. Those outside of this list </w:t>
      </w:r>
      <w:r w:rsidR="00577F13">
        <w:rPr>
          <w:sz w:val="22"/>
          <w:szCs w:val="22"/>
          <w:lang w:val="en-GB"/>
        </w:rPr>
        <w:t xml:space="preserve">are not considered for advanced </w:t>
      </w:r>
      <w:r w:rsidR="00CF6B10">
        <w:rPr>
          <w:sz w:val="22"/>
          <w:szCs w:val="22"/>
          <w:lang w:val="en-GB"/>
        </w:rPr>
        <w:t xml:space="preserve">fuel production; therefore, the </w:t>
      </w:r>
      <w:r w:rsidR="00C67C39">
        <w:rPr>
          <w:sz w:val="22"/>
          <w:szCs w:val="22"/>
          <w:lang w:val="en-GB"/>
        </w:rPr>
        <w:t xml:space="preserve">emissions </w:t>
      </w:r>
      <w:r w:rsidR="00FE37AF">
        <w:rPr>
          <w:sz w:val="22"/>
          <w:szCs w:val="22"/>
          <w:lang w:val="en-GB"/>
        </w:rPr>
        <w:t>attributed to</w:t>
      </w:r>
      <w:r w:rsidR="00C67C39">
        <w:rPr>
          <w:sz w:val="22"/>
          <w:szCs w:val="22"/>
          <w:lang w:val="en-GB"/>
        </w:rPr>
        <w:t xml:space="preserve"> production </w:t>
      </w:r>
      <w:r w:rsidR="00FE37AF">
        <w:rPr>
          <w:sz w:val="22"/>
          <w:szCs w:val="22"/>
          <w:lang w:val="en-GB"/>
        </w:rPr>
        <w:t>phase are</w:t>
      </w:r>
      <w:r w:rsidR="00C67C39">
        <w:rPr>
          <w:sz w:val="22"/>
          <w:szCs w:val="22"/>
          <w:lang w:val="en-GB"/>
        </w:rPr>
        <w:t xml:space="preserve"> accounted</w:t>
      </w:r>
      <w:r w:rsidR="17A10EC5" w:rsidRPr="59587566">
        <w:rPr>
          <w:sz w:val="22"/>
          <w:szCs w:val="22"/>
          <w:lang w:val="en-GB"/>
        </w:rPr>
        <w:t xml:space="preserve"> </w:t>
      </w:r>
      <w:r w:rsidR="008D1746" w:rsidRPr="59587566">
        <w:rPr>
          <w:sz w:val="22"/>
          <w:szCs w:val="22"/>
          <w:lang w:val="en-GB"/>
        </w:rPr>
        <w:fldChar w:fldCharType="begin" w:fldLock="1"/>
      </w:r>
      <w:r w:rsidR="008D1746" w:rsidRPr="59587566">
        <w:rPr>
          <w:sz w:val="22"/>
          <w:szCs w:val="22"/>
          <w:lang w:val="en-GB"/>
        </w:rPr>
        <w:instrText>ADDIN CSL_CITATION {"citationItems":[{"id":"ITEM-1","itemData":{"author":[{"dropping-particle":"","family":"European Parliament","given":"","non-dropping-particle":"","parse-names":false,"suffix":""}],"container-title":"Official Journal of the European Union","id":"ITEM-1","issue":"December","issued":{"date-parts":[["2018"]]},"title":"DIRECTIVE (EU) 2018/2001","type":"report","volume":"2018"},"uris":["http://www.mendeley.com/documents/?uuid=5e84ff70-a0d5-4039-ae00-26f830b3dfd5"]}],"mendeley":{"formattedCitation":"(European Parliament, 2018)","plainTextFormattedCitation":"(European Parliament, 2018)","previouslyFormattedCitation":"(European Parliament, 2018)"},"properties":{"noteIndex":0},"schema":"https://github.com/citation-style-language/schema/raw/master/csl-citation.json"}</w:instrText>
      </w:r>
      <w:r w:rsidR="008D1746" w:rsidRPr="59587566">
        <w:rPr>
          <w:sz w:val="22"/>
          <w:szCs w:val="22"/>
          <w:lang w:val="en-GB"/>
        </w:rPr>
        <w:fldChar w:fldCharType="separate"/>
      </w:r>
      <w:r w:rsidR="2A28DF93" w:rsidRPr="59587566">
        <w:rPr>
          <w:noProof/>
          <w:sz w:val="22"/>
          <w:szCs w:val="22"/>
          <w:lang w:val="en-GB"/>
        </w:rPr>
        <w:t>(European Parliament, 2018)</w:t>
      </w:r>
      <w:r w:rsidR="008D1746" w:rsidRPr="59587566">
        <w:rPr>
          <w:sz w:val="22"/>
          <w:szCs w:val="22"/>
          <w:lang w:val="en-GB"/>
        </w:rPr>
        <w:fldChar w:fldCharType="end"/>
      </w:r>
      <w:r w:rsidR="2A28DF93" w:rsidRPr="59587566">
        <w:rPr>
          <w:sz w:val="22"/>
          <w:szCs w:val="22"/>
          <w:lang w:val="en-GB"/>
        </w:rPr>
        <w:t>.</w:t>
      </w:r>
      <w:r w:rsidR="003C20A0">
        <w:rPr>
          <w:sz w:val="22"/>
          <w:szCs w:val="22"/>
          <w:lang w:val="en-GB"/>
        </w:rPr>
        <w:t xml:space="preserve"> It is valid to mention that annex IX is currently under revision and discussion. The addition of feedstocks is expected but not certain. Furthermore, it is likely that </w:t>
      </w:r>
      <w:r w:rsidR="00037058">
        <w:rPr>
          <w:sz w:val="22"/>
          <w:szCs w:val="22"/>
          <w:lang w:val="en-GB"/>
        </w:rPr>
        <w:t xml:space="preserve">additional </w:t>
      </w:r>
      <w:r w:rsidR="003C20A0">
        <w:rPr>
          <w:sz w:val="22"/>
          <w:szCs w:val="22"/>
          <w:lang w:val="en-GB"/>
        </w:rPr>
        <w:t>criteria</w:t>
      </w:r>
      <w:r w:rsidR="00037058">
        <w:rPr>
          <w:sz w:val="22"/>
          <w:szCs w:val="22"/>
          <w:lang w:val="en-GB"/>
        </w:rPr>
        <w:t xml:space="preserve"> might be</w:t>
      </w:r>
      <w:r w:rsidR="003C20A0">
        <w:rPr>
          <w:sz w:val="22"/>
          <w:szCs w:val="22"/>
          <w:lang w:val="en-GB"/>
        </w:rPr>
        <w:t xml:space="preserve"> used while defining </w:t>
      </w:r>
      <w:r w:rsidR="00037058">
        <w:rPr>
          <w:sz w:val="22"/>
          <w:szCs w:val="22"/>
          <w:lang w:val="en-GB"/>
        </w:rPr>
        <w:t xml:space="preserve">the eligibility of </w:t>
      </w:r>
      <w:r w:rsidR="003C20A0">
        <w:rPr>
          <w:sz w:val="22"/>
          <w:szCs w:val="22"/>
          <w:lang w:val="en-GB"/>
        </w:rPr>
        <w:t>feedstock</w:t>
      </w:r>
      <w:r w:rsidR="00037058">
        <w:rPr>
          <w:sz w:val="22"/>
          <w:szCs w:val="22"/>
          <w:lang w:val="en-GB"/>
        </w:rPr>
        <w:t>s</w:t>
      </w:r>
      <w:r w:rsidR="003C20A0">
        <w:rPr>
          <w:sz w:val="22"/>
          <w:szCs w:val="22"/>
          <w:lang w:val="en-GB"/>
        </w:rPr>
        <w:t xml:space="preserve"> for advanced fuel production</w:t>
      </w:r>
      <w:r w:rsidR="00037058">
        <w:rPr>
          <w:sz w:val="22"/>
          <w:szCs w:val="22"/>
          <w:lang w:val="en-GB"/>
        </w:rPr>
        <w:t>.</w:t>
      </w:r>
    </w:p>
    <w:p w14:paraId="7A8F87D8" w14:textId="033DB935" w:rsidR="006C24DC" w:rsidRDefault="00352F47" w:rsidP="00D411B8">
      <w:pPr>
        <w:spacing w:after="120" w:line="360" w:lineRule="auto"/>
        <w:ind w:firstLine="709"/>
        <w:rPr>
          <w:rFonts w:ascii="Segoe UI" w:hAnsi="Segoe UI" w:cs="Segoe UI"/>
          <w:color w:val="242424"/>
          <w:szCs w:val="21"/>
          <w:shd w:val="clear" w:color="auto" w:fill="FFFFFF"/>
        </w:rPr>
      </w:pPr>
      <w:r>
        <w:rPr>
          <w:rFonts w:ascii="Segoe UI" w:hAnsi="Segoe UI" w:cs="Segoe UI"/>
          <w:color w:val="242424"/>
          <w:szCs w:val="21"/>
          <w:shd w:val="clear" w:color="auto" w:fill="FFFFFF"/>
        </w:rPr>
        <w:t xml:space="preserve">It is expected that Member States will transpose EU directives into their national framework, </w:t>
      </w:r>
      <w:proofErr w:type="gramStart"/>
      <w:r>
        <w:rPr>
          <w:rFonts w:ascii="Segoe UI" w:hAnsi="Segoe UI" w:cs="Segoe UI"/>
          <w:color w:val="242424"/>
          <w:szCs w:val="21"/>
          <w:shd w:val="clear" w:color="auto" w:fill="FFFFFF"/>
        </w:rPr>
        <w:t>in order to</w:t>
      </w:r>
      <w:proofErr w:type="gramEnd"/>
      <w:r>
        <w:rPr>
          <w:rFonts w:ascii="Segoe UI" w:hAnsi="Segoe UI" w:cs="Segoe UI"/>
          <w:color w:val="242424"/>
          <w:szCs w:val="21"/>
          <w:shd w:val="clear" w:color="auto" w:fill="FFFFFF"/>
        </w:rPr>
        <w:t xml:space="preserve"> account</w:t>
      </w:r>
      <w:r w:rsidR="00F809CB">
        <w:rPr>
          <w:rFonts w:ascii="Segoe UI" w:hAnsi="Segoe UI" w:cs="Segoe UI"/>
          <w:color w:val="242424"/>
          <w:szCs w:val="21"/>
          <w:shd w:val="clear" w:color="auto" w:fill="FFFFFF"/>
        </w:rPr>
        <w:t xml:space="preserve"> for the</w:t>
      </w:r>
      <w:r>
        <w:rPr>
          <w:rFonts w:ascii="Segoe UI" w:hAnsi="Segoe UI" w:cs="Segoe UI"/>
          <w:color w:val="242424"/>
          <w:szCs w:val="21"/>
          <w:shd w:val="clear" w:color="auto" w:fill="FFFFFF"/>
        </w:rPr>
        <w:t xml:space="preserve"> relevant </w:t>
      </w:r>
      <w:r w:rsidR="00962E46">
        <w:rPr>
          <w:rFonts w:ascii="Segoe UI" w:hAnsi="Segoe UI" w:cs="Segoe UI"/>
          <w:color w:val="242424"/>
          <w:szCs w:val="21"/>
          <w:shd w:val="clear" w:color="auto" w:fill="FFFFFF"/>
        </w:rPr>
        <w:t xml:space="preserve">national </w:t>
      </w:r>
      <w:r>
        <w:rPr>
          <w:rFonts w:ascii="Segoe UI" w:hAnsi="Segoe UI" w:cs="Segoe UI"/>
          <w:color w:val="242424"/>
          <w:szCs w:val="21"/>
          <w:shd w:val="clear" w:color="auto" w:fill="FFFFFF"/>
        </w:rPr>
        <w:t xml:space="preserve">particularities. In the </w:t>
      </w:r>
      <w:r w:rsidR="00F809CB">
        <w:rPr>
          <w:rFonts w:ascii="Segoe UI" w:hAnsi="Segoe UI" w:cs="Segoe UI"/>
          <w:color w:val="242424"/>
          <w:szCs w:val="21"/>
          <w:shd w:val="clear" w:color="auto" w:fill="FFFFFF"/>
        </w:rPr>
        <w:t xml:space="preserve">incorporation </w:t>
      </w:r>
      <w:r>
        <w:rPr>
          <w:rFonts w:ascii="Segoe UI" w:hAnsi="Segoe UI" w:cs="Segoe UI"/>
          <w:color w:val="242424"/>
          <w:szCs w:val="21"/>
          <w:shd w:val="clear" w:color="auto" w:fill="FFFFFF"/>
        </w:rPr>
        <w:t xml:space="preserve">process </w:t>
      </w:r>
      <w:r w:rsidR="006C24DC" w:rsidRPr="006C24DC">
        <w:rPr>
          <w:rFonts w:ascii="Segoe UI" w:hAnsi="Segoe UI" w:cs="Segoe UI"/>
          <w:color w:val="242424"/>
          <w:szCs w:val="21"/>
          <w:shd w:val="clear" w:color="auto" w:fill="FFFFFF"/>
        </w:rPr>
        <w:t xml:space="preserve">differences might </w:t>
      </w:r>
      <w:r w:rsidR="006C24DC">
        <w:rPr>
          <w:rFonts w:ascii="Segoe UI" w:hAnsi="Segoe UI" w:cs="Segoe UI"/>
          <w:color w:val="242424"/>
          <w:szCs w:val="21"/>
          <w:shd w:val="clear" w:color="auto" w:fill="FFFFFF"/>
        </w:rPr>
        <w:t>take place between</w:t>
      </w:r>
      <w:r w:rsidR="006C24DC" w:rsidRPr="006C24DC">
        <w:rPr>
          <w:rFonts w:ascii="Segoe UI" w:hAnsi="Segoe UI" w:cs="Segoe UI"/>
          <w:color w:val="242424"/>
          <w:szCs w:val="21"/>
          <w:shd w:val="clear" w:color="auto" w:fill="FFFFFF"/>
        </w:rPr>
        <w:t xml:space="preserve"> Me</w:t>
      </w:r>
      <w:r w:rsidR="006C24DC">
        <w:rPr>
          <w:rFonts w:ascii="Segoe UI" w:hAnsi="Segoe UI" w:cs="Segoe UI"/>
          <w:color w:val="242424"/>
          <w:szCs w:val="21"/>
          <w:shd w:val="clear" w:color="auto" w:fill="FFFFFF"/>
        </w:rPr>
        <w:t>m</w:t>
      </w:r>
      <w:r w:rsidR="006C24DC" w:rsidRPr="006C24DC">
        <w:rPr>
          <w:rFonts w:ascii="Segoe UI" w:hAnsi="Segoe UI" w:cs="Segoe UI"/>
          <w:color w:val="242424"/>
          <w:szCs w:val="21"/>
          <w:shd w:val="clear" w:color="auto" w:fill="FFFFFF"/>
        </w:rPr>
        <w:t>ber states, for instance</w:t>
      </w:r>
      <w:r w:rsidR="006C24DC">
        <w:rPr>
          <w:rFonts w:ascii="Segoe UI" w:hAnsi="Segoe UI" w:cs="Segoe UI"/>
          <w:color w:val="242424"/>
          <w:szCs w:val="21"/>
          <w:shd w:val="clear" w:color="auto" w:fill="FFFFFF"/>
        </w:rPr>
        <w:t xml:space="preserve"> </w:t>
      </w:r>
      <w:r w:rsidR="006C24DC" w:rsidRPr="006C24DC">
        <w:rPr>
          <w:rFonts w:ascii="Segoe UI" w:hAnsi="Segoe UI" w:cs="Segoe UI"/>
          <w:color w:val="242424"/>
          <w:szCs w:val="21"/>
          <w:shd w:val="clear" w:color="auto" w:fill="FFFFFF"/>
        </w:rPr>
        <w:t>defining the oblige groups.</w:t>
      </w:r>
    </w:p>
    <w:p w14:paraId="5296262D" w14:textId="6FABA7B9" w:rsidR="0027596C" w:rsidRDefault="2A28DF93" w:rsidP="5937A937">
      <w:pPr>
        <w:spacing w:after="120" w:line="360" w:lineRule="auto"/>
        <w:ind w:firstLine="709"/>
        <w:rPr>
          <w:sz w:val="22"/>
          <w:szCs w:val="22"/>
          <w:lang w:val="en-GB"/>
        </w:rPr>
      </w:pPr>
      <w:r w:rsidRPr="59587566">
        <w:rPr>
          <w:sz w:val="22"/>
          <w:szCs w:val="22"/>
          <w:lang w:val="en-GB"/>
        </w:rPr>
        <w:lastRenderedPageBreak/>
        <w:t>RED sets important criteria that</w:t>
      </w:r>
      <w:r w:rsidR="007C44F9">
        <w:rPr>
          <w:sz w:val="22"/>
          <w:szCs w:val="22"/>
          <w:lang w:val="en-GB"/>
        </w:rPr>
        <w:t xml:space="preserve"> the</w:t>
      </w:r>
      <w:r w:rsidRPr="59587566">
        <w:rPr>
          <w:sz w:val="22"/>
          <w:szCs w:val="22"/>
          <w:lang w:val="en-GB"/>
        </w:rPr>
        <w:t xml:space="preserve"> Bio-HFO should comply </w:t>
      </w:r>
      <w:r w:rsidR="50D739F1" w:rsidRPr="59587566">
        <w:rPr>
          <w:sz w:val="22"/>
          <w:szCs w:val="22"/>
          <w:lang w:val="en-GB"/>
        </w:rPr>
        <w:t>with</w:t>
      </w:r>
      <w:r w:rsidR="008B66AF">
        <w:rPr>
          <w:sz w:val="22"/>
          <w:szCs w:val="22"/>
          <w:lang w:val="en-GB"/>
        </w:rPr>
        <w:t xml:space="preserve"> </w:t>
      </w:r>
      <w:proofErr w:type="gramStart"/>
      <w:r w:rsidR="008B66AF">
        <w:rPr>
          <w:sz w:val="22"/>
          <w:szCs w:val="22"/>
          <w:lang w:val="en-GB"/>
        </w:rPr>
        <w:t>in order to</w:t>
      </w:r>
      <w:proofErr w:type="gramEnd"/>
      <w:r w:rsidR="008B66AF">
        <w:rPr>
          <w:sz w:val="22"/>
          <w:szCs w:val="22"/>
          <w:lang w:val="en-GB"/>
        </w:rPr>
        <w:t xml:space="preserve"> be considered</w:t>
      </w:r>
      <w:r w:rsidR="006B5B33">
        <w:rPr>
          <w:sz w:val="22"/>
          <w:szCs w:val="22"/>
          <w:lang w:val="en-GB"/>
        </w:rPr>
        <w:t xml:space="preserve"> an</w:t>
      </w:r>
      <w:r w:rsidR="008B66AF">
        <w:rPr>
          <w:sz w:val="22"/>
          <w:szCs w:val="22"/>
          <w:lang w:val="en-GB"/>
        </w:rPr>
        <w:t xml:space="preserve"> advanced biofuel</w:t>
      </w:r>
      <w:r w:rsidRPr="59587566">
        <w:rPr>
          <w:sz w:val="22"/>
          <w:szCs w:val="22"/>
          <w:lang w:val="en-GB"/>
        </w:rPr>
        <w:t xml:space="preserve">. The recognition by the EU and a certification scheme </w:t>
      </w:r>
      <w:r w:rsidR="24CD2B67" w:rsidRPr="59587566">
        <w:rPr>
          <w:sz w:val="22"/>
          <w:szCs w:val="22"/>
          <w:lang w:val="en-GB"/>
        </w:rPr>
        <w:t>are,</w:t>
      </w:r>
      <w:r w:rsidRPr="59587566">
        <w:rPr>
          <w:sz w:val="22"/>
          <w:szCs w:val="22"/>
          <w:lang w:val="en-GB"/>
        </w:rPr>
        <w:t xml:space="preserve"> </w:t>
      </w:r>
      <w:r w:rsidR="4156F99F" w:rsidRPr="59587566">
        <w:rPr>
          <w:sz w:val="22"/>
          <w:szCs w:val="22"/>
          <w:lang w:val="en-GB"/>
        </w:rPr>
        <w:t xml:space="preserve">therefore, </w:t>
      </w:r>
      <w:r w:rsidRPr="59587566">
        <w:rPr>
          <w:sz w:val="22"/>
          <w:szCs w:val="22"/>
          <w:lang w:val="en-GB"/>
        </w:rPr>
        <w:t xml:space="preserve">necessary </w:t>
      </w:r>
      <w:proofErr w:type="gramStart"/>
      <w:r w:rsidRPr="59587566">
        <w:rPr>
          <w:sz w:val="22"/>
          <w:szCs w:val="22"/>
          <w:lang w:val="en-GB"/>
        </w:rPr>
        <w:t>in order to</w:t>
      </w:r>
      <w:proofErr w:type="gramEnd"/>
      <w:r w:rsidRPr="59587566">
        <w:rPr>
          <w:sz w:val="22"/>
          <w:szCs w:val="22"/>
          <w:lang w:val="en-GB"/>
        </w:rPr>
        <w:t xml:space="preserve"> </w:t>
      </w:r>
      <w:r w:rsidR="45D84CC9" w:rsidRPr="59587566">
        <w:rPr>
          <w:sz w:val="22"/>
          <w:szCs w:val="22"/>
          <w:lang w:val="en-GB"/>
        </w:rPr>
        <w:t>benefit</w:t>
      </w:r>
      <w:r w:rsidR="4805061D" w:rsidRPr="59587566">
        <w:rPr>
          <w:sz w:val="22"/>
          <w:szCs w:val="22"/>
          <w:lang w:val="en-GB"/>
        </w:rPr>
        <w:t xml:space="preserve"> </w:t>
      </w:r>
      <w:r w:rsidR="45D84CC9" w:rsidRPr="59587566">
        <w:rPr>
          <w:sz w:val="22"/>
          <w:szCs w:val="22"/>
          <w:lang w:val="en-GB"/>
        </w:rPr>
        <w:t>from market incentives related to sustainability performance.</w:t>
      </w:r>
    </w:p>
    <w:p w14:paraId="41969C85" w14:textId="57502EEC" w:rsidR="005D6854" w:rsidRPr="002E0EBC" w:rsidRDefault="00182AD5" w:rsidP="002F7E75">
      <w:pPr>
        <w:pStyle w:val="Heading4"/>
      </w:pPr>
      <w:r>
        <w:t>R</w:t>
      </w:r>
      <w:r w:rsidRPr="008027AE">
        <w:t>enewable energy units</w:t>
      </w:r>
      <w:r w:rsidRPr="002E0EBC">
        <w:t xml:space="preserve"> </w:t>
      </w:r>
      <w:r>
        <w:t xml:space="preserve">- </w:t>
      </w:r>
      <w:proofErr w:type="spellStart"/>
      <w:r w:rsidR="005D6854" w:rsidRPr="002E0EBC">
        <w:t>Hernieuwbare</w:t>
      </w:r>
      <w:proofErr w:type="spellEnd"/>
      <w:r w:rsidR="005D6854" w:rsidRPr="002E0EBC">
        <w:t xml:space="preserve"> </w:t>
      </w:r>
      <w:proofErr w:type="spellStart"/>
      <w:r w:rsidR="005D6854" w:rsidRPr="002E0EBC">
        <w:t>brandstofeenheden</w:t>
      </w:r>
      <w:proofErr w:type="spellEnd"/>
      <w:r w:rsidR="005D6854" w:rsidRPr="002E0EBC">
        <w:t xml:space="preserve"> (HBEs)</w:t>
      </w:r>
    </w:p>
    <w:p w14:paraId="49FF6F23" w14:textId="77777777" w:rsidR="005D6854" w:rsidRDefault="005D6854" w:rsidP="005D6854">
      <w:pPr>
        <w:rPr>
          <w:lang w:val="en-GB"/>
        </w:rPr>
      </w:pPr>
    </w:p>
    <w:p w14:paraId="67575CDE" w14:textId="77777777" w:rsidR="005D6854" w:rsidRPr="0040379B" w:rsidRDefault="005D6854" w:rsidP="005D6854">
      <w:pPr>
        <w:spacing w:after="120" w:line="360" w:lineRule="auto"/>
        <w:ind w:firstLine="296"/>
        <w:rPr>
          <w:rFonts w:asciiTheme="majorHAnsi" w:hAnsiTheme="majorHAnsi" w:cstheme="majorBidi"/>
          <w:color w:val="auto"/>
          <w:sz w:val="22"/>
          <w:szCs w:val="22"/>
        </w:rPr>
      </w:pPr>
      <w:r>
        <w:rPr>
          <w:rFonts w:asciiTheme="majorHAnsi" w:hAnsiTheme="majorHAnsi" w:cstheme="majorBidi"/>
          <w:color w:val="auto"/>
          <w:sz w:val="22"/>
          <w:szCs w:val="22"/>
          <w:lang w:val="en-GB"/>
        </w:rPr>
        <w:t xml:space="preserve">As directive, the RED had to be transposed into national law. </w:t>
      </w:r>
      <w:r w:rsidRPr="5937A937">
        <w:rPr>
          <w:rFonts w:asciiTheme="majorHAnsi" w:hAnsiTheme="majorHAnsi" w:cstheme="majorBidi"/>
          <w:color w:val="auto"/>
          <w:sz w:val="22"/>
          <w:szCs w:val="22"/>
          <w:lang w:val="en-GB"/>
        </w:rPr>
        <w:t xml:space="preserve">In the Netherlands, a system of renewable energy units (HBEs: </w:t>
      </w:r>
      <w:proofErr w:type="spellStart"/>
      <w:r w:rsidRPr="5937A937">
        <w:rPr>
          <w:rFonts w:asciiTheme="majorHAnsi" w:hAnsiTheme="majorHAnsi" w:cstheme="majorBidi"/>
          <w:color w:val="auto"/>
          <w:sz w:val="22"/>
          <w:szCs w:val="22"/>
          <w:lang w:val="en-GB"/>
        </w:rPr>
        <w:t>hernieuwbare</w:t>
      </w:r>
      <w:proofErr w:type="spellEnd"/>
      <w:r w:rsidRPr="5937A937">
        <w:rPr>
          <w:rFonts w:asciiTheme="majorHAnsi" w:hAnsiTheme="majorHAnsi" w:cstheme="majorBidi"/>
          <w:color w:val="auto"/>
          <w:sz w:val="22"/>
          <w:szCs w:val="22"/>
          <w:lang w:val="en-GB"/>
        </w:rPr>
        <w:t xml:space="preserve"> </w:t>
      </w:r>
      <w:proofErr w:type="spellStart"/>
      <w:r w:rsidRPr="5937A937">
        <w:rPr>
          <w:rFonts w:asciiTheme="majorHAnsi" w:hAnsiTheme="majorHAnsi" w:cstheme="majorBidi"/>
          <w:color w:val="auto"/>
          <w:sz w:val="22"/>
          <w:szCs w:val="22"/>
          <w:lang w:val="en-GB"/>
        </w:rPr>
        <w:t>brandstofeenheden</w:t>
      </w:r>
      <w:proofErr w:type="spellEnd"/>
      <w:r w:rsidRPr="5937A937">
        <w:rPr>
          <w:rFonts w:asciiTheme="majorHAnsi" w:hAnsiTheme="majorHAnsi" w:cstheme="majorBidi"/>
          <w:color w:val="auto"/>
          <w:sz w:val="22"/>
          <w:szCs w:val="22"/>
          <w:lang w:val="en-GB"/>
        </w:rPr>
        <w:t xml:space="preserve">) </w:t>
      </w:r>
      <w:r>
        <w:rPr>
          <w:rFonts w:asciiTheme="majorHAnsi" w:hAnsiTheme="majorHAnsi" w:cstheme="majorBidi"/>
          <w:color w:val="auto"/>
          <w:sz w:val="22"/>
          <w:szCs w:val="22"/>
          <w:lang w:val="en-GB"/>
        </w:rPr>
        <w:t>was established</w:t>
      </w:r>
      <w:r w:rsidRPr="5937A937">
        <w:rPr>
          <w:rFonts w:asciiTheme="majorHAnsi" w:hAnsiTheme="majorHAnsi" w:cstheme="majorBidi"/>
          <w:color w:val="auto"/>
          <w:sz w:val="22"/>
          <w:szCs w:val="22"/>
          <w:lang w:val="en-GB"/>
        </w:rPr>
        <w:t xml:space="preserve"> to ensure compliance with the annual obligation </w:t>
      </w:r>
      <w:r>
        <w:rPr>
          <w:rFonts w:asciiTheme="majorHAnsi" w:hAnsiTheme="majorHAnsi" w:cstheme="majorBidi"/>
          <w:color w:val="auto"/>
          <w:sz w:val="22"/>
          <w:szCs w:val="22"/>
          <w:lang w:val="en-GB"/>
        </w:rPr>
        <w:t xml:space="preserve">renewable energy obligation and </w:t>
      </w:r>
      <w:r w:rsidRPr="5937A937">
        <w:rPr>
          <w:rFonts w:asciiTheme="majorHAnsi" w:hAnsiTheme="majorHAnsi" w:cstheme="majorBidi"/>
          <w:color w:val="auto"/>
          <w:sz w:val="22"/>
          <w:szCs w:val="22"/>
          <w:lang w:val="en-GB"/>
        </w:rPr>
        <w:t>GHG emissions reductions in transportation. One HBE represents 1 gigajoule (GJ) of renewable energy that is delivered to the Dutch transport market. HBEs are created by claiming deliveries of renewable energy. Under the Energy for Transport compliance system, the Dutch government uses a trading system where participants can cooperatively deliver their mandatory share of renewable energy in the most cost-effective way</w:t>
      </w:r>
      <w:proofErr w:type="gramStart"/>
      <w:r w:rsidRPr="5937A937">
        <w:rPr>
          <w:rFonts w:asciiTheme="majorHAnsi" w:hAnsiTheme="majorHAnsi" w:cstheme="majorBidi"/>
          <w:color w:val="auto"/>
          <w:sz w:val="22"/>
          <w:szCs w:val="22"/>
          <w:lang w:val="en-GB"/>
        </w:rPr>
        <w:t xml:space="preserve">.  </w:t>
      </w:r>
      <w:proofErr w:type="gramEnd"/>
      <w:r w:rsidRPr="5937A937">
        <w:rPr>
          <w:rFonts w:asciiTheme="majorHAnsi" w:hAnsiTheme="majorHAnsi" w:cstheme="majorBidi"/>
          <w:color w:val="auto"/>
          <w:sz w:val="22"/>
          <w:szCs w:val="22"/>
          <w:lang w:val="en-GB"/>
        </w:rPr>
        <w:t xml:space="preserve">There are different types of HBEs depending </w:t>
      </w:r>
      <w:proofErr w:type="gramStart"/>
      <w:r w:rsidRPr="5937A937">
        <w:rPr>
          <w:rFonts w:asciiTheme="majorHAnsi" w:hAnsiTheme="majorHAnsi" w:cstheme="majorBidi"/>
          <w:color w:val="auto"/>
          <w:sz w:val="22"/>
          <w:szCs w:val="22"/>
          <w:lang w:val="en-GB"/>
        </w:rPr>
        <w:t>of</w:t>
      </w:r>
      <w:proofErr w:type="gramEnd"/>
      <w:r w:rsidRPr="5937A937">
        <w:rPr>
          <w:rFonts w:asciiTheme="majorHAnsi" w:hAnsiTheme="majorHAnsi" w:cstheme="majorBidi"/>
          <w:color w:val="auto"/>
          <w:sz w:val="22"/>
          <w:szCs w:val="22"/>
          <w:lang w:val="en-GB"/>
        </w:rPr>
        <w:t xml:space="preserve"> the raw material used for fuel production. The mandatory use of advanced HBE over conventional and the preference of high value applications (</w:t>
      </w:r>
      <w:proofErr w:type="gramStart"/>
      <w:r w:rsidRPr="5937A937">
        <w:rPr>
          <w:rFonts w:asciiTheme="majorHAnsi" w:hAnsiTheme="majorHAnsi" w:cstheme="majorBidi"/>
          <w:color w:val="auto"/>
          <w:sz w:val="22"/>
          <w:szCs w:val="22"/>
          <w:lang w:val="en-GB"/>
        </w:rPr>
        <w:t>over heat</w:t>
      </w:r>
      <w:proofErr w:type="gramEnd"/>
      <w:r w:rsidRPr="5937A937">
        <w:rPr>
          <w:rFonts w:asciiTheme="majorHAnsi" w:hAnsiTheme="majorHAnsi" w:cstheme="majorBidi"/>
          <w:color w:val="auto"/>
          <w:sz w:val="22"/>
          <w:szCs w:val="22"/>
          <w:lang w:val="en-GB"/>
        </w:rPr>
        <w:t>), are beneficial for the production of advanced biofuels</w:t>
      </w:r>
      <w:r w:rsidRPr="003471DC">
        <w:rPr>
          <w:rFonts w:asciiTheme="majorHAnsi" w:hAnsiTheme="majorHAnsi" w:cstheme="majorBidi"/>
          <w:color w:val="auto"/>
          <w:sz w:val="22"/>
          <w:szCs w:val="22"/>
        </w:rPr>
        <w:t xml:space="preserve"> </w:t>
      </w:r>
      <w:r w:rsidRPr="0040379B">
        <w:rPr>
          <w:rFonts w:asciiTheme="majorHAnsi" w:hAnsiTheme="majorHAnsi" w:cstheme="majorBidi"/>
          <w:color w:val="auto"/>
          <w:sz w:val="22"/>
          <w:szCs w:val="22"/>
        </w:rPr>
        <w:t>(</w:t>
      </w:r>
      <w:proofErr w:type="spellStart"/>
      <w:r w:rsidRPr="0040379B">
        <w:rPr>
          <w:rFonts w:asciiTheme="majorHAnsi" w:hAnsiTheme="majorHAnsi" w:cstheme="majorBidi"/>
          <w:color w:val="auto"/>
          <w:sz w:val="22"/>
          <w:szCs w:val="22"/>
        </w:rPr>
        <w:t>Rijksdienst</w:t>
      </w:r>
      <w:proofErr w:type="spellEnd"/>
      <w:r w:rsidRPr="0040379B">
        <w:rPr>
          <w:rFonts w:asciiTheme="majorHAnsi" w:hAnsiTheme="majorHAnsi" w:cstheme="majorBidi"/>
          <w:color w:val="auto"/>
          <w:sz w:val="22"/>
          <w:szCs w:val="22"/>
        </w:rPr>
        <w:t xml:space="preserve"> </w:t>
      </w:r>
      <w:proofErr w:type="spellStart"/>
      <w:r w:rsidRPr="0040379B">
        <w:rPr>
          <w:rFonts w:asciiTheme="majorHAnsi" w:hAnsiTheme="majorHAnsi" w:cstheme="majorBidi"/>
          <w:color w:val="auto"/>
          <w:sz w:val="22"/>
          <w:szCs w:val="22"/>
        </w:rPr>
        <w:t>voor</w:t>
      </w:r>
      <w:proofErr w:type="spellEnd"/>
      <w:r w:rsidRPr="0040379B">
        <w:rPr>
          <w:rFonts w:asciiTheme="majorHAnsi" w:hAnsiTheme="majorHAnsi" w:cstheme="majorBidi"/>
          <w:color w:val="auto"/>
          <w:sz w:val="22"/>
          <w:szCs w:val="22"/>
        </w:rPr>
        <w:t xml:space="preserve"> </w:t>
      </w:r>
      <w:proofErr w:type="spellStart"/>
      <w:r w:rsidRPr="0040379B">
        <w:rPr>
          <w:rFonts w:asciiTheme="majorHAnsi" w:hAnsiTheme="majorHAnsi" w:cstheme="majorBidi"/>
          <w:color w:val="auto"/>
          <w:sz w:val="22"/>
          <w:szCs w:val="22"/>
        </w:rPr>
        <w:t>Ondernemend</w:t>
      </w:r>
      <w:proofErr w:type="spellEnd"/>
      <w:r w:rsidRPr="0040379B">
        <w:rPr>
          <w:rFonts w:asciiTheme="majorHAnsi" w:hAnsiTheme="majorHAnsi" w:cstheme="majorBidi"/>
          <w:color w:val="auto"/>
          <w:sz w:val="22"/>
          <w:szCs w:val="22"/>
        </w:rPr>
        <w:t xml:space="preserve"> Nederland, n.d.).</w:t>
      </w:r>
    </w:p>
    <w:p w14:paraId="4D7C3C23" w14:textId="0D2B551E" w:rsidR="000505E6" w:rsidRPr="002445F6" w:rsidRDefault="005D6854" w:rsidP="005D6854">
      <w:pPr>
        <w:spacing w:after="120" w:line="360" w:lineRule="auto"/>
        <w:ind w:firstLine="296"/>
        <w:rPr>
          <w:rFonts w:asciiTheme="majorHAnsi" w:hAnsiTheme="majorHAnsi" w:cstheme="majorBidi"/>
          <w:color w:val="auto"/>
          <w:sz w:val="22"/>
          <w:szCs w:val="22"/>
          <w:lang w:val="en-GB"/>
        </w:rPr>
      </w:pPr>
      <w:r>
        <w:rPr>
          <w:rFonts w:asciiTheme="majorHAnsi" w:hAnsiTheme="majorHAnsi" w:cstheme="majorBidi"/>
          <w:color w:val="auto"/>
          <w:sz w:val="22"/>
          <w:szCs w:val="22"/>
          <w:lang w:val="en-GB"/>
        </w:rPr>
        <w:t xml:space="preserve">Even though shipping was not subject to the GHG emissions reduction obligation, the shipping sector was included into the system via creation of voluntary HBEs (so-called “opt-in”). The intention behind was to foster the development of sustainable solutions in the shipping sector. In 2020, around 19 million HBEs were created in the shipping sector. Since </w:t>
      </w:r>
      <w:r w:rsidR="007D4A4F">
        <w:rPr>
          <w:rFonts w:asciiTheme="majorHAnsi" w:hAnsiTheme="majorHAnsi" w:cstheme="majorBidi"/>
          <w:color w:val="auto"/>
          <w:sz w:val="22"/>
          <w:szCs w:val="22"/>
          <w:lang w:val="en-GB"/>
        </w:rPr>
        <w:t xml:space="preserve">the start of </w:t>
      </w:r>
      <w:r>
        <w:rPr>
          <w:rFonts w:asciiTheme="majorHAnsi" w:hAnsiTheme="majorHAnsi" w:cstheme="majorBidi"/>
          <w:color w:val="auto"/>
          <w:sz w:val="22"/>
          <w:szCs w:val="22"/>
          <w:lang w:val="en-GB"/>
        </w:rPr>
        <w:t xml:space="preserve">2021, only advanced biofuels (produced from feedstocks of Annex IX Part A RED </w:t>
      </w:r>
      <w:proofErr w:type="gramStart"/>
      <w:r>
        <w:rPr>
          <w:rFonts w:asciiTheme="majorHAnsi" w:hAnsiTheme="majorHAnsi" w:cstheme="majorBidi"/>
          <w:color w:val="auto"/>
          <w:sz w:val="22"/>
          <w:szCs w:val="22"/>
          <w:lang w:val="en-GB"/>
        </w:rPr>
        <w:t>II )</w:t>
      </w:r>
      <w:proofErr w:type="gramEnd"/>
      <w:r>
        <w:rPr>
          <w:rFonts w:asciiTheme="majorHAnsi" w:hAnsiTheme="majorHAnsi" w:cstheme="majorBidi"/>
          <w:color w:val="auto"/>
          <w:sz w:val="22"/>
          <w:szCs w:val="22"/>
          <w:lang w:val="en-GB"/>
        </w:rPr>
        <w:t xml:space="preserve"> </w:t>
      </w:r>
      <w:r w:rsidR="007D4A4F">
        <w:rPr>
          <w:rFonts w:asciiTheme="majorHAnsi" w:hAnsiTheme="majorHAnsi" w:cstheme="majorBidi"/>
          <w:color w:val="auto"/>
          <w:sz w:val="22"/>
          <w:szCs w:val="22"/>
          <w:lang w:val="en-GB"/>
        </w:rPr>
        <w:t xml:space="preserve">are eligible to </w:t>
      </w:r>
      <w:r>
        <w:rPr>
          <w:rFonts w:asciiTheme="majorHAnsi" w:hAnsiTheme="majorHAnsi" w:cstheme="majorBidi"/>
          <w:color w:val="auto"/>
          <w:sz w:val="22"/>
          <w:szCs w:val="22"/>
          <w:lang w:val="en-GB"/>
        </w:rPr>
        <w:t xml:space="preserve"> create HBEs. </w:t>
      </w:r>
      <w:r w:rsidR="007D4A4F">
        <w:rPr>
          <w:rFonts w:asciiTheme="majorHAnsi" w:hAnsiTheme="majorHAnsi" w:cstheme="majorBidi"/>
          <w:color w:val="auto"/>
          <w:sz w:val="22"/>
          <w:szCs w:val="22"/>
          <w:lang w:val="en-GB"/>
        </w:rPr>
        <w:t xml:space="preserve">In the </w:t>
      </w:r>
      <w:r w:rsidR="00894099">
        <w:rPr>
          <w:rFonts w:asciiTheme="majorHAnsi" w:hAnsiTheme="majorHAnsi" w:cstheme="majorBidi"/>
          <w:color w:val="auto"/>
          <w:sz w:val="22"/>
          <w:szCs w:val="22"/>
          <w:lang w:val="en-GB"/>
        </w:rPr>
        <w:t>Netherlands,</w:t>
      </w:r>
      <w:r w:rsidR="009C1FC8">
        <w:rPr>
          <w:rFonts w:asciiTheme="majorHAnsi" w:hAnsiTheme="majorHAnsi" w:cstheme="majorBidi"/>
          <w:color w:val="auto"/>
          <w:sz w:val="22"/>
          <w:szCs w:val="22"/>
          <w:lang w:val="en-GB"/>
        </w:rPr>
        <w:t xml:space="preserve"> </w:t>
      </w:r>
      <w:r w:rsidR="007D4A4F">
        <w:rPr>
          <w:rFonts w:asciiTheme="majorHAnsi" w:hAnsiTheme="majorHAnsi" w:cstheme="majorBidi"/>
          <w:color w:val="auto"/>
          <w:sz w:val="22"/>
          <w:szCs w:val="22"/>
          <w:lang w:val="en-GB"/>
        </w:rPr>
        <w:t xml:space="preserve">double counting is applied to </w:t>
      </w:r>
      <w:r w:rsidR="0031380E">
        <w:rPr>
          <w:rFonts w:asciiTheme="majorHAnsi" w:hAnsiTheme="majorHAnsi" w:cstheme="majorBidi"/>
          <w:color w:val="auto"/>
          <w:sz w:val="22"/>
          <w:szCs w:val="22"/>
          <w:lang w:val="en-GB"/>
        </w:rPr>
        <w:t>a</w:t>
      </w:r>
      <w:r w:rsidR="007D4A4F">
        <w:rPr>
          <w:rFonts w:asciiTheme="majorHAnsi" w:hAnsiTheme="majorHAnsi" w:cstheme="majorBidi"/>
          <w:color w:val="auto"/>
          <w:sz w:val="22"/>
          <w:szCs w:val="22"/>
          <w:lang w:val="en-GB"/>
        </w:rPr>
        <w:t>dvance biofuels</w:t>
      </w:r>
      <w:r w:rsidR="0032316F">
        <w:rPr>
          <w:rFonts w:asciiTheme="majorHAnsi" w:hAnsiTheme="majorHAnsi" w:cstheme="majorBidi"/>
          <w:color w:val="auto"/>
          <w:sz w:val="22"/>
          <w:szCs w:val="22"/>
          <w:lang w:val="en-GB"/>
        </w:rPr>
        <w:t xml:space="preserve"> to</w:t>
      </w:r>
      <w:r w:rsidR="007D4A4F">
        <w:rPr>
          <w:rFonts w:asciiTheme="majorHAnsi" w:hAnsiTheme="majorHAnsi" w:cstheme="majorBidi"/>
          <w:color w:val="auto"/>
          <w:sz w:val="22"/>
          <w:szCs w:val="22"/>
          <w:lang w:val="en-GB"/>
        </w:rPr>
        <w:t xml:space="preserve"> further </w:t>
      </w:r>
      <w:r w:rsidR="00894099">
        <w:rPr>
          <w:rFonts w:asciiTheme="majorHAnsi" w:hAnsiTheme="majorHAnsi" w:cstheme="majorBidi"/>
          <w:color w:val="auto"/>
          <w:sz w:val="22"/>
          <w:szCs w:val="22"/>
          <w:lang w:val="en-GB"/>
        </w:rPr>
        <w:t>incentivi</w:t>
      </w:r>
      <w:r w:rsidR="0032316F">
        <w:rPr>
          <w:rFonts w:asciiTheme="majorHAnsi" w:hAnsiTheme="majorHAnsi" w:cstheme="majorBidi"/>
          <w:color w:val="auto"/>
          <w:sz w:val="22"/>
          <w:szCs w:val="22"/>
          <w:lang w:val="en-GB"/>
        </w:rPr>
        <w:t xml:space="preserve">ze </w:t>
      </w:r>
      <w:r w:rsidR="00894099">
        <w:rPr>
          <w:rFonts w:asciiTheme="majorHAnsi" w:hAnsiTheme="majorHAnsi" w:cstheme="majorBidi"/>
          <w:color w:val="auto"/>
          <w:sz w:val="22"/>
          <w:szCs w:val="22"/>
          <w:lang w:val="en-GB"/>
        </w:rPr>
        <w:t>g</w:t>
      </w:r>
      <w:r w:rsidR="007D4A4F">
        <w:rPr>
          <w:rFonts w:asciiTheme="majorHAnsi" w:hAnsiTheme="majorHAnsi" w:cstheme="majorBidi"/>
          <w:color w:val="auto"/>
          <w:sz w:val="22"/>
          <w:szCs w:val="22"/>
          <w:lang w:val="en-GB"/>
        </w:rPr>
        <w:t xml:space="preserve"> the use of these types of </w:t>
      </w:r>
      <w:r w:rsidR="0032316F">
        <w:rPr>
          <w:rFonts w:asciiTheme="majorHAnsi" w:hAnsiTheme="majorHAnsi" w:cstheme="majorBidi"/>
          <w:color w:val="auto"/>
          <w:sz w:val="22"/>
          <w:szCs w:val="22"/>
          <w:lang w:val="en-GB"/>
        </w:rPr>
        <w:t>b</w:t>
      </w:r>
      <w:r w:rsidR="007D4A4F">
        <w:rPr>
          <w:rFonts w:asciiTheme="majorHAnsi" w:hAnsiTheme="majorHAnsi" w:cstheme="majorBidi"/>
          <w:color w:val="auto"/>
          <w:sz w:val="22"/>
          <w:szCs w:val="22"/>
          <w:lang w:val="en-GB"/>
        </w:rPr>
        <w:t xml:space="preserve">iofuels. </w:t>
      </w:r>
      <w:r w:rsidR="007279A1">
        <w:rPr>
          <w:rFonts w:asciiTheme="majorHAnsi" w:hAnsiTheme="majorHAnsi" w:cstheme="majorBidi"/>
          <w:color w:val="auto"/>
          <w:sz w:val="22"/>
          <w:szCs w:val="22"/>
          <w:lang w:val="en-GB"/>
        </w:rPr>
        <w:t xml:space="preserve">This </w:t>
      </w:r>
      <w:r w:rsidR="004C0AD6">
        <w:rPr>
          <w:rFonts w:asciiTheme="majorHAnsi" w:hAnsiTheme="majorHAnsi" w:cstheme="majorBidi"/>
          <w:color w:val="auto"/>
          <w:sz w:val="22"/>
          <w:szCs w:val="22"/>
          <w:lang w:val="en-GB"/>
        </w:rPr>
        <w:t>trading</w:t>
      </w:r>
      <w:r w:rsidR="000505E6">
        <w:rPr>
          <w:rFonts w:asciiTheme="majorHAnsi" w:hAnsiTheme="majorHAnsi" w:cstheme="majorBidi"/>
          <w:color w:val="auto"/>
          <w:sz w:val="22"/>
          <w:szCs w:val="22"/>
          <w:lang w:val="en-GB"/>
        </w:rPr>
        <w:t xml:space="preserve"> system </w:t>
      </w:r>
      <w:r w:rsidR="007279A1">
        <w:rPr>
          <w:rFonts w:asciiTheme="majorHAnsi" w:hAnsiTheme="majorHAnsi" w:cstheme="majorBidi"/>
          <w:color w:val="auto"/>
          <w:sz w:val="22"/>
          <w:szCs w:val="22"/>
          <w:lang w:val="en-GB"/>
        </w:rPr>
        <w:t xml:space="preserve">is currently only implemented in the Netherlands. </w:t>
      </w:r>
      <w:r w:rsidR="00007050">
        <w:rPr>
          <w:rFonts w:asciiTheme="majorHAnsi" w:hAnsiTheme="majorHAnsi" w:cstheme="majorBidi"/>
          <w:color w:val="auto"/>
          <w:sz w:val="22"/>
          <w:szCs w:val="22"/>
          <w:lang w:val="en-GB"/>
        </w:rPr>
        <w:t xml:space="preserve">Other EU countries have no such system or mandatory legislation for </w:t>
      </w:r>
      <w:r w:rsidR="000505E6">
        <w:rPr>
          <w:rFonts w:asciiTheme="majorHAnsi" w:hAnsiTheme="majorHAnsi" w:cstheme="majorBidi"/>
          <w:color w:val="auto"/>
          <w:sz w:val="22"/>
          <w:szCs w:val="22"/>
          <w:lang w:val="en-GB"/>
        </w:rPr>
        <w:t>the use of advanced biofuels in the maritime sector</w:t>
      </w:r>
    </w:p>
    <w:p w14:paraId="744E5BA0" w14:textId="11469A7A" w:rsidR="00F616D7" w:rsidRDefault="176C8EFC" w:rsidP="00DC3405">
      <w:pPr>
        <w:pStyle w:val="Heading3"/>
      </w:pPr>
      <w:bookmarkStart w:id="17" w:name="_Toc85627861"/>
      <w:r>
        <w:t>European Green Deal</w:t>
      </w:r>
      <w:r w:rsidR="3B4A16AA">
        <w:t xml:space="preserve"> (EGD) </w:t>
      </w:r>
      <w:r w:rsidR="7D453BAC">
        <w:t>and</w:t>
      </w:r>
      <w:r w:rsidR="3B4A16AA">
        <w:t xml:space="preserve"> </w:t>
      </w:r>
      <w:proofErr w:type="gramStart"/>
      <w:r w:rsidR="5A1BEF7D">
        <w:t>Fit</w:t>
      </w:r>
      <w:proofErr w:type="gramEnd"/>
      <w:r w:rsidR="5A1BEF7D">
        <w:t xml:space="preserve"> for 55</w:t>
      </w:r>
      <w:bookmarkEnd w:id="17"/>
    </w:p>
    <w:p w14:paraId="57131D8E" w14:textId="282333A9" w:rsidR="5937A937" w:rsidRDefault="5937A937" w:rsidP="5937A937">
      <w:pPr>
        <w:rPr>
          <w:szCs w:val="21"/>
        </w:rPr>
      </w:pPr>
    </w:p>
    <w:p w14:paraId="4F2E7C12" w14:textId="61DA2DE6" w:rsidR="0011416A" w:rsidRPr="00E4320B" w:rsidRDefault="08410017" w:rsidP="791B8135">
      <w:pPr>
        <w:spacing w:after="120" w:line="360" w:lineRule="auto"/>
        <w:ind w:firstLine="709"/>
        <w:rPr>
          <w:rFonts w:asciiTheme="majorHAnsi" w:hAnsiTheme="majorHAnsi" w:cstheme="majorBidi"/>
          <w:color w:val="auto"/>
          <w:sz w:val="22"/>
          <w:szCs w:val="22"/>
          <w:lang w:val="en-GB"/>
        </w:rPr>
      </w:pPr>
      <w:r w:rsidRPr="5937A937">
        <w:rPr>
          <w:rFonts w:asciiTheme="majorHAnsi" w:hAnsiTheme="majorHAnsi" w:cstheme="majorBidi"/>
          <w:color w:val="auto"/>
          <w:sz w:val="22"/>
          <w:szCs w:val="22"/>
          <w:lang w:val="en-GB"/>
        </w:rPr>
        <w:t>In December 2019, the European Commission announced the European Green Deal (</w:t>
      </w:r>
      <w:r w:rsidR="12C8FAF3" w:rsidRPr="5937A937">
        <w:rPr>
          <w:rFonts w:asciiTheme="majorHAnsi" w:hAnsiTheme="majorHAnsi" w:cstheme="majorBidi"/>
          <w:color w:val="auto"/>
          <w:sz w:val="22"/>
          <w:szCs w:val="22"/>
          <w:lang w:val="en-GB"/>
        </w:rPr>
        <w:t>EGD) which</w:t>
      </w:r>
      <w:r w:rsidRPr="5937A937">
        <w:rPr>
          <w:rFonts w:asciiTheme="majorHAnsi" w:hAnsiTheme="majorHAnsi" w:cstheme="majorBidi"/>
          <w:color w:val="auto"/>
          <w:sz w:val="22"/>
          <w:szCs w:val="22"/>
          <w:lang w:val="en-GB"/>
        </w:rPr>
        <w:t xml:space="preserve"> set the blueprint for a transformational change. All 27 EU Member States </w:t>
      </w:r>
      <w:r w:rsidR="49BCBD65" w:rsidRPr="5937A937">
        <w:rPr>
          <w:rFonts w:asciiTheme="majorHAnsi" w:hAnsiTheme="majorHAnsi" w:cstheme="majorBidi"/>
          <w:color w:val="auto"/>
          <w:sz w:val="22"/>
          <w:szCs w:val="22"/>
          <w:lang w:val="en-GB"/>
        </w:rPr>
        <w:t>signed</w:t>
      </w:r>
      <w:r w:rsidRPr="5937A937">
        <w:rPr>
          <w:rFonts w:asciiTheme="majorHAnsi" w:hAnsiTheme="majorHAnsi" w:cstheme="majorBidi"/>
          <w:color w:val="auto"/>
          <w:sz w:val="22"/>
          <w:szCs w:val="22"/>
          <w:lang w:val="en-GB"/>
        </w:rPr>
        <w:t xml:space="preserve"> to th</w:t>
      </w:r>
      <w:r w:rsidR="07A88EDF" w:rsidRPr="5937A937">
        <w:rPr>
          <w:rFonts w:asciiTheme="majorHAnsi" w:hAnsiTheme="majorHAnsi" w:cstheme="majorBidi"/>
          <w:color w:val="auto"/>
          <w:sz w:val="22"/>
          <w:szCs w:val="22"/>
          <w:lang w:val="en-GB"/>
        </w:rPr>
        <w:t>e</w:t>
      </w:r>
      <w:r w:rsidRPr="5937A937">
        <w:rPr>
          <w:rFonts w:asciiTheme="majorHAnsi" w:hAnsiTheme="majorHAnsi" w:cstheme="majorBidi"/>
          <w:color w:val="auto"/>
          <w:sz w:val="22"/>
          <w:szCs w:val="22"/>
          <w:lang w:val="en-GB"/>
        </w:rPr>
        <w:t xml:space="preserve"> roadmap towards a climate-neutral economy. The goal of the </w:t>
      </w:r>
      <w:r w:rsidR="6ECBA66C" w:rsidRPr="5937A937">
        <w:rPr>
          <w:rFonts w:asciiTheme="majorHAnsi" w:hAnsiTheme="majorHAnsi" w:cstheme="majorBidi"/>
          <w:color w:val="auto"/>
          <w:sz w:val="22"/>
          <w:szCs w:val="22"/>
          <w:lang w:val="en-GB"/>
        </w:rPr>
        <w:t>EGD is</w:t>
      </w:r>
      <w:r w:rsidRPr="5937A937">
        <w:rPr>
          <w:rFonts w:asciiTheme="majorHAnsi" w:hAnsiTheme="majorHAnsi" w:cstheme="majorBidi"/>
          <w:color w:val="auto"/>
          <w:sz w:val="22"/>
          <w:szCs w:val="22"/>
          <w:lang w:val="en-GB"/>
        </w:rPr>
        <w:t xml:space="preserve"> to reduce at least by 55</w:t>
      </w:r>
      <w:r w:rsidR="005D0FC1">
        <w:rPr>
          <w:rFonts w:asciiTheme="majorHAnsi" w:hAnsiTheme="majorHAnsi" w:cstheme="majorBidi"/>
          <w:color w:val="auto"/>
          <w:sz w:val="22"/>
          <w:szCs w:val="22"/>
          <w:lang w:val="en-GB"/>
        </w:rPr>
        <w:t xml:space="preserve"> </w:t>
      </w:r>
      <w:r w:rsidRPr="5937A937">
        <w:rPr>
          <w:rFonts w:asciiTheme="majorHAnsi" w:hAnsiTheme="majorHAnsi" w:cstheme="majorBidi"/>
          <w:color w:val="auto"/>
          <w:sz w:val="22"/>
          <w:szCs w:val="22"/>
          <w:lang w:val="en-GB"/>
        </w:rPr>
        <w:t>% the emissions in 2030, with respect to 1990 levels. Then</w:t>
      </w:r>
      <w:r w:rsidR="5926DE61" w:rsidRPr="5937A937">
        <w:rPr>
          <w:rFonts w:asciiTheme="majorHAnsi" w:hAnsiTheme="majorHAnsi" w:cstheme="majorBidi"/>
          <w:color w:val="auto"/>
          <w:sz w:val="22"/>
          <w:szCs w:val="22"/>
          <w:lang w:val="en-GB"/>
        </w:rPr>
        <w:t>,</w:t>
      </w:r>
      <w:r w:rsidRPr="5937A937">
        <w:rPr>
          <w:rFonts w:asciiTheme="majorHAnsi" w:hAnsiTheme="majorHAnsi" w:cstheme="majorBidi"/>
          <w:color w:val="auto"/>
          <w:sz w:val="22"/>
          <w:szCs w:val="22"/>
          <w:lang w:val="en-GB"/>
        </w:rPr>
        <w:t xml:space="preserve"> gradually </w:t>
      </w:r>
      <w:r w:rsidR="00FE37AF" w:rsidRPr="5937A937">
        <w:rPr>
          <w:rFonts w:asciiTheme="majorHAnsi" w:hAnsiTheme="majorHAnsi" w:cstheme="majorBidi"/>
          <w:color w:val="auto"/>
          <w:sz w:val="22"/>
          <w:szCs w:val="22"/>
          <w:lang w:val="en-GB"/>
        </w:rPr>
        <w:t xml:space="preserve">move </w:t>
      </w:r>
      <w:r w:rsidRPr="5937A937">
        <w:rPr>
          <w:rFonts w:asciiTheme="majorHAnsi" w:hAnsiTheme="majorHAnsi" w:cstheme="majorBidi"/>
          <w:color w:val="auto"/>
          <w:sz w:val="22"/>
          <w:szCs w:val="22"/>
          <w:lang w:val="en-GB"/>
        </w:rPr>
        <w:t xml:space="preserve">to carbon neutrality by 2050. </w:t>
      </w:r>
      <w:r w:rsidRPr="5937A937">
        <w:rPr>
          <w:color w:val="auto"/>
          <w:sz w:val="22"/>
          <w:szCs w:val="22"/>
          <w:lang w:val="en-GB"/>
        </w:rPr>
        <w:t>The EGD is an instrument of change, that introduce</w:t>
      </w:r>
      <w:r w:rsidR="645CCB4C" w:rsidRPr="5937A937">
        <w:rPr>
          <w:color w:val="auto"/>
          <w:sz w:val="22"/>
          <w:szCs w:val="22"/>
          <w:lang w:val="en-GB"/>
        </w:rPr>
        <w:t>s</w:t>
      </w:r>
      <w:r w:rsidRPr="5937A937">
        <w:rPr>
          <w:color w:val="auto"/>
          <w:sz w:val="22"/>
          <w:szCs w:val="22"/>
          <w:lang w:val="en-GB"/>
        </w:rPr>
        <w:t xml:space="preserve"> a new policy principle “Green oath: do no harm”. Other EU initiatives must be aligned to this principle </w:t>
      </w:r>
      <w:r w:rsidR="0011416A" w:rsidRPr="5937A937">
        <w:rPr>
          <w:color w:val="auto"/>
          <w:sz w:val="22"/>
          <w:szCs w:val="22"/>
          <w:lang w:val="en-GB"/>
        </w:rPr>
        <w:fldChar w:fldCharType="begin" w:fldLock="1"/>
      </w:r>
      <w:r w:rsidR="0011416A" w:rsidRPr="5937A937">
        <w:rPr>
          <w:color w:val="auto"/>
          <w:sz w:val="22"/>
          <w:szCs w:val="22"/>
          <w:lang w:val="en-GB"/>
        </w:rPr>
        <w:instrText>ADDIN CSL_CITATION {"citationItems":[{"id":"ITEM-1","itemData":{"DOI":"10.1007/s12027-020-00637-3","ISSN":"18639038","abstract":"The European Green Deal announced by the European Commission in December 2019 is a roadmap meant to foster the transition of the European Union towards the climate-neutral economy by reducing carbon emissions towards 55% by 2030 and achieving carbon neutrality by 2050. By putting the EGD in a boarder perspective of evolving, constitutional rationale of environmental protection in the EU legal order, this contribution examines horizontal, legal dimension and financial implications of the green transition. The challenge ahead of the Union is now how to transform the ambitious climate agenda into efficient legal and economic instruments ‘in a fair way, leaving no one behind’. This paper argues that EGD is a great opportunity, but in order to turn it into a success, it must be strongly anchored in the concepts pertaining to the constitutional framework of the EU legal order, in particular, the concepts of solidarity, sustainable development and high level of environmental protection.","author":[{"dropping-particle":"","family":"Sikora","given":"Alicja","non-dropping-particle":"","parse-names":false,"suffix":""}],"container-title":"ERA Forum","id":"ITEM-1","issued":{"date-parts":[["2020"]]},"page":"681-697","publisher":"The Author(s)","title":"European Green Deal – legal and financial challenges of the climate change","type":"article-journal"},"uris":["http://www.mendeley.com/documents/?uuid=28a71f4b-3341-4579-a677-8efa15a33d7a"]}],"mendeley":{"formattedCitation":"(Sikora, 2020)","plainTextFormattedCitation":"(Sikora, 2020)","previouslyFormattedCitation":"(Sikora, 2020)"},"properties":{"noteIndex":0},"schema":"https://github.com/citation-style-language/schema/raw/master/csl-citation.json"}</w:instrText>
      </w:r>
      <w:r w:rsidR="0011416A" w:rsidRPr="5937A937">
        <w:rPr>
          <w:color w:val="auto"/>
          <w:sz w:val="22"/>
          <w:szCs w:val="22"/>
          <w:lang w:val="en-GB"/>
        </w:rPr>
        <w:fldChar w:fldCharType="separate"/>
      </w:r>
      <w:r w:rsidRPr="5937A937">
        <w:rPr>
          <w:noProof/>
          <w:color w:val="auto"/>
          <w:sz w:val="22"/>
          <w:szCs w:val="22"/>
          <w:lang w:val="en-GB"/>
        </w:rPr>
        <w:t>(Sikora, 2020)</w:t>
      </w:r>
      <w:r w:rsidR="0011416A" w:rsidRPr="5937A937">
        <w:rPr>
          <w:color w:val="auto"/>
          <w:sz w:val="22"/>
          <w:szCs w:val="22"/>
          <w:lang w:val="en-GB"/>
        </w:rPr>
        <w:fldChar w:fldCharType="end"/>
      </w:r>
      <w:r w:rsidRPr="5937A937">
        <w:rPr>
          <w:color w:val="auto"/>
          <w:sz w:val="22"/>
          <w:szCs w:val="22"/>
          <w:lang w:val="en-GB"/>
        </w:rPr>
        <w:t>. The EGD was implemented through the announcement of the Fit for 55 Package in July 2021</w:t>
      </w:r>
      <w:r w:rsidR="00F82B1E">
        <w:rPr>
          <w:color w:val="auto"/>
          <w:sz w:val="22"/>
          <w:szCs w:val="22"/>
          <w:lang w:val="en-GB"/>
        </w:rPr>
        <w:t xml:space="preserve"> </w:t>
      </w:r>
      <w:r w:rsidR="00F82B1E">
        <w:rPr>
          <w:color w:val="auto"/>
          <w:sz w:val="22"/>
          <w:szCs w:val="22"/>
          <w:lang w:val="en-GB"/>
        </w:rPr>
        <w:fldChar w:fldCharType="begin" w:fldLock="1"/>
      </w:r>
      <w:r w:rsidR="006468A3">
        <w:rPr>
          <w:color w:val="auto"/>
          <w:sz w:val="22"/>
          <w:szCs w:val="22"/>
          <w:lang w:val="en-GB"/>
        </w:rPr>
        <w:instrText>ADDIN CSL_CITATION {"citationItems":[{"id":"ITEM-1","itemData":{"URL":"https://ec.europa.eu/commission/presscorner/detail/en/ip_21_3541","accessed":{"date-parts":[["2021","9","7"]]},"author":[{"dropping-particle":"","family":"European Commission","given":"","non-dropping-particle":"","parse-names":false,"suffix":""}],"id":"ITEM-1","issued":{"date-parts":[["2021"]]},"title":"European Green Deal: Commission proposes transformation of EU economy and society to meet climate ambitions","type":"webpage"},"uris":["http://www.mendeley.com/documents/?uuid=9e999a55-413c-4df5-966a-70beab3801f2"]}],"mendeley":{"formattedCitation":"(European Commission, 2021b)","plainTextFormattedCitation":"(European Commission, 2021b)","previouslyFormattedCitation":"(European Commission, 2021b)"},"properties":{"noteIndex":0},"schema":"https://github.com/citation-style-language/schema/raw/master/csl-citation.json"}</w:instrText>
      </w:r>
      <w:r w:rsidR="00F82B1E">
        <w:rPr>
          <w:color w:val="auto"/>
          <w:sz w:val="22"/>
          <w:szCs w:val="22"/>
          <w:lang w:val="en-GB"/>
        </w:rPr>
        <w:fldChar w:fldCharType="separate"/>
      </w:r>
      <w:r w:rsidR="00DE7A60" w:rsidRPr="00DE7A60">
        <w:rPr>
          <w:noProof/>
          <w:color w:val="auto"/>
          <w:sz w:val="22"/>
          <w:szCs w:val="22"/>
          <w:lang w:val="en-GB"/>
        </w:rPr>
        <w:t>(European Commission, 2021b)</w:t>
      </w:r>
      <w:r w:rsidR="00F82B1E">
        <w:rPr>
          <w:color w:val="auto"/>
          <w:sz w:val="22"/>
          <w:szCs w:val="22"/>
          <w:lang w:val="en-GB"/>
        </w:rPr>
        <w:fldChar w:fldCharType="end"/>
      </w:r>
      <w:r w:rsidRPr="5937A937">
        <w:rPr>
          <w:color w:val="auto"/>
          <w:sz w:val="22"/>
          <w:szCs w:val="22"/>
          <w:lang w:val="en-GB"/>
        </w:rPr>
        <w:t xml:space="preserve">. </w:t>
      </w:r>
    </w:p>
    <w:p w14:paraId="3E4721EA" w14:textId="3CF01666" w:rsidR="0011416A" w:rsidRPr="00FE37AF" w:rsidRDefault="08410017" w:rsidP="5937A937">
      <w:pPr>
        <w:spacing w:after="120" w:line="360" w:lineRule="auto"/>
        <w:ind w:firstLine="709"/>
        <w:rPr>
          <w:rFonts w:asciiTheme="majorHAnsi" w:hAnsiTheme="majorHAnsi" w:cstheme="majorBidi"/>
          <w:color w:val="auto"/>
          <w:sz w:val="22"/>
          <w:szCs w:val="22"/>
          <w:lang w:val="en-GB"/>
        </w:rPr>
      </w:pPr>
      <w:r w:rsidRPr="00FE37AF">
        <w:rPr>
          <w:rFonts w:asciiTheme="majorHAnsi" w:hAnsiTheme="majorHAnsi" w:cstheme="majorBidi"/>
          <w:color w:val="auto"/>
          <w:sz w:val="22"/>
          <w:szCs w:val="22"/>
          <w:lang w:val="en-GB"/>
        </w:rPr>
        <w:t xml:space="preserve">Fit for 55 is a comprehensive package of a dozen legislative proposals aiming </w:t>
      </w:r>
      <w:r w:rsidR="7AED624F" w:rsidRPr="00FE37AF">
        <w:rPr>
          <w:rFonts w:asciiTheme="majorHAnsi" w:hAnsiTheme="majorHAnsi" w:cstheme="majorBidi"/>
          <w:color w:val="auto"/>
          <w:sz w:val="22"/>
          <w:szCs w:val="22"/>
          <w:lang w:val="en-GB"/>
        </w:rPr>
        <w:t>for</w:t>
      </w:r>
      <w:r w:rsidR="172E5CF3" w:rsidRPr="00FE37AF">
        <w:rPr>
          <w:rFonts w:asciiTheme="majorHAnsi" w:hAnsiTheme="majorHAnsi" w:cstheme="majorBidi"/>
          <w:color w:val="auto"/>
          <w:sz w:val="22"/>
          <w:szCs w:val="22"/>
          <w:lang w:val="en-GB"/>
        </w:rPr>
        <w:t xml:space="preserve"> 55</w:t>
      </w:r>
      <w:r w:rsidR="005D0FC1" w:rsidRPr="00FE37AF">
        <w:rPr>
          <w:rFonts w:asciiTheme="majorHAnsi" w:hAnsiTheme="majorHAnsi" w:cstheme="majorBidi"/>
          <w:color w:val="auto"/>
          <w:sz w:val="22"/>
          <w:szCs w:val="22"/>
          <w:lang w:val="en-GB"/>
        </w:rPr>
        <w:t xml:space="preserve"> </w:t>
      </w:r>
      <w:r w:rsidR="172E5CF3" w:rsidRPr="00FE37AF">
        <w:rPr>
          <w:rFonts w:asciiTheme="majorHAnsi" w:hAnsiTheme="majorHAnsi" w:cstheme="majorBidi"/>
          <w:color w:val="auto"/>
          <w:sz w:val="22"/>
          <w:szCs w:val="22"/>
          <w:lang w:val="en-GB"/>
        </w:rPr>
        <w:t>%</w:t>
      </w:r>
      <w:r w:rsidR="3BE9C60B" w:rsidRPr="00FE37AF">
        <w:rPr>
          <w:rFonts w:asciiTheme="majorHAnsi" w:hAnsiTheme="majorHAnsi" w:cstheme="majorBidi"/>
          <w:color w:val="auto"/>
          <w:sz w:val="22"/>
          <w:szCs w:val="22"/>
          <w:lang w:val="en-GB"/>
        </w:rPr>
        <w:t xml:space="preserve"> </w:t>
      </w:r>
      <w:r w:rsidRPr="00FE37AF">
        <w:rPr>
          <w:rFonts w:asciiTheme="majorHAnsi" w:hAnsiTheme="majorHAnsi" w:cstheme="majorBidi"/>
          <w:color w:val="auto"/>
          <w:sz w:val="22"/>
          <w:szCs w:val="22"/>
          <w:lang w:val="en-GB"/>
        </w:rPr>
        <w:t>reduction</w:t>
      </w:r>
      <w:r w:rsidR="320CFBAF" w:rsidRPr="00FE37AF">
        <w:rPr>
          <w:rFonts w:asciiTheme="majorHAnsi" w:hAnsiTheme="majorHAnsi" w:cstheme="majorBidi"/>
          <w:color w:val="auto"/>
          <w:sz w:val="22"/>
          <w:szCs w:val="22"/>
          <w:lang w:val="en-GB"/>
        </w:rPr>
        <w:t xml:space="preserve"> in emissions</w:t>
      </w:r>
      <w:r w:rsidRPr="00FE37AF">
        <w:rPr>
          <w:rFonts w:asciiTheme="majorHAnsi" w:hAnsiTheme="majorHAnsi" w:cstheme="majorBidi"/>
          <w:color w:val="auto"/>
          <w:sz w:val="22"/>
          <w:szCs w:val="22"/>
          <w:lang w:val="en-GB"/>
        </w:rPr>
        <w:t xml:space="preserve"> </w:t>
      </w:r>
      <w:r w:rsidR="413EFBAB" w:rsidRPr="00FE37AF">
        <w:rPr>
          <w:rFonts w:asciiTheme="majorHAnsi" w:hAnsiTheme="majorHAnsi" w:cstheme="majorBidi"/>
          <w:color w:val="auto"/>
          <w:sz w:val="22"/>
          <w:szCs w:val="22"/>
          <w:lang w:val="en-GB"/>
        </w:rPr>
        <w:t>in diverse</w:t>
      </w:r>
      <w:r w:rsidRPr="00FE37AF">
        <w:rPr>
          <w:rFonts w:asciiTheme="majorHAnsi" w:hAnsiTheme="majorHAnsi" w:cstheme="majorBidi"/>
          <w:color w:val="auto"/>
          <w:sz w:val="22"/>
          <w:szCs w:val="22"/>
          <w:lang w:val="en-GB"/>
        </w:rPr>
        <w:t xml:space="preserve"> sectors by 2030</w:t>
      </w:r>
      <w:r w:rsidR="1E3603CD" w:rsidRPr="00FE37AF">
        <w:rPr>
          <w:rFonts w:asciiTheme="majorHAnsi" w:hAnsiTheme="majorHAnsi" w:cstheme="majorBidi"/>
          <w:color w:val="auto"/>
          <w:sz w:val="22"/>
          <w:szCs w:val="22"/>
          <w:lang w:val="en-GB"/>
        </w:rPr>
        <w:t>,</w:t>
      </w:r>
      <w:r w:rsidRPr="00FE37AF">
        <w:rPr>
          <w:rFonts w:asciiTheme="majorHAnsi" w:hAnsiTheme="majorHAnsi" w:cstheme="majorBidi"/>
          <w:color w:val="auto"/>
          <w:sz w:val="22"/>
          <w:szCs w:val="22"/>
          <w:lang w:val="en-GB"/>
        </w:rPr>
        <w:t xml:space="preserve"> compared to 1990 levels. </w:t>
      </w:r>
      <w:r w:rsidR="00FE37AF">
        <w:rPr>
          <w:rFonts w:asciiTheme="majorHAnsi" w:hAnsiTheme="majorHAnsi" w:cstheme="majorBidi"/>
          <w:color w:val="auto"/>
          <w:sz w:val="22"/>
          <w:szCs w:val="22"/>
          <w:lang w:val="en-GB"/>
        </w:rPr>
        <w:t>T</w:t>
      </w:r>
      <w:r w:rsidR="00A369AF" w:rsidRPr="00FE37AF">
        <w:rPr>
          <w:rFonts w:asciiTheme="majorHAnsi" w:hAnsiTheme="majorHAnsi" w:cstheme="majorBidi"/>
          <w:color w:val="auto"/>
          <w:sz w:val="22"/>
          <w:szCs w:val="22"/>
          <w:lang w:val="en-GB"/>
        </w:rPr>
        <w:t>he</w:t>
      </w:r>
      <w:r w:rsidRPr="00FE37AF">
        <w:rPr>
          <w:rFonts w:asciiTheme="majorHAnsi" w:hAnsiTheme="majorHAnsi" w:cstheme="majorBidi"/>
          <w:color w:val="auto"/>
          <w:sz w:val="22"/>
          <w:szCs w:val="22"/>
          <w:lang w:val="en-GB"/>
        </w:rPr>
        <w:t xml:space="preserve"> shipping industry was included</w:t>
      </w:r>
      <w:r w:rsidR="0044535B">
        <w:rPr>
          <w:rFonts w:asciiTheme="majorHAnsi" w:hAnsiTheme="majorHAnsi" w:cstheme="majorBidi"/>
          <w:color w:val="auto"/>
          <w:sz w:val="22"/>
          <w:szCs w:val="22"/>
          <w:lang w:val="en-GB"/>
        </w:rPr>
        <w:t xml:space="preserve"> in the scope </w:t>
      </w:r>
      <w:r w:rsidR="00000A29">
        <w:rPr>
          <w:rFonts w:asciiTheme="majorHAnsi" w:hAnsiTheme="majorHAnsi" w:cstheme="majorBidi"/>
          <w:color w:val="auto"/>
          <w:sz w:val="22"/>
          <w:szCs w:val="22"/>
          <w:lang w:val="en-GB"/>
        </w:rPr>
        <w:t>of this comprehensive package proposals</w:t>
      </w:r>
      <w:r w:rsidR="00E804E9">
        <w:rPr>
          <w:rFonts w:asciiTheme="majorHAnsi" w:hAnsiTheme="majorHAnsi" w:cstheme="majorBidi"/>
          <w:color w:val="auto"/>
          <w:sz w:val="22"/>
          <w:szCs w:val="22"/>
          <w:lang w:val="en-GB"/>
        </w:rPr>
        <w:t xml:space="preserve">, mainly via the following </w:t>
      </w:r>
      <w:r w:rsidR="001E0EAB" w:rsidRPr="00FE37AF">
        <w:rPr>
          <w:rFonts w:asciiTheme="majorHAnsi" w:hAnsiTheme="majorHAnsi" w:cstheme="majorBidi"/>
          <w:color w:val="auto"/>
          <w:sz w:val="22"/>
          <w:szCs w:val="22"/>
          <w:lang w:val="en-GB"/>
        </w:rPr>
        <w:t>policies:</w:t>
      </w:r>
    </w:p>
    <w:p w14:paraId="06582617" w14:textId="77777777" w:rsidR="0011416A" w:rsidRPr="00DD2540" w:rsidRDefault="0011416A" w:rsidP="009E3D26">
      <w:pPr>
        <w:pStyle w:val="ListParagraph"/>
        <w:numPr>
          <w:ilvl w:val="0"/>
          <w:numId w:val="14"/>
        </w:numPr>
        <w:spacing w:after="120" w:line="360" w:lineRule="auto"/>
        <w:jc w:val="left"/>
        <w:rPr>
          <w:rFonts w:asciiTheme="majorHAnsi" w:hAnsiTheme="majorHAnsi" w:cstheme="majorHAnsi"/>
          <w:b/>
          <w:bCs/>
          <w:color w:val="auto"/>
          <w:sz w:val="22"/>
          <w:szCs w:val="22"/>
        </w:rPr>
      </w:pPr>
      <w:r w:rsidRPr="00DD2540">
        <w:rPr>
          <w:rFonts w:asciiTheme="majorHAnsi" w:hAnsiTheme="majorHAnsi" w:cstheme="majorHAnsi"/>
          <w:b/>
          <w:bCs/>
          <w:color w:val="auto"/>
          <w:sz w:val="22"/>
          <w:szCs w:val="22"/>
        </w:rPr>
        <w:lastRenderedPageBreak/>
        <w:t>The revision of the Renewable Energy Directive II</w:t>
      </w:r>
    </w:p>
    <w:p w14:paraId="7EB9F1A8" w14:textId="13D5D59E" w:rsidR="0011416A" w:rsidRPr="008E61C2" w:rsidRDefault="00E11705" w:rsidP="5937A937">
      <w:pPr>
        <w:pStyle w:val="ListParagraph"/>
        <w:spacing w:after="120" w:line="360" w:lineRule="auto"/>
        <w:ind w:left="0" w:firstLine="540"/>
        <w:rPr>
          <w:rFonts w:asciiTheme="majorHAnsi" w:hAnsiTheme="majorHAnsi" w:cstheme="majorBidi"/>
          <w:color w:val="auto"/>
          <w:sz w:val="22"/>
          <w:szCs w:val="22"/>
        </w:rPr>
      </w:pPr>
      <w:r>
        <w:rPr>
          <w:rFonts w:asciiTheme="majorHAnsi" w:hAnsiTheme="majorHAnsi" w:cstheme="majorBidi"/>
          <w:color w:val="auto"/>
          <w:sz w:val="22"/>
          <w:szCs w:val="22"/>
        </w:rPr>
        <w:t>It aims a</w:t>
      </w:r>
      <w:r w:rsidR="00811AD7">
        <w:rPr>
          <w:rFonts w:asciiTheme="majorHAnsi" w:hAnsiTheme="majorHAnsi" w:cstheme="majorBidi"/>
          <w:color w:val="auto"/>
          <w:sz w:val="22"/>
          <w:szCs w:val="22"/>
        </w:rPr>
        <w:t>t</w:t>
      </w:r>
      <w:r w:rsidR="5E1087A3" w:rsidRPr="5937A937">
        <w:rPr>
          <w:rFonts w:asciiTheme="majorHAnsi" w:hAnsiTheme="majorHAnsi" w:cstheme="majorBidi"/>
          <w:color w:val="auto"/>
          <w:sz w:val="22"/>
          <w:szCs w:val="22"/>
        </w:rPr>
        <w:t xml:space="preserve"> </w:t>
      </w:r>
      <w:r w:rsidR="08410017" w:rsidRPr="5937A937">
        <w:rPr>
          <w:rFonts w:asciiTheme="majorHAnsi" w:hAnsiTheme="majorHAnsi" w:cstheme="majorBidi"/>
          <w:color w:val="auto"/>
          <w:sz w:val="22"/>
          <w:szCs w:val="22"/>
        </w:rPr>
        <w:t>continuous</w:t>
      </w:r>
      <w:r w:rsidR="00811AD7">
        <w:rPr>
          <w:rFonts w:asciiTheme="majorHAnsi" w:hAnsiTheme="majorHAnsi" w:cstheme="majorBidi"/>
          <w:color w:val="auto"/>
          <w:sz w:val="22"/>
          <w:szCs w:val="22"/>
        </w:rPr>
        <w:t>ly</w:t>
      </w:r>
      <w:r w:rsidR="08410017" w:rsidRPr="5937A937">
        <w:rPr>
          <w:rFonts w:asciiTheme="majorHAnsi" w:hAnsiTheme="majorHAnsi" w:cstheme="majorBidi"/>
          <w:color w:val="auto"/>
          <w:sz w:val="22"/>
          <w:szCs w:val="22"/>
        </w:rPr>
        <w:t xml:space="preserve"> scaling up</w:t>
      </w:r>
      <w:r w:rsidR="76BCCF23" w:rsidRPr="5937A937">
        <w:rPr>
          <w:rFonts w:asciiTheme="majorHAnsi" w:hAnsiTheme="majorHAnsi" w:cstheme="majorBidi"/>
          <w:color w:val="auto"/>
          <w:sz w:val="22"/>
          <w:szCs w:val="22"/>
        </w:rPr>
        <w:t xml:space="preserve"> </w:t>
      </w:r>
      <w:r w:rsidR="08410017" w:rsidRPr="5937A937">
        <w:rPr>
          <w:rFonts w:asciiTheme="majorHAnsi" w:hAnsiTheme="majorHAnsi" w:cstheme="majorBidi"/>
          <w:color w:val="auto"/>
          <w:sz w:val="22"/>
          <w:szCs w:val="22"/>
        </w:rPr>
        <w:t>the usage of renewable and low carbon fuels in the EU. </w:t>
      </w:r>
      <w:r w:rsidR="00C1103C">
        <w:rPr>
          <w:rFonts w:asciiTheme="majorHAnsi" w:hAnsiTheme="majorHAnsi" w:cstheme="majorBidi"/>
          <w:color w:val="auto"/>
          <w:sz w:val="22"/>
          <w:szCs w:val="22"/>
        </w:rPr>
        <w:t xml:space="preserve">The above mentioned 14% share of renewable energy for transport and the sub-target of 3.5% </w:t>
      </w:r>
      <w:r w:rsidR="08410017" w:rsidRPr="5937A937">
        <w:rPr>
          <w:rFonts w:asciiTheme="majorHAnsi" w:hAnsiTheme="majorHAnsi" w:cstheme="majorBidi"/>
          <w:color w:val="auto"/>
          <w:sz w:val="22"/>
          <w:szCs w:val="22"/>
        </w:rPr>
        <w:t>for advanced biofuels</w:t>
      </w:r>
      <w:r w:rsidR="00C1103C">
        <w:rPr>
          <w:rFonts w:asciiTheme="majorHAnsi" w:hAnsiTheme="majorHAnsi" w:cstheme="majorBidi"/>
          <w:color w:val="auto"/>
          <w:sz w:val="22"/>
          <w:szCs w:val="22"/>
        </w:rPr>
        <w:t xml:space="preserve"> (which </w:t>
      </w:r>
      <w:r w:rsidR="0026511E">
        <w:rPr>
          <w:rFonts w:asciiTheme="majorHAnsi" w:hAnsiTheme="majorHAnsi" w:cstheme="majorBidi"/>
          <w:color w:val="auto"/>
          <w:sz w:val="22"/>
          <w:szCs w:val="22"/>
        </w:rPr>
        <w:t>are</w:t>
      </w:r>
      <w:r w:rsidR="00C1103C">
        <w:rPr>
          <w:rFonts w:asciiTheme="majorHAnsi" w:hAnsiTheme="majorHAnsi" w:cstheme="majorBidi"/>
          <w:color w:val="auto"/>
          <w:sz w:val="22"/>
          <w:szCs w:val="22"/>
        </w:rPr>
        <w:t xml:space="preserve"> subject to double counting) are replaced by a 13% GHG intensity reduction target for transport with a sub-target of 2.2% for advanced biofuels in 2030. The principle of double-counting</w:t>
      </w:r>
      <w:r w:rsidR="08410017" w:rsidRPr="5937A937">
        <w:rPr>
          <w:rFonts w:asciiTheme="majorHAnsi" w:hAnsiTheme="majorHAnsi" w:cstheme="majorBidi"/>
          <w:color w:val="auto"/>
          <w:sz w:val="22"/>
          <w:szCs w:val="22"/>
        </w:rPr>
        <w:t xml:space="preserve"> will no longer apply. </w:t>
      </w:r>
      <w:r w:rsidR="00DE7A60">
        <w:rPr>
          <w:rFonts w:asciiTheme="majorHAnsi" w:hAnsiTheme="majorHAnsi" w:cstheme="majorBidi"/>
          <w:color w:val="auto"/>
          <w:sz w:val="22"/>
          <w:szCs w:val="22"/>
        </w:rPr>
        <w:fldChar w:fldCharType="begin" w:fldLock="1"/>
      </w:r>
      <w:r w:rsidR="006468A3">
        <w:rPr>
          <w:rFonts w:asciiTheme="majorHAnsi" w:hAnsiTheme="majorHAnsi" w:cstheme="majorBidi"/>
          <w:color w:val="auto"/>
          <w:sz w:val="22"/>
          <w:szCs w:val="22"/>
        </w:rPr>
        <w:instrText>ADDIN CSL_CITATION {"citationItems":[{"id":"ITEM-1","itemData":{"author":[{"dropping-particle":"","family":"European Commission","given":"","non-dropping-particle":"","parse-names":false,"suffix":""}],"id":"ITEM-1","issued":{"date-parts":[["2021"]]},"title":"Amending Directive (EU) 2018/2001 of the European Parliament regards the promotion of energy from renewable sources, and repealing Council Directive (EU) 2015/65","type":"article","volume":"0218"},"uris":["http://www.mendeley.com/documents/?uuid=f920e565-0e5d-4f4e-adc1-9c06af495384"]}],"mendeley":{"formattedCitation":"(European Commission, 2021a)","plainTextFormattedCitation":"(European Commission, 2021a)","previouslyFormattedCitation":"(European Commission, 2021a)"},"properties":{"noteIndex":0},"schema":"https://github.com/citation-style-language/schema/raw/master/csl-citation.json"}</w:instrText>
      </w:r>
      <w:r w:rsidR="00DE7A60">
        <w:rPr>
          <w:rFonts w:asciiTheme="majorHAnsi" w:hAnsiTheme="majorHAnsi" w:cstheme="majorBidi"/>
          <w:color w:val="auto"/>
          <w:sz w:val="22"/>
          <w:szCs w:val="22"/>
        </w:rPr>
        <w:fldChar w:fldCharType="separate"/>
      </w:r>
      <w:r w:rsidR="00DE7A60" w:rsidRPr="00DE7A60">
        <w:rPr>
          <w:rFonts w:asciiTheme="majorHAnsi" w:hAnsiTheme="majorHAnsi" w:cstheme="majorBidi"/>
          <w:noProof/>
          <w:color w:val="auto"/>
          <w:sz w:val="22"/>
          <w:szCs w:val="22"/>
        </w:rPr>
        <w:t>(European Commission, 2021a)</w:t>
      </w:r>
      <w:r w:rsidR="00DE7A60">
        <w:rPr>
          <w:rFonts w:asciiTheme="majorHAnsi" w:hAnsiTheme="majorHAnsi" w:cstheme="majorBidi"/>
          <w:color w:val="auto"/>
          <w:sz w:val="22"/>
          <w:szCs w:val="22"/>
        </w:rPr>
        <w:fldChar w:fldCharType="end"/>
      </w:r>
      <w:r w:rsidR="08410017" w:rsidRPr="5937A937">
        <w:rPr>
          <w:rFonts w:asciiTheme="majorHAnsi" w:hAnsiTheme="majorHAnsi" w:cstheme="majorBidi"/>
          <w:color w:val="auto"/>
          <w:sz w:val="22"/>
          <w:szCs w:val="22"/>
        </w:rPr>
        <w:t xml:space="preserve">. </w:t>
      </w:r>
    </w:p>
    <w:p w14:paraId="13308EB1" w14:textId="2F357C04" w:rsidR="007F0302" w:rsidRDefault="08410017" w:rsidP="00553C3C">
      <w:pPr>
        <w:spacing w:after="120" w:line="360" w:lineRule="auto"/>
        <w:ind w:firstLine="360"/>
        <w:rPr>
          <w:sz w:val="22"/>
          <w:szCs w:val="22"/>
          <w:lang w:val="en-GB"/>
        </w:rPr>
      </w:pPr>
      <w:r w:rsidRPr="5937A937">
        <w:rPr>
          <w:rFonts w:asciiTheme="majorHAnsi" w:hAnsiTheme="majorHAnsi" w:cstheme="majorBidi"/>
          <w:color w:val="auto"/>
          <w:sz w:val="22"/>
          <w:szCs w:val="22"/>
        </w:rPr>
        <w:t xml:space="preserve">Sustainability </w:t>
      </w:r>
      <w:r w:rsidR="1B6A26BD" w:rsidRPr="5937A937">
        <w:rPr>
          <w:rFonts w:asciiTheme="majorHAnsi" w:hAnsiTheme="majorHAnsi" w:cstheme="majorBidi"/>
          <w:color w:val="auto"/>
          <w:sz w:val="22"/>
          <w:szCs w:val="22"/>
        </w:rPr>
        <w:t>criteria</w:t>
      </w:r>
      <w:r w:rsidR="00B916C4">
        <w:rPr>
          <w:rFonts w:asciiTheme="majorHAnsi" w:hAnsiTheme="majorHAnsi" w:cstheme="majorBidi"/>
          <w:color w:val="auto"/>
          <w:sz w:val="22"/>
          <w:szCs w:val="22"/>
        </w:rPr>
        <w:t xml:space="preserve"> and stand</w:t>
      </w:r>
      <w:r w:rsidR="003055BB">
        <w:rPr>
          <w:rFonts w:asciiTheme="majorHAnsi" w:hAnsiTheme="majorHAnsi" w:cstheme="majorBidi"/>
          <w:color w:val="auto"/>
          <w:sz w:val="22"/>
          <w:szCs w:val="22"/>
        </w:rPr>
        <w:t xml:space="preserve">ards for reliability, </w:t>
      </w:r>
      <w:r w:rsidR="1B6A26BD" w:rsidRPr="5937A937">
        <w:rPr>
          <w:rFonts w:asciiTheme="majorHAnsi" w:hAnsiTheme="majorHAnsi" w:cstheme="majorBidi"/>
          <w:color w:val="auto"/>
          <w:sz w:val="22"/>
          <w:szCs w:val="22"/>
        </w:rPr>
        <w:t>transparency</w:t>
      </w:r>
      <w:r w:rsidRPr="5937A937">
        <w:rPr>
          <w:rFonts w:asciiTheme="majorHAnsi" w:hAnsiTheme="majorHAnsi" w:cstheme="majorBidi"/>
          <w:color w:val="auto"/>
          <w:sz w:val="22"/>
          <w:szCs w:val="22"/>
        </w:rPr>
        <w:t xml:space="preserve">, </w:t>
      </w:r>
      <w:proofErr w:type="gramStart"/>
      <w:r w:rsidRPr="5937A937">
        <w:rPr>
          <w:rFonts w:asciiTheme="majorHAnsi" w:hAnsiTheme="majorHAnsi" w:cstheme="majorBidi"/>
          <w:color w:val="auto"/>
          <w:sz w:val="22"/>
          <w:szCs w:val="22"/>
        </w:rPr>
        <w:t>certification</w:t>
      </w:r>
      <w:proofErr w:type="gramEnd"/>
      <w:r w:rsidRPr="5937A937">
        <w:rPr>
          <w:rFonts w:asciiTheme="majorHAnsi" w:hAnsiTheme="majorHAnsi" w:cstheme="majorBidi"/>
          <w:color w:val="auto"/>
          <w:sz w:val="22"/>
          <w:szCs w:val="22"/>
        </w:rPr>
        <w:t xml:space="preserve"> and verification will most likely not change.  For the case of IDEALFUEL</w:t>
      </w:r>
      <w:r w:rsidR="4D89188B" w:rsidRPr="5937A937">
        <w:rPr>
          <w:rFonts w:asciiTheme="majorHAnsi" w:hAnsiTheme="majorHAnsi" w:cstheme="majorBidi"/>
          <w:color w:val="auto"/>
          <w:sz w:val="22"/>
          <w:szCs w:val="22"/>
        </w:rPr>
        <w:t>,</w:t>
      </w:r>
      <w:r w:rsidRPr="5937A937">
        <w:rPr>
          <w:rFonts w:asciiTheme="majorHAnsi" w:hAnsiTheme="majorHAnsi" w:cstheme="majorBidi"/>
          <w:color w:val="auto"/>
          <w:sz w:val="22"/>
          <w:szCs w:val="22"/>
        </w:rPr>
        <w:t xml:space="preserve"> certification of the fuel will play a key role for its use. </w:t>
      </w:r>
      <w:r>
        <w:t xml:space="preserve">The mayor impact will most likely be related to the feedstock from which advanced biofuels can be produced. </w:t>
      </w:r>
      <w:r w:rsidR="009D0C05">
        <w:t>Annex IX is under revision</w:t>
      </w:r>
      <w:r w:rsidR="00F81E10">
        <w:t xml:space="preserve">, with the aim to improve the feedstock list, </w:t>
      </w:r>
      <w:r w:rsidR="00553C3C">
        <w:t>trough the clarification of</w:t>
      </w:r>
      <w:r w:rsidR="00F81E10">
        <w:t xml:space="preserve"> the feedstocks and </w:t>
      </w:r>
      <w:r w:rsidR="007F0302">
        <w:t xml:space="preserve">the possible inclusion of new </w:t>
      </w:r>
      <w:r w:rsidR="00C73A24">
        <w:t>materials</w:t>
      </w:r>
      <w:r w:rsidR="007F0302">
        <w:t xml:space="preserve">. </w:t>
      </w:r>
      <w:r>
        <w:t>For lignocellulosic feedstock</w:t>
      </w:r>
      <w:r w:rsidR="2985B001">
        <w:t>,</w:t>
      </w:r>
      <w:r>
        <w:t xml:space="preserve"> a “cascading principle” is being considered, </w:t>
      </w:r>
      <w:r w:rsidR="443C7BAF">
        <w:t>i.e.,</w:t>
      </w:r>
      <w:r>
        <w:t xml:space="preserve"> if the feedstock </w:t>
      </w:r>
      <w:r w:rsidR="75DD768E">
        <w:t>is potentially useful</w:t>
      </w:r>
      <w:r>
        <w:t xml:space="preserve"> </w:t>
      </w:r>
      <w:r w:rsidR="7D348C34">
        <w:t>for purposes other than</w:t>
      </w:r>
      <w:r>
        <w:t xml:space="preserve"> </w:t>
      </w:r>
      <w:r w:rsidR="002C591F">
        <w:t>energy</w:t>
      </w:r>
      <w:r>
        <w:t xml:space="preserve"> applications, then</w:t>
      </w:r>
      <w:r w:rsidR="76CBBD7B">
        <w:t>,</w:t>
      </w:r>
      <w:r>
        <w:t xml:space="preserve"> </w:t>
      </w:r>
      <w:r w:rsidR="002C591F">
        <w:t xml:space="preserve">it might </w:t>
      </w:r>
      <w:r>
        <w:t xml:space="preserve">no longer </w:t>
      </w:r>
      <w:r w:rsidR="009A00E0">
        <w:t xml:space="preserve">be </w:t>
      </w:r>
      <w:r>
        <w:t>considered a residue</w:t>
      </w:r>
      <w:proofErr w:type="gramStart"/>
      <w:r>
        <w:t xml:space="preserve">.  </w:t>
      </w:r>
      <w:proofErr w:type="gramEnd"/>
      <w:r>
        <w:t xml:space="preserve">Therefore, it is suggested </w:t>
      </w:r>
      <w:r w:rsidR="5C94100D">
        <w:t>a careful assessment</w:t>
      </w:r>
      <w:r>
        <w:t xml:space="preserve"> </w:t>
      </w:r>
      <w:r w:rsidR="12B55FAD">
        <w:t>of the</w:t>
      </w:r>
      <w:r>
        <w:t xml:space="preserve"> production processes</w:t>
      </w:r>
      <w:r w:rsidR="5D593E96">
        <w:t xml:space="preserve"> to </w:t>
      </w:r>
      <w:r w:rsidR="12175F18">
        <w:t>address this point.</w:t>
      </w:r>
      <w:r w:rsidR="009875C6">
        <w:t xml:space="preserve"> </w:t>
      </w:r>
      <w:r w:rsidR="007F0302">
        <w:rPr>
          <w:sz w:val="22"/>
          <w:szCs w:val="22"/>
          <w:lang w:val="en-GB"/>
        </w:rPr>
        <w:t>It is expected that by the end of th</w:t>
      </w:r>
      <w:r w:rsidR="009A00E0">
        <w:rPr>
          <w:sz w:val="22"/>
          <w:szCs w:val="22"/>
          <w:lang w:val="en-GB"/>
        </w:rPr>
        <w:t>is</w:t>
      </w:r>
      <w:r w:rsidR="007F0302">
        <w:rPr>
          <w:sz w:val="22"/>
          <w:szCs w:val="22"/>
          <w:lang w:val="en-GB"/>
        </w:rPr>
        <w:t xml:space="preserve"> year th</w:t>
      </w:r>
      <w:r w:rsidR="009A00E0">
        <w:rPr>
          <w:sz w:val="22"/>
          <w:szCs w:val="22"/>
          <w:lang w:val="en-GB"/>
        </w:rPr>
        <w:t>e revi</w:t>
      </w:r>
      <w:r w:rsidR="004E47B6">
        <w:rPr>
          <w:sz w:val="22"/>
          <w:szCs w:val="22"/>
          <w:lang w:val="en-GB"/>
        </w:rPr>
        <w:t>ewing</w:t>
      </w:r>
      <w:r w:rsidR="007F0302">
        <w:rPr>
          <w:sz w:val="22"/>
          <w:szCs w:val="22"/>
          <w:lang w:val="en-GB"/>
        </w:rPr>
        <w:t xml:space="preserve"> process </w:t>
      </w:r>
      <w:r w:rsidR="004E47B6">
        <w:rPr>
          <w:sz w:val="22"/>
          <w:szCs w:val="22"/>
          <w:lang w:val="en-GB"/>
        </w:rPr>
        <w:t>will be</w:t>
      </w:r>
      <w:r w:rsidR="007F0302">
        <w:rPr>
          <w:sz w:val="22"/>
          <w:szCs w:val="22"/>
          <w:lang w:val="en-GB"/>
        </w:rPr>
        <w:t xml:space="preserve"> finalised</w:t>
      </w:r>
      <w:r w:rsidR="00477468">
        <w:rPr>
          <w:sz w:val="22"/>
          <w:szCs w:val="22"/>
          <w:lang w:val="en-GB"/>
        </w:rPr>
        <w:t>,</w:t>
      </w:r>
    </w:p>
    <w:p w14:paraId="35CA415C" w14:textId="77777777" w:rsidR="0011416A" w:rsidRPr="005847E0" w:rsidRDefault="0011416A" w:rsidP="009E3D26">
      <w:pPr>
        <w:pStyle w:val="ListParagraph"/>
        <w:numPr>
          <w:ilvl w:val="0"/>
          <w:numId w:val="14"/>
        </w:numPr>
        <w:spacing w:after="120" w:line="360" w:lineRule="auto"/>
        <w:jc w:val="left"/>
        <w:rPr>
          <w:rFonts w:asciiTheme="majorHAnsi" w:hAnsiTheme="majorHAnsi" w:cstheme="majorHAnsi"/>
          <w:b/>
          <w:bCs/>
          <w:color w:val="auto"/>
          <w:sz w:val="22"/>
          <w:szCs w:val="22"/>
        </w:rPr>
      </w:pPr>
      <w:r w:rsidRPr="005847E0">
        <w:rPr>
          <w:rFonts w:asciiTheme="majorHAnsi" w:hAnsiTheme="majorHAnsi" w:cstheme="majorHAnsi"/>
          <w:b/>
          <w:bCs/>
          <w:color w:val="auto"/>
          <w:sz w:val="22"/>
          <w:szCs w:val="22"/>
        </w:rPr>
        <w:t xml:space="preserve">The </w:t>
      </w:r>
      <w:r>
        <w:rPr>
          <w:rFonts w:asciiTheme="majorHAnsi" w:hAnsiTheme="majorHAnsi" w:cstheme="majorHAnsi"/>
          <w:b/>
          <w:bCs/>
          <w:color w:val="auto"/>
          <w:sz w:val="22"/>
          <w:szCs w:val="22"/>
        </w:rPr>
        <w:t xml:space="preserve">introduction of the </w:t>
      </w:r>
      <w:r w:rsidRPr="005847E0">
        <w:rPr>
          <w:rFonts w:asciiTheme="majorHAnsi" w:hAnsiTheme="majorHAnsi" w:cstheme="majorHAnsi"/>
          <w:b/>
          <w:bCs/>
          <w:color w:val="auto"/>
          <w:sz w:val="22"/>
          <w:szCs w:val="22"/>
        </w:rPr>
        <w:t>Fuel EU Maritime Initiative</w:t>
      </w:r>
    </w:p>
    <w:p w14:paraId="39EA4B82" w14:textId="526D2582" w:rsidR="0011416A" w:rsidRDefault="08410017" w:rsidP="002C591F">
      <w:pPr>
        <w:spacing w:after="120" w:line="360" w:lineRule="auto"/>
        <w:ind w:firstLine="540"/>
        <w:rPr>
          <w:rFonts w:asciiTheme="majorHAnsi" w:hAnsiTheme="majorHAnsi" w:cstheme="majorBidi"/>
          <w:color w:val="auto"/>
          <w:sz w:val="22"/>
          <w:szCs w:val="22"/>
        </w:rPr>
      </w:pPr>
      <w:r w:rsidRPr="59587566">
        <w:rPr>
          <w:rFonts w:asciiTheme="majorHAnsi" w:hAnsiTheme="majorHAnsi" w:cstheme="majorBidi"/>
          <w:color w:val="auto"/>
          <w:sz w:val="22"/>
          <w:szCs w:val="22"/>
        </w:rPr>
        <w:t>It aims to decarbonize the shipping industry by ramping up the use and production of renewable and low carbon maritime fuels</w:t>
      </w:r>
      <w:r w:rsidR="000F4A5B">
        <w:rPr>
          <w:rFonts w:asciiTheme="majorHAnsi" w:hAnsiTheme="majorHAnsi" w:cstheme="majorBidi"/>
          <w:color w:val="auto"/>
          <w:sz w:val="22"/>
          <w:szCs w:val="22"/>
        </w:rPr>
        <w:t xml:space="preserve"> </w:t>
      </w:r>
      <w:r w:rsidR="009B4880" w:rsidRPr="009B4880">
        <w:rPr>
          <w:rFonts w:asciiTheme="majorHAnsi" w:hAnsiTheme="majorHAnsi" w:cstheme="majorBidi"/>
          <w:color w:val="auto"/>
          <w:sz w:val="22"/>
          <w:szCs w:val="22"/>
        </w:rPr>
        <w:t>through successively increasing GHG intensity reduction targets for ships. GHG emission factors of renewable biofuels meeting the sustainability and GHG saving criteria of RED II shall be determined according to the methodologies set out in RED II, whereas biofuels which do</w:t>
      </w:r>
      <w:r w:rsidR="009B4880">
        <w:rPr>
          <w:rFonts w:asciiTheme="majorHAnsi" w:hAnsiTheme="majorHAnsi" w:cstheme="majorBidi"/>
          <w:color w:val="auto"/>
          <w:sz w:val="22"/>
          <w:szCs w:val="22"/>
        </w:rPr>
        <w:t xml:space="preserve"> no</w:t>
      </w:r>
      <w:r w:rsidR="009B4880" w:rsidRPr="009B4880">
        <w:rPr>
          <w:rFonts w:asciiTheme="majorHAnsi" w:hAnsiTheme="majorHAnsi" w:cstheme="majorBidi"/>
          <w:color w:val="auto"/>
          <w:sz w:val="22"/>
          <w:szCs w:val="22"/>
        </w:rPr>
        <w:t xml:space="preserve">t meet those criteria shall be considered to have the same emission factors as the least </w:t>
      </w:r>
      <w:r w:rsidR="00800CAC" w:rsidRPr="009B4880">
        <w:rPr>
          <w:rFonts w:asciiTheme="majorHAnsi" w:hAnsiTheme="majorHAnsi" w:cstheme="majorBidi"/>
          <w:color w:val="auto"/>
          <w:sz w:val="22"/>
          <w:szCs w:val="22"/>
        </w:rPr>
        <w:t>favorable</w:t>
      </w:r>
      <w:r w:rsidR="009B4880" w:rsidRPr="009B4880">
        <w:rPr>
          <w:rFonts w:asciiTheme="majorHAnsi" w:hAnsiTheme="majorHAnsi" w:cstheme="majorBidi"/>
          <w:color w:val="auto"/>
          <w:sz w:val="22"/>
          <w:szCs w:val="22"/>
        </w:rPr>
        <w:t xml:space="preserve"> fossil fuel pathway for this type of fuel</w:t>
      </w:r>
      <w:r w:rsidRPr="59587566">
        <w:rPr>
          <w:rFonts w:asciiTheme="majorHAnsi" w:hAnsiTheme="majorHAnsi" w:cstheme="majorBidi"/>
          <w:color w:val="auto"/>
          <w:sz w:val="22"/>
          <w:szCs w:val="22"/>
        </w:rPr>
        <w:t xml:space="preserve">. </w:t>
      </w:r>
      <w:r w:rsidR="006569ED">
        <w:rPr>
          <w:rStyle w:val="normaltextrun"/>
          <w:rFonts w:cs="Calibri"/>
          <w:color w:val="000000"/>
          <w:sz w:val="22"/>
          <w:szCs w:val="22"/>
          <w:shd w:val="clear" w:color="auto" w:fill="FFFFFF"/>
        </w:rPr>
        <w:t>The target group of this initiative are ship owners (&gt;5000 gross tonnage). It has a pool compliance approach, in other words, the reduction is not expected for every ship, but for the fleet.</w:t>
      </w:r>
      <w:r w:rsidRPr="59587566">
        <w:rPr>
          <w:rFonts w:asciiTheme="majorHAnsi" w:hAnsiTheme="majorHAnsi" w:cstheme="majorBidi"/>
          <w:color w:val="auto"/>
          <w:sz w:val="22"/>
          <w:szCs w:val="22"/>
        </w:rPr>
        <w:t xml:space="preserve"> It </w:t>
      </w:r>
      <w:r w:rsidR="076B8AF6" w:rsidRPr="59587566">
        <w:rPr>
          <w:rFonts w:asciiTheme="majorHAnsi" w:hAnsiTheme="majorHAnsi" w:cstheme="majorBidi"/>
          <w:color w:val="auto"/>
          <w:sz w:val="22"/>
          <w:szCs w:val="22"/>
        </w:rPr>
        <w:t xml:space="preserve">promotes a progressive reduction in GHG emissions, </w:t>
      </w:r>
      <w:r w:rsidRPr="59587566">
        <w:rPr>
          <w:rFonts w:asciiTheme="majorHAnsi" w:hAnsiTheme="majorHAnsi" w:cstheme="majorBidi"/>
          <w:color w:val="auto"/>
          <w:sz w:val="22"/>
          <w:szCs w:val="22"/>
        </w:rPr>
        <w:t>starting with 2</w:t>
      </w:r>
      <w:r w:rsidR="622025F2" w:rsidRPr="59587566">
        <w:rPr>
          <w:rFonts w:asciiTheme="majorHAnsi" w:hAnsiTheme="majorHAnsi" w:cstheme="majorBidi"/>
          <w:color w:val="auto"/>
          <w:sz w:val="22"/>
          <w:szCs w:val="22"/>
        </w:rPr>
        <w:t xml:space="preserve"> </w:t>
      </w:r>
      <w:r w:rsidRPr="59587566">
        <w:rPr>
          <w:rFonts w:asciiTheme="majorHAnsi" w:hAnsiTheme="majorHAnsi" w:cstheme="majorBidi"/>
          <w:color w:val="auto"/>
          <w:sz w:val="22"/>
          <w:szCs w:val="22"/>
        </w:rPr>
        <w:t xml:space="preserve">% </w:t>
      </w:r>
      <w:r w:rsidR="02DAC64A" w:rsidRPr="59587566">
        <w:rPr>
          <w:rFonts w:asciiTheme="majorHAnsi" w:hAnsiTheme="majorHAnsi" w:cstheme="majorBidi"/>
          <w:color w:val="auto"/>
          <w:sz w:val="22"/>
          <w:szCs w:val="22"/>
        </w:rPr>
        <w:t>by</w:t>
      </w:r>
      <w:r w:rsidRPr="59587566">
        <w:rPr>
          <w:rFonts w:asciiTheme="majorHAnsi" w:hAnsiTheme="majorHAnsi" w:cstheme="majorBidi"/>
          <w:color w:val="auto"/>
          <w:sz w:val="22"/>
          <w:szCs w:val="22"/>
        </w:rPr>
        <w:t xml:space="preserve"> 2025, </w:t>
      </w:r>
      <w:r w:rsidR="34B410FD" w:rsidRPr="59587566">
        <w:rPr>
          <w:rFonts w:asciiTheme="majorHAnsi" w:hAnsiTheme="majorHAnsi" w:cstheme="majorBidi"/>
          <w:color w:val="auto"/>
          <w:sz w:val="22"/>
          <w:szCs w:val="22"/>
        </w:rPr>
        <w:t>increasing to</w:t>
      </w:r>
      <w:r w:rsidRPr="59587566">
        <w:rPr>
          <w:rFonts w:asciiTheme="majorHAnsi" w:hAnsiTheme="majorHAnsi" w:cstheme="majorBidi"/>
          <w:color w:val="auto"/>
          <w:sz w:val="22"/>
          <w:szCs w:val="22"/>
        </w:rPr>
        <w:t xml:space="preserve"> 75</w:t>
      </w:r>
      <w:r w:rsidR="1D5DAB88" w:rsidRPr="59587566">
        <w:rPr>
          <w:rFonts w:asciiTheme="majorHAnsi" w:hAnsiTheme="majorHAnsi" w:cstheme="majorBidi"/>
          <w:color w:val="auto"/>
          <w:sz w:val="22"/>
          <w:szCs w:val="22"/>
        </w:rPr>
        <w:t xml:space="preserve"> % by</w:t>
      </w:r>
      <w:r w:rsidRPr="59587566">
        <w:rPr>
          <w:rFonts w:asciiTheme="majorHAnsi" w:hAnsiTheme="majorHAnsi" w:cstheme="majorBidi"/>
          <w:color w:val="auto"/>
          <w:sz w:val="22"/>
          <w:szCs w:val="22"/>
        </w:rPr>
        <w:t xml:space="preserve"> 2050. </w:t>
      </w:r>
      <w:proofErr w:type="gramStart"/>
      <w:r w:rsidRPr="5937A937">
        <w:rPr>
          <w:rFonts w:asciiTheme="majorHAnsi" w:hAnsiTheme="majorHAnsi" w:cstheme="majorBidi"/>
          <w:color w:val="auto"/>
          <w:sz w:val="22"/>
          <w:szCs w:val="22"/>
        </w:rPr>
        <w:t>In order to</w:t>
      </w:r>
      <w:proofErr w:type="gramEnd"/>
      <w:r w:rsidRPr="5937A937">
        <w:rPr>
          <w:rFonts w:asciiTheme="majorHAnsi" w:hAnsiTheme="majorHAnsi" w:cstheme="majorBidi"/>
          <w:color w:val="auto"/>
          <w:sz w:val="22"/>
          <w:szCs w:val="22"/>
        </w:rPr>
        <w:t xml:space="preserve"> comply with this </w:t>
      </w:r>
      <w:r w:rsidR="263E6C24" w:rsidRPr="5937A937">
        <w:rPr>
          <w:rFonts w:asciiTheme="majorHAnsi" w:hAnsiTheme="majorHAnsi" w:cstheme="majorBidi"/>
          <w:color w:val="auto"/>
          <w:sz w:val="22"/>
          <w:szCs w:val="22"/>
        </w:rPr>
        <w:t>regulation,</w:t>
      </w:r>
      <w:r w:rsidRPr="5937A937">
        <w:rPr>
          <w:rFonts w:asciiTheme="majorHAnsi" w:hAnsiTheme="majorHAnsi" w:cstheme="majorBidi"/>
          <w:color w:val="auto"/>
          <w:sz w:val="22"/>
          <w:szCs w:val="22"/>
        </w:rPr>
        <w:t xml:space="preserve"> the Bio-HFO from IDEALFUEL will have to be certified according to the Directive (EU) 2018/2001.</w:t>
      </w:r>
      <w:r w:rsidR="001E71C5">
        <w:rPr>
          <w:rFonts w:asciiTheme="majorHAnsi" w:hAnsiTheme="majorHAnsi" w:cstheme="majorBidi"/>
          <w:color w:val="auto"/>
          <w:sz w:val="22"/>
          <w:szCs w:val="22"/>
        </w:rPr>
        <w:t xml:space="preserve"> </w:t>
      </w:r>
      <w:r w:rsidR="00F84AA8">
        <w:rPr>
          <w:rFonts w:asciiTheme="majorHAnsi" w:hAnsiTheme="majorHAnsi" w:cstheme="majorBidi"/>
          <w:color w:val="auto"/>
          <w:sz w:val="22"/>
          <w:szCs w:val="22"/>
        </w:rPr>
        <w:t xml:space="preserve"> </w:t>
      </w:r>
      <w:r w:rsidR="0039418C">
        <w:rPr>
          <w:rFonts w:asciiTheme="majorHAnsi" w:hAnsiTheme="majorHAnsi" w:cstheme="majorBidi"/>
          <w:color w:val="auto"/>
          <w:sz w:val="22"/>
          <w:szCs w:val="22"/>
        </w:rPr>
        <w:t xml:space="preserve">GHG emission reduction are the </w:t>
      </w:r>
      <w:proofErr w:type="gramStart"/>
      <w:r w:rsidR="0039418C">
        <w:rPr>
          <w:rFonts w:asciiTheme="majorHAnsi" w:hAnsiTheme="majorHAnsi" w:cstheme="majorBidi"/>
          <w:color w:val="auto"/>
          <w:sz w:val="22"/>
          <w:szCs w:val="22"/>
        </w:rPr>
        <w:t>main focus</w:t>
      </w:r>
      <w:proofErr w:type="gramEnd"/>
      <w:r w:rsidR="0039418C">
        <w:rPr>
          <w:rFonts w:asciiTheme="majorHAnsi" w:hAnsiTheme="majorHAnsi" w:cstheme="majorBidi"/>
          <w:color w:val="auto"/>
          <w:sz w:val="22"/>
          <w:szCs w:val="22"/>
        </w:rPr>
        <w:t xml:space="preserve"> to consider in this case; however, this is coupled with the </w:t>
      </w:r>
      <w:r w:rsidR="00F979B0">
        <w:rPr>
          <w:rFonts w:asciiTheme="majorHAnsi" w:hAnsiTheme="majorHAnsi" w:cstheme="majorBidi"/>
          <w:color w:val="auto"/>
          <w:sz w:val="22"/>
          <w:szCs w:val="22"/>
        </w:rPr>
        <w:t>capacity for blending of the Bio-HFO.</w:t>
      </w:r>
      <w:r w:rsidR="0039418C">
        <w:rPr>
          <w:rFonts w:asciiTheme="majorHAnsi" w:hAnsiTheme="majorHAnsi" w:cstheme="majorBidi"/>
          <w:color w:val="auto"/>
          <w:sz w:val="22"/>
          <w:szCs w:val="22"/>
        </w:rPr>
        <w:t xml:space="preserve"> </w:t>
      </w:r>
    </w:p>
    <w:p w14:paraId="5E0FD91C" w14:textId="77777777" w:rsidR="0011416A" w:rsidRPr="005752AC" w:rsidRDefault="0011416A" w:rsidP="009E3D26">
      <w:pPr>
        <w:pStyle w:val="ListParagraph"/>
        <w:numPr>
          <w:ilvl w:val="0"/>
          <w:numId w:val="14"/>
        </w:numPr>
        <w:spacing w:after="120" w:line="360" w:lineRule="auto"/>
        <w:jc w:val="left"/>
        <w:rPr>
          <w:rFonts w:asciiTheme="majorHAnsi" w:hAnsiTheme="majorHAnsi" w:cstheme="majorHAnsi"/>
          <w:b/>
          <w:bCs/>
          <w:color w:val="auto"/>
          <w:sz w:val="22"/>
          <w:szCs w:val="22"/>
        </w:rPr>
      </w:pPr>
      <w:r w:rsidRPr="005752AC">
        <w:rPr>
          <w:rFonts w:asciiTheme="majorHAnsi" w:hAnsiTheme="majorHAnsi" w:cstheme="majorHAnsi"/>
          <w:b/>
          <w:bCs/>
          <w:color w:val="auto"/>
          <w:sz w:val="22"/>
          <w:szCs w:val="22"/>
        </w:rPr>
        <w:t xml:space="preserve">The revision of the Alternative Fuels Infrastructure Directive </w:t>
      </w:r>
    </w:p>
    <w:p w14:paraId="2108FB17" w14:textId="2B0FD4F0" w:rsidR="0011416A" w:rsidRDefault="08410017" w:rsidP="004216E0">
      <w:pPr>
        <w:spacing w:after="120" w:line="360" w:lineRule="auto"/>
        <w:ind w:firstLine="540"/>
        <w:rPr>
          <w:rFonts w:asciiTheme="majorHAnsi" w:hAnsiTheme="majorHAnsi" w:cstheme="majorBidi"/>
          <w:color w:val="auto"/>
          <w:sz w:val="22"/>
          <w:szCs w:val="22"/>
        </w:rPr>
      </w:pPr>
      <w:r w:rsidRPr="5937A937">
        <w:rPr>
          <w:rFonts w:asciiTheme="majorHAnsi" w:hAnsiTheme="majorHAnsi" w:cstheme="majorBidi"/>
          <w:color w:val="auto"/>
          <w:sz w:val="22"/>
          <w:szCs w:val="22"/>
        </w:rPr>
        <w:t>It aims to improve the development of</w:t>
      </w:r>
      <w:r w:rsidR="1B0F8561" w:rsidRPr="5937A937">
        <w:rPr>
          <w:rFonts w:asciiTheme="majorHAnsi" w:hAnsiTheme="majorHAnsi" w:cstheme="majorBidi"/>
          <w:color w:val="auto"/>
          <w:sz w:val="22"/>
          <w:szCs w:val="22"/>
        </w:rPr>
        <w:t xml:space="preserve"> the</w:t>
      </w:r>
      <w:r w:rsidRPr="5937A937">
        <w:rPr>
          <w:rFonts w:asciiTheme="majorHAnsi" w:hAnsiTheme="majorHAnsi" w:cstheme="majorBidi"/>
          <w:color w:val="auto"/>
          <w:sz w:val="22"/>
          <w:szCs w:val="22"/>
        </w:rPr>
        <w:t xml:space="preserve"> infrastructure </w:t>
      </w:r>
      <w:r w:rsidR="6EC566DF" w:rsidRPr="5937A937">
        <w:rPr>
          <w:rFonts w:asciiTheme="majorHAnsi" w:hAnsiTheme="majorHAnsi" w:cstheme="majorBidi"/>
          <w:color w:val="auto"/>
          <w:sz w:val="22"/>
          <w:szCs w:val="22"/>
        </w:rPr>
        <w:t>needed for</w:t>
      </w:r>
      <w:r w:rsidRPr="5937A937">
        <w:rPr>
          <w:rFonts w:asciiTheme="majorHAnsi" w:hAnsiTheme="majorHAnsi" w:cstheme="majorBidi"/>
          <w:color w:val="auto"/>
          <w:sz w:val="22"/>
          <w:szCs w:val="22"/>
        </w:rPr>
        <w:t xml:space="preserve"> renewable and low carbon fuels. It is necessary to review what developments are</w:t>
      </w:r>
      <w:r w:rsidR="00AD3902">
        <w:rPr>
          <w:rFonts w:asciiTheme="majorHAnsi" w:hAnsiTheme="majorHAnsi" w:cstheme="majorBidi"/>
          <w:color w:val="auto"/>
          <w:sz w:val="22"/>
          <w:szCs w:val="22"/>
        </w:rPr>
        <w:t xml:space="preserve"> </w:t>
      </w:r>
      <w:r w:rsidR="004216E0">
        <w:rPr>
          <w:rFonts w:asciiTheme="majorHAnsi" w:hAnsiTheme="majorHAnsi" w:cstheme="majorBidi"/>
          <w:color w:val="auto"/>
          <w:sz w:val="22"/>
          <w:szCs w:val="22"/>
        </w:rPr>
        <w:t>being</w:t>
      </w:r>
      <w:r w:rsidRPr="5937A937">
        <w:rPr>
          <w:rFonts w:asciiTheme="majorHAnsi" w:hAnsiTheme="majorHAnsi" w:cstheme="majorBidi"/>
          <w:color w:val="auto"/>
          <w:sz w:val="22"/>
          <w:szCs w:val="22"/>
        </w:rPr>
        <w:t xml:space="preserve"> considered and how they can be applied for IDEALFUEL’s Bio-HFO infrastructure</w:t>
      </w:r>
      <w:r w:rsidR="004216E0">
        <w:rPr>
          <w:rFonts w:asciiTheme="majorHAnsi" w:hAnsiTheme="majorHAnsi" w:cstheme="majorBidi"/>
          <w:color w:val="auto"/>
          <w:sz w:val="22"/>
          <w:szCs w:val="22"/>
        </w:rPr>
        <w:t xml:space="preserve"> needs</w:t>
      </w:r>
      <w:r w:rsidRPr="5937A937">
        <w:rPr>
          <w:rFonts w:asciiTheme="majorHAnsi" w:hAnsiTheme="majorHAnsi" w:cstheme="majorBidi"/>
          <w:color w:val="auto"/>
          <w:sz w:val="22"/>
          <w:szCs w:val="22"/>
        </w:rPr>
        <w:t>.</w:t>
      </w:r>
    </w:p>
    <w:p w14:paraId="709554C1" w14:textId="77777777" w:rsidR="0011416A" w:rsidRPr="005752AC" w:rsidRDefault="0011416A" w:rsidP="009E3D26">
      <w:pPr>
        <w:pStyle w:val="ListParagraph"/>
        <w:numPr>
          <w:ilvl w:val="0"/>
          <w:numId w:val="14"/>
        </w:numPr>
        <w:spacing w:after="120" w:line="360" w:lineRule="auto"/>
        <w:jc w:val="left"/>
        <w:rPr>
          <w:rFonts w:asciiTheme="majorHAnsi" w:hAnsiTheme="majorHAnsi" w:cstheme="majorHAnsi"/>
          <w:b/>
          <w:bCs/>
          <w:color w:val="auto"/>
          <w:sz w:val="22"/>
          <w:szCs w:val="22"/>
        </w:rPr>
      </w:pPr>
      <w:r w:rsidRPr="005752AC">
        <w:rPr>
          <w:rFonts w:asciiTheme="majorHAnsi" w:hAnsiTheme="majorHAnsi" w:cstheme="majorHAnsi"/>
          <w:b/>
          <w:bCs/>
          <w:color w:val="auto"/>
          <w:sz w:val="22"/>
          <w:szCs w:val="22"/>
        </w:rPr>
        <w:t>The gradual inclusion into the EU Emissions Trading System</w:t>
      </w:r>
    </w:p>
    <w:p w14:paraId="2BE1612E" w14:textId="6F7D2C46" w:rsidR="0011416A" w:rsidRDefault="08410017" w:rsidP="5937A937">
      <w:pPr>
        <w:pStyle w:val="ListParagraph"/>
        <w:spacing w:after="120" w:line="360" w:lineRule="auto"/>
        <w:ind w:left="0" w:firstLine="540"/>
        <w:rPr>
          <w:color w:val="auto"/>
          <w:sz w:val="22"/>
          <w:szCs w:val="22"/>
          <w:lang w:val="en-GB"/>
        </w:rPr>
      </w:pPr>
      <w:r w:rsidRPr="59587566">
        <w:rPr>
          <w:sz w:val="22"/>
          <w:szCs w:val="22"/>
          <w:lang w:val="en-GB"/>
        </w:rPr>
        <w:t xml:space="preserve">The EU Emission Trading System (EU-ETS) is a policy instrument used to make the reduction of GHG emissions cost-effective. Nowadays, it is implemented in all </w:t>
      </w:r>
      <w:r w:rsidRPr="59587566">
        <w:rPr>
          <w:color w:val="auto"/>
          <w:sz w:val="22"/>
          <w:szCs w:val="22"/>
          <w:lang w:val="en-GB"/>
        </w:rPr>
        <w:t xml:space="preserve">EU countries </w:t>
      </w:r>
      <w:r w:rsidR="7CBE4B49" w:rsidRPr="59587566">
        <w:rPr>
          <w:color w:val="auto"/>
          <w:sz w:val="22"/>
          <w:szCs w:val="22"/>
          <w:lang w:val="en-GB"/>
        </w:rPr>
        <w:t>and EEA</w:t>
      </w:r>
      <w:r w:rsidRPr="59587566">
        <w:rPr>
          <w:color w:val="auto"/>
          <w:sz w:val="22"/>
          <w:szCs w:val="22"/>
          <w:lang w:val="en-GB"/>
        </w:rPr>
        <w:t xml:space="preserve">-EFTA states (Iceland, </w:t>
      </w:r>
      <w:r w:rsidRPr="59587566">
        <w:rPr>
          <w:color w:val="auto"/>
          <w:sz w:val="22"/>
          <w:szCs w:val="22"/>
          <w:lang w:val="en-GB"/>
        </w:rPr>
        <w:lastRenderedPageBreak/>
        <w:t>Liechtenstein and Norway)</w:t>
      </w:r>
      <w:r w:rsidR="55FCE5DF" w:rsidRPr="59587566">
        <w:rPr>
          <w:color w:val="auto"/>
          <w:sz w:val="22"/>
          <w:szCs w:val="22"/>
          <w:lang w:val="en-GB"/>
        </w:rPr>
        <w:t>, covering</w:t>
      </w:r>
      <w:r w:rsidRPr="59587566">
        <w:rPr>
          <w:color w:val="auto"/>
          <w:sz w:val="22"/>
          <w:szCs w:val="22"/>
          <w:lang w:val="en-GB"/>
        </w:rPr>
        <w:t xml:space="preserve"> around 40% of EU GHG emissions </w:t>
      </w:r>
      <w:r w:rsidR="0011416A" w:rsidRPr="59587566">
        <w:rPr>
          <w:color w:val="auto"/>
          <w:sz w:val="22"/>
          <w:szCs w:val="22"/>
          <w:lang w:val="en-GB"/>
        </w:rPr>
        <w:fldChar w:fldCharType="begin" w:fldLock="1"/>
      </w:r>
      <w:r w:rsidR="0011416A" w:rsidRPr="59587566">
        <w:rPr>
          <w:color w:val="auto"/>
          <w:sz w:val="22"/>
          <w:szCs w:val="22"/>
          <w:lang w:val="en-GB"/>
        </w:rPr>
        <w:instrText>ADDIN CSL_CITATION {"citationItems":[{"id":"ITEM-1","itemData":{"URL":"https://ec.europa.eu/clima/policies/ets_en","accessed":{"date-parts":[["2021","9","13"]]},"author":[{"dropping-particle":"","family":"European Commission","given":"","non-dropping-particle":"","parse-names":false,"suffix":""}],"id":"ITEM-1","issued":{"date-parts":[["0"]]},"title":"EU Emissions Trading System (EU ETS)","type":"webpage"},"uris":["http://www.mendeley.com/documents/?uuid=d2fe12c7-6eb6-4fc8-a119-d5d66d715bb4"]}],"mendeley":{"formattedCitation":"(European Commission, n.d.)","plainTextFormattedCitation":"(European Commission, n.d.)","previouslyFormattedCitation":"(European Commission, n.d.)"},"properties":{"noteIndex":0},"schema":"https://github.com/citation-style-language/schema/raw/master/csl-citation.json"}</w:instrText>
      </w:r>
      <w:r w:rsidR="0011416A" w:rsidRPr="59587566">
        <w:rPr>
          <w:color w:val="auto"/>
          <w:sz w:val="22"/>
          <w:szCs w:val="22"/>
          <w:lang w:val="en-GB"/>
        </w:rPr>
        <w:fldChar w:fldCharType="separate"/>
      </w:r>
      <w:r w:rsidRPr="59587566">
        <w:rPr>
          <w:noProof/>
          <w:color w:val="auto"/>
          <w:sz w:val="22"/>
          <w:szCs w:val="22"/>
          <w:lang w:val="en-GB"/>
        </w:rPr>
        <w:t>(European Commission, n.d.)</w:t>
      </w:r>
      <w:r w:rsidR="0011416A" w:rsidRPr="59587566">
        <w:rPr>
          <w:color w:val="auto"/>
          <w:sz w:val="22"/>
          <w:szCs w:val="22"/>
          <w:lang w:val="en-GB"/>
        </w:rPr>
        <w:fldChar w:fldCharType="end"/>
      </w:r>
      <w:r w:rsidRPr="59587566">
        <w:rPr>
          <w:color w:val="auto"/>
          <w:sz w:val="22"/>
          <w:szCs w:val="22"/>
          <w:lang w:val="en-GB"/>
        </w:rPr>
        <w:t xml:space="preserve">. It creates financial incentives to reduce emissions trough a “cap and trade” system. The cap establishes a limit to the total amount of </w:t>
      </w:r>
      <w:r w:rsidR="0018643C">
        <w:rPr>
          <w:color w:val="auto"/>
          <w:sz w:val="22"/>
          <w:szCs w:val="22"/>
          <w:lang w:val="en-GB"/>
        </w:rPr>
        <w:t>c</w:t>
      </w:r>
      <w:r w:rsidRPr="59587566">
        <w:rPr>
          <w:color w:val="auto"/>
          <w:sz w:val="22"/>
          <w:szCs w:val="22"/>
          <w:lang w:val="en-GB"/>
        </w:rPr>
        <w:t>arbon Dioxide (CO</w:t>
      </w:r>
      <w:r w:rsidRPr="59587566">
        <w:rPr>
          <w:color w:val="auto"/>
          <w:sz w:val="22"/>
          <w:szCs w:val="22"/>
          <w:vertAlign w:val="subscript"/>
          <w:lang w:val="en-GB"/>
        </w:rPr>
        <w:t>2</w:t>
      </w:r>
      <w:r w:rsidRPr="59587566">
        <w:rPr>
          <w:color w:val="auto"/>
          <w:sz w:val="22"/>
          <w:szCs w:val="22"/>
          <w:lang w:val="en-GB"/>
        </w:rPr>
        <w:t xml:space="preserve">), </w:t>
      </w:r>
      <w:r w:rsidR="00FB486E">
        <w:rPr>
          <w:color w:val="auto"/>
          <w:sz w:val="22"/>
          <w:szCs w:val="22"/>
          <w:lang w:val="en-GB"/>
        </w:rPr>
        <w:t>n</w:t>
      </w:r>
      <w:r w:rsidRPr="59587566">
        <w:rPr>
          <w:color w:val="auto"/>
          <w:sz w:val="22"/>
          <w:szCs w:val="22"/>
          <w:lang w:val="en-GB"/>
        </w:rPr>
        <w:t xml:space="preserve">itrous </w:t>
      </w:r>
      <w:r w:rsidR="00FB486E">
        <w:rPr>
          <w:color w:val="auto"/>
          <w:sz w:val="22"/>
          <w:szCs w:val="22"/>
          <w:lang w:val="en-GB"/>
        </w:rPr>
        <w:t>o</w:t>
      </w:r>
      <w:r w:rsidRPr="59587566">
        <w:rPr>
          <w:color w:val="auto"/>
          <w:sz w:val="22"/>
          <w:szCs w:val="22"/>
          <w:lang w:val="en-GB"/>
        </w:rPr>
        <w:t>xide (N</w:t>
      </w:r>
      <w:r w:rsidRPr="59587566">
        <w:rPr>
          <w:color w:val="auto"/>
          <w:sz w:val="22"/>
          <w:szCs w:val="22"/>
          <w:vertAlign w:val="subscript"/>
          <w:lang w:val="en-GB"/>
        </w:rPr>
        <w:t>2</w:t>
      </w:r>
      <w:r w:rsidRPr="59587566">
        <w:rPr>
          <w:color w:val="auto"/>
          <w:sz w:val="22"/>
          <w:szCs w:val="22"/>
          <w:lang w:val="en-GB"/>
        </w:rPr>
        <w:t xml:space="preserve">O) and </w:t>
      </w:r>
      <w:r w:rsidR="00FB486E">
        <w:rPr>
          <w:color w:val="auto"/>
          <w:sz w:val="22"/>
          <w:szCs w:val="22"/>
          <w:lang w:val="en-GB"/>
        </w:rPr>
        <w:t>p</w:t>
      </w:r>
      <w:r w:rsidRPr="59587566">
        <w:rPr>
          <w:color w:val="auto"/>
          <w:sz w:val="22"/>
          <w:szCs w:val="22"/>
          <w:lang w:val="en-GB"/>
        </w:rPr>
        <w:t xml:space="preserve">erfluorocarbons (PFCs) that can be emitted. Over time this cap is </w:t>
      </w:r>
      <w:r w:rsidR="009C14CE">
        <w:rPr>
          <w:color w:val="auto"/>
          <w:sz w:val="22"/>
          <w:szCs w:val="22"/>
          <w:lang w:val="en-GB"/>
        </w:rPr>
        <w:t xml:space="preserve">going to be </w:t>
      </w:r>
      <w:r w:rsidRPr="59587566">
        <w:rPr>
          <w:color w:val="auto"/>
          <w:sz w:val="22"/>
          <w:szCs w:val="22"/>
          <w:lang w:val="en-GB"/>
        </w:rPr>
        <w:t>reduced</w:t>
      </w:r>
      <w:r w:rsidR="009C14CE">
        <w:rPr>
          <w:color w:val="auto"/>
          <w:sz w:val="22"/>
          <w:szCs w:val="22"/>
          <w:lang w:val="en-GB"/>
        </w:rPr>
        <w:t xml:space="preserve"> </w:t>
      </w:r>
      <w:r w:rsidR="0011416A" w:rsidRPr="59587566">
        <w:rPr>
          <w:color w:val="auto"/>
          <w:sz w:val="22"/>
          <w:szCs w:val="22"/>
          <w:lang w:val="en-GB"/>
        </w:rPr>
        <w:fldChar w:fldCharType="begin" w:fldLock="1"/>
      </w:r>
      <w:r w:rsidR="0011416A" w:rsidRPr="59587566">
        <w:rPr>
          <w:color w:val="auto"/>
          <w:sz w:val="22"/>
          <w:szCs w:val="22"/>
          <w:lang w:val="en-GB"/>
        </w:rPr>
        <w:instrText>ADDIN CSL_CITATION {"citationItems":[{"id":"ITEM-1","itemData":{"URL":"https://ec.europa.eu/clima/policies/ets_en","accessed":{"date-parts":[["2021","9","13"]]},"author":[{"dropping-particle":"","family":"European Commission","given":"","non-dropping-particle":"","parse-names":false,"suffix":""}],"id":"ITEM-1","issued":{"date-parts":[["0"]]},"title":"EU Emissions Trading System (EU ETS)","type":"webpage"},"uris":["http://www.mendeley.com/documents/?uuid=d2fe12c7-6eb6-4fc8-a119-d5d66d715bb4"]}],"mendeley":{"formattedCitation":"(European Commission, n.d.)","plainTextFormattedCitation":"(European Commission, n.d.)","previouslyFormattedCitation":"(European Commission, n.d.)"},"properties":{"noteIndex":0},"schema":"https://github.com/citation-style-language/schema/raw/master/csl-citation.json"}</w:instrText>
      </w:r>
      <w:r w:rsidR="0011416A" w:rsidRPr="59587566">
        <w:rPr>
          <w:color w:val="auto"/>
          <w:sz w:val="22"/>
          <w:szCs w:val="22"/>
          <w:lang w:val="en-GB"/>
        </w:rPr>
        <w:fldChar w:fldCharType="separate"/>
      </w:r>
      <w:r w:rsidRPr="59587566">
        <w:rPr>
          <w:noProof/>
          <w:color w:val="auto"/>
          <w:sz w:val="22"/>
          <w:szCs w:val="22"/>
          <w:lang w:val="en-GB"/>
        </w:rPr>
        <w:t>(European Commission, n.d.)</w:t>
      </w:r>
      <w:r w:rsidR="0011416A" w:rsidRPr="59587566">
        <w:rPr>
          <w:color w:val="auto"/>
          <w:sz w:val="22"/>
          <w:szCs w:val="22"/>
          <w:lang w:val="en-GB"/>
        </w:rPr>
        <w:fldChar w:fldCharType="end"/>
      </w:r>
      <w:r w:rsidRPr="59587566">
        <w:rPr>
          <w:color w:val="auto"/>
          <w:sz w:val="22"/>
          <w:szCs w:val="22"/>
          <w:lang w:val="en-GB"/>
        </w:rPr>
        <w:t xml:space="preserve">. </w:t>
      </w:r>
    </w:p>
    <w:p w14:paraId="17A3DB6E" w14:textId="5D01A209" w:rsidR="0011416A" w:rsidRPr="00F96F13" w:rsidRDefault="08410017" w:rsidP="5937A937">
      <w:pPr>
        <w:pStyle w:val="ListParagraph"/>
        <w:spacing w:after="120" w:line="360" w:lineRule="auto"/>
        <w:ind w:left="0" w:firstLine="540"/>
        <w:rPr>
          <w:rFonts w:asciiTheme="majorHAnsi" w:hAnsiTheme="majorHAnsi" w:cstheme="majorBidi"/>
          <w:color w:val="auto"/>
          <w:sz w:val="22"/>
          <w:szCs w:val="22"/>
        </w:rPr>
      </w:pPr>
      <w:r w:rsidRPr="5937A937">
        <w:rPr>
          <w:color w:val="auto"/>
          <w:sz w:val="22"/>
          <w:szCs w:val="22"/>
          <w:lang w:val="en-GB"/>
        </w:rPr>
        <w:t xml:space="preserve">Fit for 55 foresees the gradual inclusion of the maritime sector into the EU-ETS starting in 2023. </w:t>
      </w:r>
      <w:r w:rsidRPr="5937A937">
        <w:rPr>
          <w:rFonts w:asciiTheme="majorHAnsi" w:hAnsiTheme="majorHAnsi" w:cstheme="majorBidi"/>
          <w:color w:val="auto"/>
          <w:sz w:val="22"/>
          <w:szCs w:val="22"/>
        </w:rPr>
        <w:t>A cap will be set to the maritime GHG emissions.</w:t>
      </w:r>
      <w:r>
        <w:t xml:space="preserve"> </w:t>
      </w:r>
      <w:r w:rsidR="28D2D249">
        <w:t>The i</w:t>
      </w:r>
      <w:r w:rsidRPr="5937A937">
        <w:rPr>
          <w:rFonts w:asciiTheme="majorHAnsi" w:hAnsiTheme="majorHAnsi" w:cstheme="majorBidi"/>
          <w:color w:val="auto"/>
          <w:sz w:val="22"/>
          <w:szCs w:val="22"/>
        </w:rPr>
        <w:t>nclu</w:t>
      </w:r>
      <w:r w:rsidR="18534EB9" w:rsidRPr="5937A937">
        <w:rPr>
          <w:rFonts w:asciiTheme="majorHAnsi" w:hAnsiTheme="majorHAnsi" w:cstheme="majorBidi"/>
          <w:color w:val="auto"/>
          <w:sz w:val="22"/>
          <w:szCs w:val="22"/>
        </w:rPr>
        <w:t>sion</w:t>
      </w:r>
      <w:r w:rsidRPr="5937A937">
        <w:rPr>
          <w:rFonts w:asciiTheme="majorHAnsi" w:hAnsiTheme="majorHAnsi" w:cstheme="majorBidi"/>
          <w:color w:val="auto"/>
          <w:sz w:val="22"/>
          <w:szCs w:val="22"/>
        </w:rPr>
        <w:t xml:space="preserve"> </w:t>
      </w:r>
      <w:r w:rsidR="70C15238" w:rsidRPr="5937A937">
        <w:rPr>
          <w:rFonts w:asciiTheme="majorHAnsi" w:hAnsiTheme="majorHAnsi" w:cstheme="majorBidi"/>
          <w:color w:val="auto"/>
          <w:sz w:val="22"/>
          <w:szCs w:val="22"/>
        </w:rPr>
        <w:t xml:space="preserve">of </w:t>
      </w:r>
      <w:r w:rsidRPr="5937A937">
        <w:rPr>
          <w:rFonts w:asciiTheme="majorHAnsi" w:hAnsiTheme="majorHAnsi" w:cstheme="majorBidi"/>
          <w:color w:val="auto"/>
          <w:sz w:val="22"/>
          <w:szCs w:val="22"/>
        </w:rPr>
        <w:t xml:space="preserve">maritime sector in the ETS </w:t>
      </w:r>
      <w:r w:rsidR="076BDFA5" w:rsidRPr="5937A937">
        <w:rPr>
          <w:rFonts w:asciiTheme="majorHAnsi" w:hAnsiTheme="majorHAnsi" w:cstheme="majorBidi"/>
          <w:color w:val="auto"/>
          <w:sz w:val="22"/>
          <w:szCs w:val="22"/>
        </w:rPr>
        <w:t>means</w:t>
      </w:r>
      <w:r w:rsidRPr="5937A937">
        <w:rPr>
          <w:rFonts w:asciiTheme="majorHAnsi" w:hAnsiTheme="majorHAnsi" w:cstheme="majorBidi"/>
          <w:color w:val="auto"/>
          <w:sz w:val="22"/>
          <w:szCs w:val="22"/>
        </w:rPr>
        <w:t xml:space="preserve"> that</w:t>
      </w:r>
      <w:r w:rsidR="1401CB7D" w:rsidRPr="5937A937">
        <w:rPr>
          <w:rFonts w:asciiTheme="majorHAnsi" w:hAnsiTheme="majorHAnsi" w:cstheme="majorBidi"/>
          <w:color w:val="auto"/>
          <w:sz w:val="22"/>
          <w:szCs w:val="22"/>
        </w:rPr>
        <w:t xml:space="preserve"> the sector</w:t>
      </w:r>
      <w:r w:rsidRPr="5937A937">
        <w:rPr>
          <w:rFonts w:asciiTheme="majorHAnsi" w:hAnsiTheme="majorHAnsi" w:cstheme="majorBidi"/>
          <w:color w:val="auto"/>
          <w:sz w:val="22"/>
          <w:szCs w:val="22"/>
        </w:rPr>
        <w:t xml:space="preserve"> </w:t>
      </w:r>
      <w:proofErr w:type="gramStart"/>
      <w:r w:rsidRPr="5937A937">
        <w:rPr>
          <w:rFonts w:asciiTheme="majorHAnsi" w:hAnsiTheme="majorHAnsi" w:cstheme="majorBidi"/>
          <w:color w:val="auto"/>
          <w:sz w:val="22"/>
          <w:szCs w:val="22"/>
        </w:rPr>
        <w:t>has to</w:t>
      </w:r>
      <w:proofErr w:type="gramEnd"/>
      <w:r w:rsidRPr="5937A937">
        <w:rPr>
          <w:rFonts w:asciiTheme="majorHAnsi" w:hAnsiTheme="majorHAnsi" w:cstheme="majorBidi"/>
          <w:color w:val="auto"/>
          <w:sz w:val="22"/>
          <w:szCs w:val="22"/>
        </w:rPr>
        <w:t xml:space="preserve"> reduce the</w:t>
      </w:r>
      <w:r w:rsidR="6ECBB9A1" w:rsidRPr="5937A937">
        <w:rPr>
          <w:rFonts w:asciiTheme="majorHAnsi" w:hAnsiTheme="majorHAnsi" w:cstheme="majorBidi"/>
          <w:color w:val="auto"/>
          <w:sz w:val="22"/>
          <w:szCs w:val="22"/>
        </w:rPr>
        <w:t xml:space="preserve"> </w:t>
      </w:r>
      <w:r w:rsidRPr="5937A937">
        <w:rPr>
          <w:rFonts w:asciiTheme="majorHAnsi" w:hAnsiTheme="majorHAnsi" w:cstheme="majorBidi"/>
          <w:color w:val="auto"/>
          <w:sz w:val="22"/>
          <w:szCs w:val="22"/>
        </w:rPr>
        <w:t>CO</w:t>
      </w:r>
      <w:r w:rsidRPr="002F7E75">
        <w:rPr>
          <w:rFonts w:asciiTheme="majorHAnsi" w:hAnsiTheme="majorHAnsi" w:cstheme="majorBidi"/>
          <w:color w:val="auto"/>
          <w:sz w:val="22"/>
          <w:szCs w:val="22"/>
          <w:vertAlign w:val="subscript"/>
        </w:rPr>
        <w:t>2</w:t>
      </w:r>
      <w:r w:rsidRPr="5937A937">
        <w:rPr>
          <w:rFonts w:asciiTheme="majorHAnsi" w:hAnsiTheme="majorHAnsi" w:cstheme="majorBidi"/>
          <w:color w:val="auto"/>
          <w:sz w:val="22"/>
          <w:szCs w:val="22"/>
        </w:rPr>
        <w:t xml:space="preserve"> emissions in 61% by 2030, compared to 2005 levels.  Th</w:t>
      </w:r>
      <w:r w:rsidR="6B5D821A" w:rsidRPr="5937A937">
        <w:rPr>
          <w:rFonts w:asciiTheme="majorHAnsi" w:hAnsiTheme="majorHAnsi" w:cstheme="majorBidi"/>
          <w:color w:val="auto"/>
          <w:sz w:val="22"/>
          <w:szCs w:val="22"/>
        </w:rPr>
        <w:t>e</w:t>
      </w:r>
      <w:r w:rsidRPr="5937A937">
        <w:rPr>
          <w:rFonts w:asciiTheme="majorHAnsi" w:hAnsiTheme="majorHAnsi" w:cstheme="majorBidi"/>
          <w:color w:val="auto"/>
          <w:sz w:val="22"/>
          <w:szCs w:val="22"/>
        </w:rPr>
        <w:t xml:space="preserve"> reduction is planned to be implemented gradually, 4.2% per year, and it will apply for ships above 5,000 gross </w:t>
      </w:r>
      <w:r w:rsidR="3BFB6245" w:rsidRPr="5937A937">
        <w:rPr>
          <w:rFonts w:asciiTheme="majorHAnsi" w:hAnsiTheme="majorHAnsi" w:cstheme="majorBidi"/>
          <w:color w:val="auto"/>
          <w:sz w:val="22"/>
          <w:szCs w:val="22"/>
        </w:rPr>
        <w:t>tonnages</w:t>
      </w:r>
      <w:r w:rsidRPr="5937A937">
        <w:rPr>
          <w:rFonts w:asciiTheme="majorHAnsi" w:hAnsiTheme="majorHAnsi" w:cstheme="majorBidi"/>
          <w:color w:val="auto"/>
          <w:sz w:val="22"/>
          <w:szCs w:val="22"/>
        </w:rPr>
        <w:t xml:space="preserve"> of any flag. </w:t>
      </w:r>
      <w:r w:rsidRPr="5937A937">
        <w:rPr>
          <w:rFonts w:asciiTheme="minorHAnsi" w:hAnsiTheme="minorHAnsi" w:cstheme="minorBidi"/>
          <w:sz w:val="22"/>
          <w:szCs w:val="22"/>
          <w:lang w:val="en-GB"/>
        </w:rPr>
        <w:t>The cap will apply 100% for ships that travel within EU ports (intra-EU), and 50% for those whose travels start or end outside the EU (extra-EU). With this market-based measures in place</w:t>
      </w:r>
      <w:r w:rsidR="73FA030E" w:rsidRPr="5937A937">
        <w:rPr>
          <w:rFonts w:asciiTheme="minorHAnsi" w:hAnsiTheme="minorHAnsi" w:cstheme="minorBidi"/>
          <w:sz w:val="22"/>
          <w:szCs w:val="22"/>
          <w:lang w:val="en-GB"/>
        </w:rPr>
        <w:t>,</w:t>
      </w:r>
      <w:r w:rsidRPr="5937A937">
        <w:rPr>
          <w:rFonts w:asciiTheme="minorHAnsi" w:hAnsiTheme="minorHAnsi" w:cstheme="minorBidi"/>
          <w:sz w:val="22"/>
          <w:szCs w:val="22"/>
          <w:lang w:val="en-GB"/>
        </w:rPr>
        <w:t xml:space="preserve"> the shipping companies will have an obligation to purchase and surrender ETS emission allowances for their reported CO</w:t>
      </w:r>
      <w:r w:rsidRPr="5937A937">
        <w:rPr>
          <w:rFonts w:asciiTheme="minorHAnsi" w:hAnsiTheme="minorHAnsi" w:cstheme="minorBidi"/>
          <w:sz w:val="22"/>
          <w:szCs w:val="22"/>
          <w:vertAlign w:val="subscript"/>
          <w:lang w:val="en-GB"/>
        </w:rPr>
        <w:t>2</w:t>
      </w:r>
      <w:r w:rsidRPr="5937A937">
        <w:rPr>
          <w:rFonts w:asciiTheme="minorHAnsi" w:hAnsiTheme="minorHAnsi" w:cstheme="minorBidi"/>
          <w:sz w:val="22"/>
          <w:szCs w:val="22"/>
          <w:lang w:val="en-GB"/>
        </w:rPr>
        <w:t xml:space="preserve"> emissions. The trading will be </w:t>
      </w:r>
      <w:r w:rsidR="236D8147" w:rsidRPr="5937A937">
        <w:rPr>
          <w:rFonts w:asciiTheme="minorHAnsi" w:hAnsiTheme="minorHAnsi" w:cstheme="minorBidi"/>
          <w:sz w:val="22"/>
          <w:szCs w:val="22"/>
          <w:lang w:val="en-GB"/>
        </w:rPr>
        <w:t>administered</w:t>
      </w:r>
      <w:r w:rsidRPr="5937A937">
        <w:rPr>
          <w:rFonts w:asciiTheme="minorHAnsi" w:hAnsiTheme="minorHAnsi" w:cstheme="minorBidi"/>
          <w:sz w:val="22"/>
          <w:szCs w:val="22"/>
          <w:lang w:val="en-GB"/>
        </w:rPr>
        <w:t xml:space="preserve"> by a member state </w:t>
      </w:r>
      <w:r w:rsidR="0011416A" w:rsidRPr="5937A937">
        <w:rPr>
          <w:rFonts w:asciiTheme="minorHAnsi" w:hAnsiTheme="minorHAnsi" w:cstheme="minorBidi"/>
          <w:sz w:val="22"/>
          <w:szCs w:val="22"/>
          <w:lang w:val="en-GB"/>
        </w:rPr>
        <w:fldChar w:fldCharType="begin" w:fldLock="1"/>
      </w:r>
      <w:r w:rsidR="0011416A" w:rsidRPr="5937A937">
        <w:rPr>
          <w:rFonts w:asciiTheme="minorHAnsi" w:hAnsiTheme="minorHAnsi" w:cstheme="minorBidi"/>
          <w:sz w:val="22"/>
          <w:szCs w:val="22"/>
          <w:lang w:val="en-GB"/>
        </w:rPr>
        <w:instrText>ADDIN CSL_CITATION {"citationItems":[{"id":"ITEM-1","itemData":{"URL":"https://ec.europa.eu/commission/presscorner/detail/en/qanda_21_3542","accessed":{"date-parts":[["2021","9","14"]]},"author":[{"dropping-particle":"","family":"McPhie","given":"Tim","non-dropping-particle":"","parse-names":false,"suffix":""},{"dropping-particle":"","family":"Rietdorf","given":"Lynn","non-dropping-particle":"","parse-names":false,"suffix":""}],"id":"ITEM-1","issued":{"date-parts":[["2021"]]},"title":"Questions and Answers - Emissions Trading – Putting a Price on carbon*","type":"webpage"},"uris":["http://www.mendeley.com/documents/?uuid=f68871e1-ab1f-4f98-bda5-036aa28750e6"]}],"mendeley":{"formattedCitation":"(McPhie &amp; Rietdorf, 2021)","plainTextFormattedCitation":"(McPhie &amp; Rietdorf, 2021)","previouslyFormattedCitation":"(McPhie &amp; Rietdorf, 2021)"},"properties":{"noteIndex":0},"schema":"https://github.com/citation-style-language/schema/raw/master/csl-citation.json"}</w:instrText>
      </w:r>
      <w:r w:rsidR="0011416A" w:rsidRPr="5937A937">
        <w:rPr>
          <w:rFonts w:asciiTheme="minorHAnsi" w:hAnsiTheme="minorHAnsi" w:cstheme="minorBidi"/>
          <w:sz w:val="22"/>
          <w:szCs w:val="22"/>
          <w:lang w:val="en-GB"/>
        </w:rPr>
        <w:fldChar w:fldCharType="separate"/>
      </w:r>
      <w:r w:rsidRPr="5937A937">
        <w:rPr>
          <w:rFonts w:asciiTheme="minorHAnsi" w:hAnsiTheme="minorHAnsi" w:cstheme="minorBidi"/>
          <w:noProof/>
          <w:sz w:val="22"/>
          <w:szCs w:val="22"/>
          <w:lang w:val="en-GB"/>
        </w:rPr>
        <w:t>(McPhie &amp; Rietdorf, 2021)</w:t>
      </w:r>
      <w:r w:rsidR="0011416A" w:rsidRPr="5937A937">
        <w:rPr>
          <w:rFonts w:asciiTheme="minorHAnsi" w:hAnsiTheme="minorHAnsi" w:cstheme="minorBidi"/>
          <w:sz w:val="22"/>
          <w:szCs w:val="22"/>
          <w:lang w:val="en-GB"/>
        </w:rPr>
        <w:fldChar w:fldCharType="end"/>
      </w:r>
      <w:r w:rsidRPr="5937A937">
        <w:rPr>
          <w:rFonts w:asciiTheme="minorHAnsi" w:hAnsiTheme="minorHAnsi" w:cstheme="minorBidi"/>
          <w:sz w:val="22"/>
          <w:szCs w:val="22"/>
          <w:lang w:val="en-GB"/>
        </w:rPr>
        <w:t xml:space="preserve"> .</w:t>
      </w:r>
    </w:p>
    <w:p w14:paraId="55CD9644" w14:textId="11070E71" w:rsidR="5937A937" w:rsidRDefault="5937A937" w:rsidP="5937A937">
      <w:pPr>
        <w:pStyle w:val="ListParagraph"/>
        <w:spacing w:after="120" w:line="360" w:lineRule="auto"/>
        <w:ind w:left="1440"/>
        <w:rPr>
          <w:szCs w:val="21"/>
          <w:lang w:val="en-GB"/>
        </w:rPr>
      </w:pPr>
    </w:p>
    <w:p w14:paraId="3A9405DC" w14:textId="77777777" w:rsidR="0011416A" w:rsidRPr="005752AC" w:rsidRDefault="0011416A" w:rsidP="009E3D26">
      <w:pPr>
        <w:pStyle w:val="ListParagraph"/>
        <w:numPr>
          <w:ilvl w:val="0"/>
          <w:numId w:val="14"/>
        </w:numPr>
        <w:spacing w:after="120" w:line="360" w:lineRule="auto"/>
        <w:jc w:val="left"/>
        <w:rPr>
          <w:rFonts w:asciiTheme="majorHAnsi" w:hAnsiTheme="majorHAnsi" w:cstheme="majorHAnsi"/>
          <w:b/>
          <w:bCs/>
          <w:color w:val="auto"/>
          <w:sz w:val="22"/>
          <w:szCs w:val="22"/>
        </w:rPr>
      </w:pPr>
      <w:r w:rsidRPr="005752AC">
        <w:rPr>
          <w:rFonts w:asciiTheme="majorHAnsi" w:hAnsiTheme="majorHAnsi" w:cstheme="majorHAnsi"/>
          <w:b/>
          <w:bCs/>
          <w:color w:val="auto"/>
          <w:sz w:val="22"/>
          <w:szCs w:val="22"/>
        </w:rPr>
        <w:t> The revision of the Energy Tax Directive</w:t>
      </w:r>
    </w:p>
    <w:p w14:paraId="24297E4E" w14:textId="4044BC40" w:rsidR="00DC3405" w:rsidRDefault="08410017" w:rsidP="5937A937">
      <w:pPr>
        <w:spacing w:after="120" w:line="360" w:lineRule="auto"/>
        <w:ind w:firstLine="540"/>
        <w:rPr>
          <w:rFonts w:asciiTheme="majorHAnsi" w:hAnsiTheme="majorHAnsi" w:cstheme="majorBidi"/>
          <w:color w:val="auto"/>
          <w:sz w:val="22"/>
          <w:szCs w:val="22"/>
          <w:lang w:val="en-GB"/>
        </w:rPr>
      </w:pPr>
      <w:r w:rsidRPr="5937A937">
        <w:rPr>
          <w:rFonts w:asciiTheme="majorHAnsi" w:hAnsiTheme="majorHAnsi" w:cstheme="majorBidi"/>
          <w:color w:val="auto"/>
          <w:sz w:val="22"/>
          <w:szCs w:val="22"/>
        </w:rPr>
        <w:t xml:space="preserve">Tax exemptions for conventional fossil fuels used in intra-EU shipping will be revised. </w:t>
      </w:r>
      <w:r w:rsidR="37F2E79D" w:rsidRPr="5937A937">
        <w:rPr>
          <w:rFonts w:asciiTheme="majorHAnsi" w:hAnsiTheme="majorHAnsi" w:cstheme="majorBidi"/>
          <w:color w:val="auto"/>
          <w:sz w:val="22"/>
          <w:szCs w:val="22"/>
        </w:rPr>
        <w:t>T</w:t>
      </w:r>
      <w:r w:rsidRPr="5937A937">
        <w:rPr>
          <w:rFonts w:asciiTheme="majorHAnsi" w:hAnsiTheme="majorHAnsi" w:cstheme="majorBidi"/>
          <w:color w:val="auto"/>
          <w:sz w:val="22"/>
          <w:szCs w:val="22"/>
        </w:rPr>
        <w:t xml:space="preserve">his can </w:t>
      </w:r>
      <w:r w:rsidR="754D36C4" w:rsidRPr="5937A937">
        <w:rPr>
          <w:rFonts w:asciiTheme="majorHAnsi" w:hAnsiTheme="majorHAnsi" w:cstheme="majorBidi"/>
          <w:color w:val="auto"/>
          <w:sz w:val="22"/>
          <w:szCs w:val="22"/>
        </w:rPr>
        <w:t>indirectly</w:t>
      </w:r>
      <w:r w:rsidRPr="5937A937">
        <w:rPr>
          <w:rFonts w:asciiTheme="majorHAnsi" w:hAnsiTheme="majorHAnsi" w:cstheme="majorBidi"/>
          <w:color w:val="auto"/>
          <w:sz w:val="22"/>
          <w:szCs w:val="22"/>
        </w:rPr>
        <w:t xml:space="preserve"> affect the market position of IDEALFUEL’s Bio-HFO. </w:t>
      </w:r>
      <w:r w:rsidR="0068583B">
        <w:rPr>
          <w:rFonts w:asciiTheme="majorHAnsi" w:hAnsiTheme="majorHAnsi" w:cstheme="majorBidi"/>
          <w:color w:val="auto"/>
          <w:sz w:val="22"/>
          <w:szCs w:val="22"/>
        </w:rPr>
        <w:t xml:space="preserve">The introduction of </w:t>
      </w:r>
      <w:r w:rsidRPr="5937A937">
        <w:rPr>
          <w:rFonts w:asciiTheme="majorHAnsi" w:hAnsiTheme="majorHAnsi" w:cstheme="majorBidi"/>
          <w:color w:val="auto"/>
          <w:sz w:val="22"/>
          <w:szCs w:val="22"/>
          <w:lang w:val="en-GB"/>
        </w:rPr>
        <w:t xml:space="preserve"> carbon taxes </w:t>
      </w:r>
      <w:r w:rsidR="0068583B">
        <w:rPr>
          <w:rFonts w:asciiTheme="majorHAnsi" w:hAnsiTheme="majorHAnsi" w:cstheme="majorBidi"/>
          <w:color w:val="auto"/>
          <w:sz w:val="22"/>
          <w:szCs w:val="22"/>
          <w:lang w:val="en-GB"/>
        </w:rPr>
        <w:t xml:space="preserve">and a minimum tax level on fossil fuels </w:t>
      </w:r>
      <w:r w:rsidR="00200B2B">
        <w:rPr>
          <w:rFonts w:asciiTheme="majorHAnsi" w:hAnsiTheme="majorHAnsi" w:cstheme="majorBidi"/>
          <w:color w:val="auto"/>
          <w:sz w:val="22"/>
          <w:szCs w:val="22"/>
          <w:lang w:val="en-GB"/>
        </w:rPr>
        <w:t>in</w:t>
      </w:r>
      <w:r w:rsidR="0068583B">
        <w:rPr>
          <w:rFonts w:asciiTheme="majorHAnsi" w:hAnsiTheme="majorHAnsi" w:cstheme="majorBidi"/>
          <w:color w:val="auto"/>
          <w:sz w:val="22"/>
          <w:szCs w:val="22"/>
          <w:lang w:val="en-GB"/>
        </w:rPr>
        <w:t xml:space="preserve"> all EU countries </w:t>
      </w:r>
      <w:r w:rsidRPr="5937A937">
        <w:rPr>
          <w:rFonts w:asciiTheme="majorHAnsi" w:hAnsiTheme="majorHAnsi" w:cstheme="majorBidi"/>
          <w:color w:val="auto"/>
          <w:sz w:val="22"/>
          <w:szCs w:val="22"/>
          <w:lang w:val="en-GB"/>
        </w:rPr>
        <w:t>will  be beneficial to</w:t>
      </w:r>
      <w:r w:rsidR="002165E2">
        <w:rPr>
          <w:rFonts w:asciiTheme="majorHAnsi" w:hAnsiTheme="majorHAnsi" w:cstheme="majorBidi"/>
          <w:color w:val="auto"/>
          <w:sz w:val="22"/>
          <w:szCs w:val="22"/>
          <w:lang w:val="en-GB"/>
        </w:rPr>
        <w:t xml:space="preserve"> any</w:t>
      </w:r>
      <w:r w:rsidRPr="5937A937">
        <w:rPr>
          <w:rFonts w:asciiTheme="majorHAnsi" w:hAnsiTheme="majorHAnsi" w:cstheme="majorBidi"/>
          <w:color w:val="auto"/>
          <w:sz w:val="22"/>
          <w:szCs w:val="22"/>
          <w:lang w:val="en-GB"/>
        </w:rPr>
        <w:t xml:space="preserve"> advanced biofuel, especially for those that can offer high</w:t>
      </w:r>
      <w:r w:rsidR="67C7C525" w:rsidRPr="5937A937">
        <w:rPr>
          <w:rFonts w:asciiTheme="majorHAnsi" w:hAnsiTheme="majorHAnsi" w:cstheme="majorBidi"/>
          <w:color w:val="auto"/>
          <w:sz w:val="22"/>
          <w:szCs w:val="22"/>
          <w:lang w:val="en-GB"/>
        </w:rPr>
        <w:t>er</w:t>
      </w:r>
      <w:r w:rsidRPr="5937A937">
        <w:rPr>
          <w:rFonts w:asciiTheme="majorHAnsi" w:hAnsiTheme="majorHAnsi" w:cstheme="majorBidi"/>
          <w:color w:val="auto"/>
          <w:sz w:val="22"/>
          <w:szCs w:val="22"/>
          <w:lang w:val="en-GB"/>
        </w:rPr>
        <w:t xml:space="preserve"> CO</w:t>
      </w:r>
      <w:r w:rsidRPr="5937A937">
        <w:rPr>
          <w:rFonts w:asciiTheme="majorHAnsi" w:hAnsiTheme="majorHAnsi" w:cstheme="majorBidi"/>
          <w:color w:val="auto"/>
          <w:sz w:val="22"/>
          <w:szCs w:val="22"/>
          <w:vertAlign w:val="subscript"/>
          <w:lang w:val="en-GB"/>
        </w:rPr>
        <w:t>2</w:t>
      </w:r>
      <w:r w:rsidRPr="5937A937">
        <w:rPr>
          <w:rFonts w:asciiTheme="majorHAnsi" w:hAnsiTheme="majorHAnsi" w:cstheme="majorBidi"/>
          <w:color w:val="auto"/>
          <w:sz w:val="22"/>
          <w:szCs w:val="22"/>
          <w:lang w:val="en-GB"/>
        </w:rPr>
        <w:t xml:space="preserve"> </w:t>
      </w:r>
      <w:r w:rsidR="20AFBFD8" w:rsidRPr="5937A937">
        <w:rPr>
          <w:rFonts w:asciiTheme="majorHAnsi" w:hAnsiTheme="majorHAnsi" w:cstheme="majorBidi"/>
          <w:color w:val="auto"/>
          <w:sz w:val="22"/>
          <w:szCs w:val="22"/>
          <w:lang w:val="en-GB"/>
        </w:rPr>
        <w:t>mitigation</w:t>
      </w:r>
      <w:r w:rsidRPr="5937A937">
        <w:rPr>
          <w:rFonts w:asciiTheme="majorHAnsi" w:hAnsiTheme="majorHAnsi" w:cstheme="majorBidi"/>
          <w:color w:val="auto"/>
          <w:sz w:val="22"/>
          <w:szCs w:val="22"/>
          <w:lang w:val="en-GB"/>
        </w:rPr>
        <w:t xml:space="preserve"> at a competitive price </w:t>
      </w:r>
      <w:r w:rsidR="0011416A" w:rsidRPr="5937A937">
        <w:rPr>
          <w:rFonts w:asciiTheme="majorHAnsi" w:hAnsiTheme="majorHAnsi" w:cstheme="majorBidi"/>
          <w:color w:val="auto"/>
          <w:sz w:val="22"/>
          <w:szCs w:val="22"/>
          <w:lang w:val="en-GB"/>
        </w:rPr>
        <w:fldChar w:fldCharType="begin" w:fldLock="1"/>
      </w:r>
      <w:r w:rsidR="0011416A" w:rsidRPr="5937A937">
        <w:rPr>
          <w:rFonts w:asciiTheme="majorHAnsi" w:hAnsiTheme="majorHAnsi" w:cstheme="majorBidi"/>
          <w:color w:val="auto"/>
          <w:sz w:val="22"/>
          <w:szCs w:val="22"/>
          <w:lang w:val="en-GB"/>
        </w:rPr>
        <w:instrText>ADDIN CSL_CITATION {"citationItems":[{"id":"ITEM-1","itemData":{"URL":"https://ec.europa.eu/commission/presscorner/detail/en/qanda_21_3542","accessed":{"date-parts":[["2021","9","14"]]},"author":[{"dropping-particle":"","family":"McPhie","given":"Tim","non-dropping-particle":"","parse-names":false,"suffix":""},{"dropping-particle":"","family":"Rietdorf","given":"Lynn","non-dropping-particle":"","parse-names":false,"suffix":""}],"id":"ITEM-1","issued":{"date-parts":[["2021"]]},"title":"Questions and Answers - Emissions Trading – Putting a Price on carbon*","type":"webpage"},"uris":["http://www.mendeley.com/documents/?uuid=f68871e1-ab1f-4f98-bda5-036aa28750e6"]}],"mendeley":{"formattedCitation":"(McPhie &amp; Rietdorf, 2021)","plainTextFormattedCitation":"(McPhie &amp; Rietdorf, 2021)","previouslyFormattedCitation":"(McPhie &amp; Rietdorf, 2021)"},"properties":{"noteIndex":0},"schema":"https://github.com/citation-style-language/schema/raw/master/csl-citation.json"}</w:instrText>
      </w:r>
      <w:r w:rsidR="0011416A" w:rsidRPr="5937A937">
        <w:rPr>
          <w:rFonts w:asciiTheme="majorHAnsi" w:hAnsiTheme="majorHAnsi" w:cstheme="majorBidi"/>
          <w:color w:val="auto"/>
          <w:sz w:val="22"/>
          <w:szCs w:val="22"/>
          <w:lang w:val="en-GB"/>
        </w:rPr>
        <w:fldChar w:fldCharType="separate"/>
      </w:r>
      <w:r w:rsidRPr="5937A937">
        <w:rPr>
          <w:rFonts w:asciiTheme="majorHAnsi" w:hAnsiTheme="majorHAnsi" w:cstheme="majorBidi"/>
          <w:noProof/>
          <w:color w:val="auto"/>
          <w:sz w:val="22"/>
          <w:szCs w:val="22"/>
          <w:lang w:val="en-GB"/>
        </w:rPr>
        <w:t>(McPhie &amp; Rietdorf, 2021)</w:t>
      </w:r>
      <w:r w:rsidR="0011416A" w:rsidRPr="5937A937">
        <w:rPr>
          <w:rFonts w:asciiTheme="majorHAnsi" w:hAnsiTheme="majorHAnsi" w:cstheme="majorBidi"/>
          <w:color w:val="auto"/>
          <w:sz w:val="22"/>
          <w:szCs w:val="22"/>
          <w:lang w:val="en-GB"/>
        </w:rPr>
        <w:fldChar w:fldCharType="end"/>
      </w:r>
      <w:r w:rsidRPr="5937A937">
        <w:rPr>
          <w:rFonts w:asciiTheme="majorHAnsi" w:hAnsiTheme="majorHAnsi" w:cstheme="majorBidi"/>
          <w:color w:val="auto"/>
          <w:sz w:val="22"/>
          <w:szCs w:val="22"/>
          <w:lang w:val="en-GB"/>
        </w:rPr>
        <w:t xml:space="preserve">. </w:t>
      </w:r>
      <w:r w:rsidR="1FDFEFED" w:rsidRPr="5937A937">
        <w:rPr>
          <w:rFonts w:asciiTheme="majorHAnsi" w:hAnsiTheme="majorHAnsi" w:cstheme="majorBidi"/>
          <w:color w:val="auto"/>
          <w:sz w:val="22"/>
          <w:szCs w:val="22"/>
          <w:lang w:val="en-GB"/>
        </w:rPr>
        <w:t>P</w:t>
      </w:r>
      <w:r w:rsidR="2FBC2321" w:rsidRPr="5937A937">
        <w:rPr>
          <w:rFonts w:asciiTheme="majorHAnsi" w:hAnsiTheme="majorHAnsi" w:cstheme="majorBidi"/>
          <w:color w:val="auto"/>
          <w:sz w:val="22"/>
          <w:szCs w:val="22"/>
          <w:lang w:val="en-GB"/>
        </w:rPr>
        <w:t xml:space="preserve">roposals </w:t>
      </w:r>
      <w:r w:rsidR="30963F7C" w:rsidRPr="5937A937">
        <w:rPr>
          <w:rFonts w:asciiTheme="majorHAnsi" w:hAnsiTheme="majorHAnsi" w:cstheme="majorBidi"/>
          <w:color w:val="auto"/>
          <w:sz w:val="22"/>
          <w:szCs w:val="22"/>
          <w:lang w:val="en-GB"/>
        </w:rPr>
        <w:t xml:space="preserve">from the aviation </w:t>
      </w:r>
      <w:r w:rsidR="2FBC2321" w:rsidRPr="5937A937">
        <w:rPr>
          <w:rFonts w:asciiTheme="majorHAnsi" w:hAnsiTheme="majorHAnsi" w:cstheme="majorBidi"/>
          <w:color w:val="auto"/>
          <w:sz w:val="22"/>
          <w:szCs w:val="22"/>
          <w:lang w:val="en-GB"/>
        </w:rPr>
        <w:t>m</w:t>
      </w:r>
      <w:r w:rsidR="44048467" w:rsidRPr="5937A937">
        <w:rPr>
          <w:rFonts w:asciiTheme="majorHAnsi" w:hAnsiTheme="majorHAnsi" w:cstheme="majorBidi"/>
          <w:color w:val="auto"/>
          <w:sz w:val="22"/>
          <w:szCs w:val="22"/>
          <w:lang w:val="en-GB"/>
        </w:rPr>
        <w:t>ight</w:t>
      </w:r>
      <w:r w:rsidR="2FBC2321" w:rsidRPr="5937A937">
        <w:rPr>
          <w:rFonts w:asciiTheme="majorHAnsi" w:hAnsiTheme="majorHAnsi" w:cstheme="majorBidi"/>
          <w:color w:val="auto"/>
          <w:sz w:val="22"/>
          <w:szCs w:val="22"/>
          <w:lang w:val="en-GB"/>
        </w:rPr>
        <w:t xml:space="preserve"> impact the shipping sector</w:t>
      </w:r>
      <w:r w:rsidR="1CEB8464" w:rsidRPr="5937A937">
        <w:rPr>
          <w:rFonts w:asciiTheme="majorHAnsi" w:hAnsiTheme="majorHAnsi" w:cstheme="majorBidi"/>
          <w:color w:val="auto"/>
          <w:sz w:val="22"/>
          <w:szCs w:val="22"/>
          <w:lang w:val="en-GB"/>
        </w:rPr>
        <w:t xml:space="preserve">, </w:t>
      </w:r>
      <w:r w:rsidR="2FBC2321" w:rsidRPr="5937A937">
        <w:rPr>
          <w:rFonts w:asciiTheme="majorHAnsi" w:hAnsiTheme="majorHAnsi" w:cstheme="majorBidi"/>
          <w:color w:val="auto"/>
          <w:sz w:val="22"/>
          <w:szCs w:val="22"/>
          <w:lang w:val="en-GB"/>
        </w:rPr>
        <w:t>especially feedstocks</w:t>
      </w:r>
      <w:r w:rsidR="4C883130" w:rsidRPr="5937A937">
        <w:rPr>
          <w:rFonts w:asciiTheme="majorHAnsi" w:hAnsiTheme="majorHAnsi" w:cstheme="majorBidi"/>
          <w:color w:val="auto"/>
          <w:sz w:val="22"/>
          <w:szCs w:val="22"/>
          <w:lang w:val="en-GB"/>
        </w:rPr>
        <w:t xml:space="preserve"> availability due to competitive use for fuel production</w:t>
      </w:r>
      <w:r w:rsidR="10DCD163" w:rsidRPr="5937A937">
        <w:rPr>
          <w:rFonts w:asciiTheme="majorHAnsi" w:hAnsiTheme="majorHAnsi" w:cstheme="majorBidi"/>
          <w:color w:val="auto"/>
          <w:sz w:val="22"/>
          <w:szCs w:val="22"/>
          <w:lang w:val="en-GB"/>
        </w:rPr>
        <w:t>. Examples of such proposals are</w:t>
      </w:r>
      <w:r w:rsidR="2FBC2321" w:rsidRPr="5937A937">
        <w:rPr>
          <w:rFonts w:asciiTheme="majorHAnsi" w:hAnsiTheme="majorHAnsi" w:cstheme="majorBidi"/>
          <w:color w:val="auto"/>
          <w:sz w:val="22"/>
          <w:szCs w:val="22"/>
          <w:lang w:val="en-GB"/>
        </w:rPr>
        <w:t xml:space="preserve"> ETS for </w:t>
      </w:r>
      <w:r w:rsidR="1237965F" w:rsidRPr="5937A937">
        <w:rPr>
          <w:rFonts w:asciiTheme="majorHAnsi" w:hAnsiTheme="majorHAnsi" w:cstheme="majorBidi"/>
          <w:color w:val="auto"/>
          <w:sz w:val="22"/>
          <w:szCs w:val="22"/>
          <w:lang w:val="en-GB"/>
        </w:rPr>
        <w:t>aviation, ETD</w:t>
      </w:r>
      <w:r w:rsidR="2FBC2321" w:rsidRPr="5937A937">
        <w:rPr>
          <w:rFonts w:asciiTheme="majorHAnsi" w:hAnsiTheme="majorHAnsi" w:cstheme="majorBidi"/>
          <w:color w:val="auto"/>
          <w:sz w:val="22"/>
          <w:szCs w:val="22"/>
          <w:lang w:val="en-GB"/>
        </w:rPr>
        <w:t xml:space="preserve"> tax rates for aviation and </w:t>
      </w:r>
      <w:proofErr w:type="spellStart"/>
      <w:r w:rsidR="2FBC2321" w:rsidRPr="5937A937">
        <w:rPr>
          <w:rFonts w:asciiTheme="majorHAnsi" w:hAnsiTheme="majorHAnsi" w:cstheme="majorBidi"/>
          <w:color w:val="auto"/>
          <w:sz w:val="22"/>
          <w:szCs w:val="22"/>
          <w:lang w:val="en-GB"/>
        </w:rPr>
        <w:t>ReFuelEU</w:t>
      </w:r>
      <w:proofErr w:type="spellEnd"/>
      <w:r w:rsidR="2FBC2321" w:rsidRPr="5937A937">
        <w:rPr>
          <w:rFonts w:asciiTheme="majorHAnsi" w:hAnsiTheme="majorHAnsi" w:cstheme="majorBidi"/>
          <w:color w:val="auto"/>
          <w:sz w:val="22"/>
          <w:szCs w:val="22"/>
          <w:lang w:val="en-GB"/>
        </w:rPr>
        <w:t xml:space="preserve"> </w:t>
      </w:r>
      <w:proofErr w:type="gramStart"/>
      <w:r w:rsidR="2FBC2321" w:rsidRPr="5937A937">
        <w:rPr>
          <w:rFonts w:asciiTheme="majorHAnsi" w:hAnsiTheme="majorHAnsi" w:cstheme="majorBidi"/>
          <w:color w:val="auto"/>
          <w:sz w:val="22"/>
          <w:szCs w:val="22"/>
          <w:lang w:val="en-GB"/>
        </w:rPr>
        <w:t>Aviation</w:t>
      </w:r>
      <w:r w:rsidR="00D413C0">
        <w:rPr>
          <w:rFonts w:asciiTheme="majorHAnsi" w:hAnsiTheme="majorHAnsi" w:cstheme="majorBidi"/>
          <w:color w:val="auto"/>
          <w:sz w:val="22"/>
          <w:szCs w:val="22"/>
          <w:lang w:val="en-GB"/>
        </w:rPr>
        <w:t xml:space="preserve"> </w:t>
      </w:r>
      <w:r w:rsidR="2FBC2321" w:rsidRPr="5937A937">
        <w:rPr>
          <w:rFonts w:asciiTheme="majorHAnsi" w:hAnsiTheme="majorHAnsi" w:cstheme="majorBidi"/>
          <w:color w:val="auto"/>
          <w:sz w:val="22"/>
          <w:szCs w:val="22"/>
          <w:lang w:val="en-GB"/>
        </w:rPr>
        <w:t xml:space="preserve"> (</w:t>
      </w:r>
      <w:proofErr w:type="gramEnd"/>
      <w:r w:rsidR="2FBC2321" w:rsidRPr="5937A937">
        <w:rPr>
          <w:rFonts w:asciiTheme="majorHAnsi" w:hAnsiTheme="majorHAnsi" w:cstheme="majorBidi"/>
          <w:color w:val="auto"/>
          <w:sz w:val="22"/>
          <w:szCs w:val="22"/>
          <w:lang w:val="en-GB"/>
        </w:rPr>
        <w:t>European Co</w:t>
      </w:r>
      <w:r w:rsidR="0068583B">
        <w:rPr>
          <w:rFonts w:asciiTheme="majorHAnsi" w:hAnsiTheme="majorHAnsi" w:cstheme="majorBidi"/>
          <w:color w:val="auto"/>
          <w:sz w:val="22"/>
          <w:szCs w:val="22"/>
          <w:lang w:val="en-GB"/>
        </w:rPr>
        <w:t>m</w:t>
      </w:r>
      <w:r w:rsidR="2FBC2321" w:rsidRPr="5937A937">
        <w:rPr>
          <w:rFonts w:asciiTheme="majorHAnsi" w:hAnsiTheme="majorHAnsi" w:cstheme="majorBidi"/>
          <w:color w:val="auto"/>
          <w:sz w:val="22"/>
          <w:szCs w:val="22"/>
          <w:lang w:val="en-GB"/>
        </w:rPr>
        <w:t>mission, 2021; European Commission, 2021)</w:t>
      </w:r>
    </w:p>
    <w:p w14:paraId="6A875E53" w14:textId="77777777" w:rsidR="00DC3405" w:rsidRDefault="00DC3405">
      <w:pPr>
        <w:spacing w:after="160" w:line="259" w:lineRule="auto"/>
        <w:jc w:val="left"/>
        <w:rPr>
          <w:rFonts w:asciiTheme="majorHAnsi" w:hAnsiTheme="majorHAnsi" w:cstheme="majorBidi"/>
          <w:color w:val="auto"/>
          <w:sz w:val="22"/>
          <w:szCs w:val="22"/>
          <w:lang w:val="en-GB"/>
        </w:rPr>
      </w:pPr>
      <w:r>
        <w:rPr>
          <w:rFonts w:asciiTheme="majorHAnsi" w:hAnsiTheme="majorHAnsi" w:cstheme="majorBidi"/>
          <w:color w:val="auto"/>
          <w:sz w:val="22"/>
          <w:szCs w:val="22"/>
          <w:lang w:val="en-GB"/>
        </w:rPr>
        <w:br w:type="page"/>
      </w:r>
    </w:p>
    <w:p w14:paraId="66D9372A" w14:textId="239E219D" w:rsidR="00017D36" w:rsidRPr="0045629F" w:rsidRDefault="728E5A26" w:rsidP="00DC3405">
      <w:pPr>
        <w:pStyle w:val="Heading1"/>
      </w:pPr>
      <w:bookmarkStart w:id="18" w:name="_Toc85627862"/>
      <w:r>
        <w:lastRenderedPageBreak/>
        <w:t>Fuels</w:t>
      </w:r>
      <w:r w:rsidR="0034319B">
        <w:t xml:space="preserve"> in the </w:t>
      </w:r>
      <w:r w:rsidR="007E58F0">
        <w:t>Shipping sector</w:t>
      </w:r>
      <w:bookmarkEnd w:id="18"/>
    </w:p>
    <w:p w14:paraId="3340F79F" w14:textId="67083905" w:rsidR="59587566" w:rsidRDefault="59587566" w:rsidP="59587566">
      <w:pPr>
        <w:rPr>
          <w:szCs w:val="21"/>
        </w:rPr>
      </w:pPr>
    </w:p>
    <w:p w14:paraId="34976043" w14:textId="77777777" w:rsidR="0011532E" w:rsidRDefault="0011532E" w:rsidP="002433E0">
      <w:pPr>
        <w:spacing w:after="120" w:line="360" w:lineRule="auto"/>
        <w:ind w:left="302" w:firstLine="418"/>
        <w:rPr>
          <w:rFonts w:asciiTheme="majorHAnsi" w:hAnsiTheme="majorHAnsi" w:cstheme="majorHAnsi"/>
          <w:color w:val="auto"/>
          <w:sz w:val="22"/>
          <w:szCs w:val="22"/>
          <w:lang w:val="en-GB"/>
        </w:rPr>
      </w:pPr>
      <w:r w:rsidRPr="002433E0">
        <w:rPr>
          <w:rFonts w:asciiTheme="majorHAnsi" w:hAnsiTheme="majorHAnsi" w:cstheme="majorHAnsi"/>
          <w:color w:val="auto"/>
          <w:sz w:val="22"/>
          <w:szCs w:val="22"/>
          <w:lang w:val="en-GB"/>
        </w:rPr>
        <w:t>In addition to the legal arguments, already discussed in the previous section, the promising evolution of alternative fuels coping with marine necessities will also influence the future market size.</w:t>
      </w:r>
      <w:r>
        <w:rPr>
          <w:rFonts w:asciiTheme="majorHAnsi" w:hAnsiTheme="majorHAnsi" w:cstheme="majorHAnsi"/>
          <w:color w:val="auto"/>
          <w:sz w:val="22"/>
          <w:szCs w:val="22"/>
          <w:lang w:val="en-GB"/>
        </w:rPr>
        <w:t xml:space="preserve"> </w:t>
      </w:r>
    </w:p>
    <w:p w14:paraId="52006577" w14:textId="362AAF4A" w:rsidR="00260E94" w:rsidRDefault="2F189532" w:rsidP="5937A937">
      <w:pPr>
        <w:spacing w:after="120" w:line="360" w:lineRule="auto"/>
        <w:ind w:left="302" w:firstLine="418"/>
        <w:rPr>
          <w:rFonts w:asciiTheme="majorHAnsi" w:hAnsiTheme="majorHAnsi" w:cstheme="majorBidi"/>
          <w:color w:val="auto"/>
          <w:sz w:val="22"/>
          <w:szCs w:val="22"/>
          <w:lang w:val="en-GB"/>
        </w:rPr>
      </w:pPr>
      <w:r w:rsidRPr="5937A937">
        <w:rPr>
          <w:rFonts w:asciiTheme="majorHAnsi" w:hAnsiTheme="majorHAnsi" w:cstheme="majorBidi"/>
          <w:color w:val="auto"/>
          <w:sz w:val="22"/>
          <w:szCs w:val="22"/>
          <w:lang w:val="en-GB"/>
        </w:rPr>
        <w:t>H</w:t>
      </w:r>
      <w:r w:rsidR="353DB55A" w:rsidRPr="5937A937">
        <w:rPr>
          <w:rFonts w:asciiTheme="majorHAnsi" w:hAnsiTheme="majorHAnsi" w:cstheme="majorBidi"/>
          <w:color w:val="auto"/>
          <w:sz w:val="22"/>
          <w:szCs w:val="22"/>
          <w:lang w:val="en-GB"/>
        </w:rPr>
        <w:t xml:space="preserve">eavy fuel oil (HFO) accounts for the </w:t>
      </w:r>
      <w:r w:rsidR="002C591F">
        <w:rPr>
          <w:rFonts w:asciiTheme="majorHAnsi" w:hAnsiTheme="majorHAnsi" w:cstheme="majorBidi"/>
          <w:color w:val="auto"/>
          <w:sz w:val="22"/>
          <w:szCs w:val="22"/>
          <w:lang w:val="en-GB"/>
        </w:rPr>
        <w:t>major</w:t>
      </w:r>
      <w:r w:rsidR="353DB55A" w:rsidRPr="5937A937">
        <w:rPr>
          <w:rFonts w:asciiTheme="majorHAnsi" w:hAnsiTheme="majorHAnsi" w:cstheme="majorBidi"/>
          <w:color w:val="auto"/>
          <w:sz w:val="22"/>
          <w:szCs w:val="22"/>
          <w:lang w:val="en-GB"/>
        </w:rPr>
        <w:t xml:space="preserve"> share of marine bunkering</w:t>
      </w:r>
      <w:r w:rsidR="5E69806A" w:rsidRPr="5937A937">
        <w:rPr>
          <w:rFonts w:asciiTheme="majorHAnsi" w:hAnsiTheme="majorHAnsi" w:cstheme="majorBidi"/>
          <w:color w:val="auto"/>
          <w:sz w:val="22"/>
          <w:szCs w:val="22"/>
          <w:lang w:val="en-GB"/>
        </w:rPr>
        <w:t xml:space="preserve"> fuels</w:t>
      </w:r>
      <w:r w:rsidR="007152E6" w:rsidRPr="5937A937">
        <w:rPr>
          <w:rFonts w:asciiTheme="majorHAnsi" w:hAnsiTheme="majorHAnsi" w:cstheme="majorBidi"/>
          <w:color w:val="auto"/>
          <w:sz w:val="22"/>
          <w:szCs w:val="22"/>
          <w:lang w:val="en-GB"/>
        </w:rPr>
        <w:t>. Figure 2 depicts the volume of bunker sales from the Port of Rotterdam</w:t>
      </w:r>
      <w:r w:rsidR="002C591F">
        <w:rPr>
          <w:rFonts w:asciiTheme="majorHAnsi" w:hAnsiTheme="majorHAnsi" w:cstheme="majorBidi"/>
          <w:color w:val="auto"/>
          <w:sz w:val="22"/>
          <w:szCs w:val="22"/>
          <w:lang w:val="en-GB"/>
        </w:rPr>
        <w:t xml:space="preserve">. Although </w:t>
      </w:r>
      <w:r w:rsidR="007152E6">
        <w:rPr>
          <w:rFonts w:asciiTheme="majorHAnsi" w:hAnsiTheme="majorHAnsi" w:cstheme="majorBidi"/>
          <w:color w:val="auto"/>
          <w:sz w:val="22"/>
          <w:szCs w:val="22"/>
          <w:lang w:val="en-GB"/>
        </w:rPr>
        <w:t xml:space="preserve">HFO </w:t>
      </w:r>
      <w:r w:rsidR="002C591F">
        <w:rPr>
          <w:rFonts w:asciiTheme="majorHAnsi" w:hAnsiTheme="majorHAnsi" w:cstheme="majorBidi"/>
          <w:color w:val="auto"/>
          <w:sz w:val="22"/>
          <w:szCs w:val="22"/>
          <w:lang w:val="en-GB"/>
        </w:rPr>
        <w:t>represents the higher share of sales, it is expected a</w:t>
      </w:r>
      <w:r w:rsidR="5570C20D" w:rsidRPr="5937A937">
        <w:rPr>
          <w:rFonts w:asciiTheme="majorHAnsi" w:hAnsiTheme="majorHAnsi" w:cstheme="majorBidi"/>
          <w:color w:val="auto"/>
          <w:sz w:val="22"/>
          <w:szCs w:val="22"/>
          <w:lang w:val="en-GB"/>
        </w:rPr>
        <w:t xml:space="preserve"> gradual </w:t>
      </w:r>
      <w:r w:rsidR="002C591F">
        <w:rPr>
          <w:rFonts w:asciiTheme="majorHAnsi" w:hAnsiTheme="majorHAnsi" w:cstheme="majorBidi"/>
          <w:color w:val="auto"/>
          <w:sz w:val="22"/>
          <w:szCs w:val="22"/>
          <w:lang w:val="en-GB"/>
        </w:rPr>
        <w:t>reduction of HFO participation in</w:t>
      </w:r>
      <w:r w:rsidR="5E69806A" w:rsidRPr="5937A937">
        <w:rPr>
          <w:rFonts w:asciiTheme="majorHAnsi" w:hAnsiTheme="majorHAnsi" w:cstheme="majorBidi"/>
          <w:color w:val="auto"/>
          <w:sz w:val="22"/>
          <w:szCs w:val="22"/>
          <w:lang w:val="en-GB"/>
        </w:rPr>
        <w:t xml:space="preserve"> fuel bunkering</w:t>
      </w:r>
      <w:r w:rsidR="00260E94">
        <w:rPr>
          <w:rFonts w:asciiTheme="majorHAnsi" w:hAnsiTheme="majorHAnsi" w:cstheme="majorBidi"/>
          <w:color w:val="auto"/>
          <w:sz w:val="22"/>
          <w:szCs w:val="22"/>
          <w:lang w:val="en-GB"/>
        </w:rPr>
        <w:t xml:space="preserve"> </w:t>
      </w:r>
      <w:r w:rsidR="00260E94">
        <w:rPr>
          <w:rFonts w:asciiTheme="majorHAnsi" w:hAnsiTheme="majorHAnsi" w:cstheme="majorBidi"/>
          <w:color w:val="auto"/>
          <w:sz w:val="22"/>
          <w:szCs w:val="22"/>
          <w:lang w:val="en-GB"/>
        </w:rPr>
        <w:fldChar w:fldCharType="begin" w:fldLock="1"/>
      </w:r>
      <w:r w:rsidR="00643BE2">
        <w:rPr>
          <w:rFonts w:asciiTheme="majorHAnsi" w:hAnsiTheme="majorHAnsi" w:cstheme="majorBidi"/>
          <w:color w:val="auto"/>
          <w:sz w:val="22"/>
          <w:szCs w:val="22"/>
          <w:lang w:val="en-GB"/>
        </w:rPr>
        <w:instrText>ADDIN CSL_CITATION {"citationItems":[{"id":"ITEM-1","itemData":{"URL":"https://www.portofrotterdam.com/sites/default/files/2021-08/bunker-sales-2018-2021.pdf","accessed":{"date-parts":[["2021","9","10"]]},"author":[{"dropping-particle":"","family":"Port of Rotterdam","given":"","non-dropping-particle":"","parse-names":false,"suffix":""}],"id":"ITEM-1","issued":{"date-parts":[["2021"]]},"title":"Port of Rotterdam Bunker Sales","type":"webpage"},"uris":["http://www.mendeley.com/documents/?uuid=c6679f6a-9a45-495c-bee3-96e875ed63dd"]}],"mendeley":{"formattedCitation":"(Port of Rotterdam, 2021)","plainTextFormattedCitation":"(Port of Rotterdam, 2021)","previouslyFormattedCitation":"(Port of Rotterdam, 2021)"},"properties":{"noteIndex":0},"schema":"https://github.com/citation-style-language/schema/raw/master/csl-citation.json"}</w:instrText>
      </w:r>
      <w:r w:rsidR="00260E94">
        <w:rPr>
          <w:rFonts w:asciiTheme="majorHAnsi" w:hAnsiTheme="majorHAnsi" w:cstheme="majorBidi"/>
          <w:color w:val="auto"/>
          <w:sz w:val="22"/>
          <w:szCs w:val="22"/>
          <w:lang w:val="en-GB"/>
        </w:rPr>
        <w:fldChar w:fldCharType="separate"/>
      </w:r>
      <w:r w:rsidR="00260E94" w:rsidRPr="00260E94">
        <w:rPr>
          <w:rFonts w:asciiTheme="majorHAnsi" w:hAnsiTheme="majorHAnsi" w:cstheme="majorBidi"/>
          <w:noProof/>
          <w:color w:val="auto"/>
          <w:sz w:val="22"/>
          <w:szCs w:val="22"/>
          <w:lang w:val="en-GB"/>
        </w:rPr>
        <w:t>(Port of Rotterdam, 2021)</w:t>
      </w:r>
      <w:r w:rsidR="00260E94">
        <w:rPr>
          <w:rFonts w:asciiTheme="majorHAnsi" w:hAnsiTheme="majorHAnsi" w:cstheme="majorBidi"/>
          <w:color w:val="auto"/>
          <w:sz w:val="22"/>
          <w:szCs w:val="22"/>
          <w:lang w:val="en-GB"/>
        </w:rPr>
        <w:fldChar w:fldCharType="end"/>
      </w:r>
      <w:r w:rsidR="00260E94">
        <w:rPr>
          <w:rFonts w:asciiTheme="majorHAnsi" w:hAnsiTheme="majorHAnsi" w:cstheme="majorBidi"/>
          <w:color w:val="auto"/>
          <w:sz w:val="22"/>
          <w:szCs w:val="22"/>
          <w:lang w:val="en-GB"/>
        </w:rPr>
        <w:t>.</w:t>
      </w:r>
    </w:p>
    <w:p w14:paraId="221117D2" w14:textId="7EB07188" w:rsidR="00944A6A" w:rsidRPr="002433E0" w:rsidRDefault="39268EC6" w:rsidP="5937A937">
      <w:pPr>
        <w:spacing w:after="120" w:line="360" w:lineRule="auto"/>
        <w:ind w:left="302" w:firstLine="418"/>
        <w:rPr>
          <w:rFonts w:asciiTheme="majorHAnsi" w:hAnsiTheme="majorHAnsi" w:cstheme="majorBidi"/>
          <w:color w:val="auto"/>
          <w:sz w:val="22"/>
          <w:szCs w:val="22"/>
          <w:lang w:val="en-GB"/>
        </w:rPr>
      </w:pPr>
      <w:r w:rsidRPr="5937A937">
        <w:rPr>
          <w:rFonts w:asciiTheme="majorHAnsi" w:hAnsiTheme="majorHAnsi" w:cstheme="majorBidi"/>
          <w:color w:val="auto"/>
          <w:sz w:val="22"/>
          <w:szCs w:val="22"/>
          <w:lang w:val="en-GB"/>
        </w:rPr>
        <w:t xml:space="preserve"> </w:t>
      </w:r>
    </w:p>
    <w:p w14:paraId="1D7160E9" w14:textId="77777777" w:rsidR="00613CE3" w:rsidRDefault="2A2B9DA1" w:rsidP="5937A937">
      <w:pPr>
        <w:keepNext/>
        <w:spacing w:line="360" w:lineRule="auto"/>
        <w:ind w:firstLine="64"/>
        <w:jc w:val="center"/>
      </w:pPr>
      <w:r>
        <w:rPr>
          <w:noProof/>
        </w:rPr>
        <w:drawing>
          <wp:inline distT="0" distB="0" distL="0" distR="0" wp14:anchorId="224CB413" wp14:editId="62969F02">
            <wp:extent cx="5271384" cy="2657475"/>
            <wp:effectExtent l="0" t="0" r="0" b="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84792" cy="2664234"/>
                    </a:xfrm>
                    <a:prstGeom prst="rect">
                      <a:avLst/>
                    </a:prstGeom>
                  </pic:spPr>
                </pic:pic>
              </a:graphicData>
            </a:graphic>
          </wp:inline>
        </w:drawing>
      </w:r>
    </w:p>
    <w:p w14:paraId="06901E49" w14:textId="6C663DB5" w:rsidR="00613CE3" w:rsidRDefault="00613CE3" w:rsidP="00613CE3">
      <w:pPr>
        <w:pStyle w:val="Caption"/>
        <w:jc w:val="center"/>
        <w:rPr>
          <w:rFonts w:ascii="Times New Roman" w:hAnsi="Times New Roman"/>
          <w:sz w:val="22"/>
        </w:rPr>
      </w:pPr>
      <w:bookmarkStart w:id="19" w:name="_Toc85627880"/>
      <w:r>
        <w:t xml:space="preserve">Figure </w:t>
      </w:r>
      <w:fldSimple w:instr=" SEQ Figure \* ARABIC ">
        <w:r w:rsidR="008027AE">
          <w:rPr>
            <w:noProof/>
          </w:rPr>
          <w:t>2</w:t>
        </w:r>
      </w:fldSimple>
      <w:r>
        <w:t xml:space="preserve">. </w:t>
      </w:r>
      <w:r w:rsidRPr="00E56525">
        <w:t>Port</w:t>
      </w:r>
      <w:r w:rsidR="009275AC">
        <w:t xml:space="preserve"> of </w:t>
      </w:r>
      <w:r w:rsidR="009275AC" w:rsidRPr="00E56525">
        <w:t>Rotterdam</w:t>
      </w:r>
      <w:r w:rsidRPr="00E56525">
        <w:t xml:space="preserve"> Bunker Sales</w:t>
      </w:r>
      <w:r w:rsidR="005A7931">
        <w:t xml:space="preserve"> 2018-2021</w:t>
      </w:r>
      <w:r w:rsidR="00AB7E5D">
        <w:t xml:space="preserve"> (source:</w:t>
      </w:r>
      <w:r w:rsidR="00106F23">
        <w:t xml:space="preserve"> Port of Rotterdam</w:t>
      </w:r>
      <w:r w:rsidR="005A7931">
        <w:t>, 2021)</w:t>
      </w:r>
      <w:bookmarkEnd w:id="19"/>
    </w:p>
    <w:p w14:paraId="0B15CF30" w14:textId="0D801AC8" w:rsidR="00D8002E" w:rsidRPr="00EA5EF1" w:rsidRDefault="00096512" w:rsidP="00613CE3">
      <w:pPr>
        <w:spacing w:line="360" w:lineRule="auto"/>
        <w:ind w:left="296" w:firstLine="424"/>
        <w:rPr>
          <w:rFonts w:ascii="Times New Roman" w:hAnsi="Times New Roman"/>
          <w:sz w:val="22"/>
          <w:szCs w:val="22"/>
          <w:lang w:val="en-GB"/>
        </w:rPr>
      </w:pPr>
      <w:r w:rsidRPr="00EA5EF1">
        <w:rPr>
          <w:rFonts w:ascii="Times New Roman" w:hAnsi="Times New Roman"/>
          <w:sz w:val="22"/>
          <w:szCs w:val="22"/>
          <w:lang w:val="en-GB"/>
        </w:rPr>
        <w:t xml:space="preserve"> </w:t>
      </w:r>
    </w:p>
    <w:p w14:paraId="0317D426" w14:textId="1369960E" w:rsidR="00AF68FD" w:rsidRDefault="00ED7115" w:rsidP="009275AC">
      <w:pPr>
        <w:spacing w:after="120" w:line="360" w:lineRule="auto"/>
        <w:ind w:left="302" w:firstLine="418"/>
        <w:rPr>
          <w:rFonts w:asciiTheme="majorHAnsi" w:hAnsiTheme="majorHAnsi" w:cstheme="majorHAnsi"/>
          <w:sz w:val="22"/>
          <w:szCs w:val="22"/>
          <w:lang w:val="en-GB"/>
        </w:rPr>
      </w:pPr>
      <w:r>
        <w:rPr>
          <w:rFonts w:asciiTheme="majorHAnsi" w:hAnsiTheme="majorHAnsi" w:cstheme="majorHAnsi"/>
          <w:sz w:val="22"/>
          <w:szCs w:val="22"/>
          <w:lang w:val="en-GB"/>
        </w:rPr>
        <w:t>T</w:t>
      </w:r>
      <w:r w:rsidR="0003492A" w:rsidRPr="009275AC">
        <w:rPr>
          <w:rFonts w:asciiTheme="majorHAnsi" w:hAnsiTheme="majorHAnsi" w:cstheme="majorHAnsi"/>
          <w:sz w:val="22"/>
          <w:szCs w:val="22"/>
          <w:lang w:val="en-GB"/>
        </w:rPr>
        <w:t xml:space="preserve">he </w:t>
      </w:r>
      <w:r w:rsidR="00EC4E10" w:rsidRPr="009275AC">
        <w:rPr>
          <w:rFonts w:asciiTheme="majorHAnsi" w:hAnsiTheme="majorHAnsi" w:cstheme="majorHAnsi"/>
          <w:sz w:val="22"/>
          <w:szCs w:val="22"/>
          <w:lang w:val="en-GB"/>
        </w:rPr>
        <w:t xml:space="preserve">preference of a particular fuel will </w:t>
      </w:r>
      <w:r w:rsidR="006E0704" w:rsidRPr="009275AC">
        <w:rPr>
          <w:rFonts w:asciiTheme="majorHAnsi" w:hAnsiTheme="majorHAnsi" w:cstheme="majorHAnsi"/>
          <w:sz w:val="22"/>
          <w:szCs w:val="22"/>
          <w:lang w:val="en-GB"/>
        </w:rPr>
        <w:t>be influenced by three aspects, namely</w:t>
      </w:r>
      <w:r w:rsidR="001542BF" w:rsidRPr="009275AC">
        <w:rPr>
          <w:rFonts w:asciiTheme="majorHAnsi" w:hAnsiTheme="majorHAnsi" w:cstheme="majorHAnsi"/>
          <w:sz w:val="22"/>
          <w:szCs w:val="22"/>
          <w:lang w:val="en-GB"/>
        </w:rPr>
        <w:t xml:space="preserve">: </w:t>
      </w:r>
      <w:proofErr w:type="spellStart"/>
      <w:r w:rsidR="001542BF" w:rsidRPr="009275AC">
        <w:rPr>
          <w:rFonts w:asciiTheme="majorHAnsi" w:hAnsiTheme="majorHAnsi" w:cstheme="majorHAnsi"/>
          <w:sz w:val="22"/>
          <w:szCs w:val="22"/>
          <w:lang w:val="en-GB"/>
        </w:rPr>
        <w:t>i</w:t>
      </w:r>
      <w:proofErr w:type="spellEnd"/>
      <w:r w:rsidR="001542BF" w:rsidRPr="009275AC">
        <w:rPr>
          <w:rFonts w:asciiTheme="majorHAnsi" w:hAnsiTheme="majorHAnsi" w:cstheme="majorHAnsi"/>
          <w:sz w:val="22"/>
          <w:szCs w:val="22"/>
          <w:lang w:val="en-GB"/>
        </w:rPr>
        <w:t>) fuel energy density; ii)</w:t>
      </w:r>
      <w:r w:rsidR="00D03016" w:rsidRPr="009275AC">
        <w:rPr>
          <w:rFonts w:asciiTheme="majorHAnsi" w:hAnsiTheme="majorHAnsi" w:cstheme="majorHAnsi"/>
          <w:sz w:val="22"/>
          <w:szCs w:val="22"/>
          <w:lang w:val="en-GB"/>
        </w:rPr>
        <w:t xml:space="preserve"> compatibility</w:t>
      </w:r>
      <w:r w:rsidR="0003492A" w:rsidRPr="009275AC">
        <w:rPr>
          <w:rFonts w:asciiTheme="majorHAnsi" w:hAnsiTheme="majorHAnsi" w:cstheme="majorHAnsi"/>
          <w:sz w:val="22"/>
          <w:szCs w:val="22"/>
          <w:lang w:val="en-GB"/>
        </w:rPr>
        <w:t xml:space="preserve"> </w:t>
      </w:r>
      <w:r w:rsidR="00D03016" w:rsidRPr="009275AC">
        <w:rPr>
          <w:rFonts w:asciiTheme="majorHAnsi" w:hAnsiTheme="majorHAnsi" w:cstheme="majorHAnsi"/>
          <w:sz w:val="22"/>
          <w:szCs w:val="22"/>
          <w:lang w:val="en-GB"/>
        </w:rPr>
        <w:t xml:space="preserve">with existing </w:t>
      </w:r>
      <w:r w:rsidR="00C24CC4" w:rsidRPr="009275AC">
        <w:rPr>
          <w:rFonts w:asciiTheme="majorHAnsi" w:hAnsiTheme="majorHAnsi" w:cstheme="majorHAnsi"/>
          <w:sz w:val="22"/>
          <w:szCs w:val="22"/>
          <w:lang w:val="en-GB"/>
        </w:rPr>
        <w:t>infrastructure</w:t>
      </w:r>
      <w:r w:rsidR="00D03016" w:rsidRPr="009275AC">
        <w:rPr>
          <w:rFonts w:asciiTheme="majorHAnsi" w:hAnsiTheme="majorHAnsi" w:cstheme="majorHAnsi"/>
          <w:sz w:val="22"/>
          <w:szCs w:val="22"/>
          <w:lang w:val="en-GB"/>
        </w:rPr>
        <w:t xml:space="preserve"> and properties; iii) </w:t>
      </w:r>
      <w:r w:rsidR="00BB55C7" w:rsidRPr="009275AC">
        <w:rPr>
          <w:rFonts w:asciiTheme="majorHAnsi" w:hAnsiTheme="majorHAnsi" w:cstheme="majorHAnsi"/>
          <w:sz w:val="22"/>
          <w:szCs w:val="22"/>
          <w:lang w:val="en-GB"/>
        </w:rPr>
        <w:t>external factors, e.g., price, availability,</w:t>
      </w:r>
      <w:r w:rsidR="00D153E6">
        <w:rPr>
          <w:rFonts w:asciiTheme="majorHAnsi" w:hAnsiTheme="majorHAnsi" w:cstheme="majorHAnsi"/>
          <w:sz w:val="22"/>
          <w:szCs w:val="22"/>
          <w:lang w:val="en-GB"/>
        </w:rPr>
        <w:t xml:space="preserve"> and</w:t>
      </w:r>
      <w:r w:rsidR="00BB55C7" w:rsidRPr="009275AC">
        <w:rPr>
          <w:rFonts w:asciiTheme="majorHAnsi" w:hAnsiTheme="majorHAnsi" w:cstheme="majorHAnsi"/>
          <w:sz w:val="22"/>
          <w:szCs w:val="22"/>
          <w:lang w:val="en-GB"/>
        </w:rPr>
        <w:t xml:space="preserve"> </w:t>
      </w:r>
      <w:r w:rsidR="00BD56BD" w:rsidRPr="009275AC">
        <w:rPr>
          <w:rFonts w:asciiTheme="majorHAnsi" w:hAnsiTheme="majorHAnsi" w:cstheme="majorHAnsi"/>
          <w:sz w:val="22"/>
          <w:szCs w:val="22"/>
          <w:lang w:val="en-GB"/>
        </w:rPr>
        <w:t>storage</w:t>
      </w:r>
      <w:r w:rsidR="00AF68FD" w:rsidRPr="009275AC">
        <w:rPr>
          <w:rFonts w:asciiTheme="majorHAnsi" w:hAnsiTheme="majorHAnsi" w:cstheme="majorHAnsi"/>
          <w:sz w:val="22"/>
          <w:szCs w:val="22"/>
          <w:lang w:val="en-GB"/>
        </w:rPr>
        <w:t>.</w:t>
      </w:r>
      <w:r w:rsidR="0068794A" w:rsidRPr="009275AC">
        <w:rPr>
          <w:rFonts w:asciiTheme="majorHAnsi" w:hAnsiTheme="majorHAnsi" w:cstheme="majorHAnsi"/>
          <w:sz w:val="22"/>
          <w:szCs w:val="22"/>
          <w:lang w:val="en-GB"/>
        </w:rPr>
        <w:t xml:space="preserve"> Figure</w:t>
      </w:r>
      <w:r w:rsidR="002D1131">
        <w:rPr>
          <w:rFonts w:asciiTheme="majorHAnsi" w:hAnsiTheme="majorHAnsi" w:cstheme="majorHAnsi"/>
          <w:sz w:val="22"/>
          <w:szCs w:val="22"/>
          <w:lang w:val="en-GB"/>
        </w:rPr>
        <w:t xml:space="preserve"> 3</w:t>
      </w:r>
      <w:r w:rsidR="0068794A" w:rsidRPr="009275AC">
        <w:rPr>
          <w:rFonts w:asciiTheme="majorHAnsi" w:hAnsiTheme="majorHAnsi" w:cstheme="majorHAnsi"/>
          <w:sz w:val="22"/>
          <w:szCs w:val="22"/>
          <w:lang w:val="en-GB"/>
        </w:rPr>
        <w:t xml:space="preserve"> depicts the energy density of </w:t>
      </w:r>
      <w:r w:rsidR="001B3050" w:rsidRPr="009275AC">
        <w:rPr>
          <w:rFonts w:asciiTheme="majorHAnsi" w:hAnsiTheme="majorHAnsi" w:cstheme="majorHAnsi"/>
          <w:sz w:val="22"/>
          <w:szCs w:val="22"/>
          <w:lang w:val="en-GB"/>
        </w:rPr>
        <w:t xml:space="preserve">different </w:t>
      </w:r>
      <w:r w:rsidR="008F1FE8" w:rsidRPr="009275AC">
        <w:rPr>
          <w:rFonts w:asciiTheme="majorHAnsi" w:hAnsiTheme="majorHAnsi" w:cstheme="majorHAnsi"/>
          <w:sz w:val="22"/>
          <w:szCs w:val="22"/>
          <w:lang w:val="en-GB"/>
        </w:rPr>
        <w:t xml:space="preserve">fuels for marine application, considering the tank weight </w:t>
      </w:r>
      <w:r w:rsidR="008903DA" w:rsidRPr="009275AC">
        <w:rPr>
          <w:rFonts w:asciiTheme="majorHAnsi" w:hAnsiTheme="majorHAnsi" w:cstheme="majorHAnsi"/>
          <w:sz w:val="22"/>
          <w:szCs w:val="22"/>
          <w:lang w:val="en-GB"/>
        </w:rPr>
        <w:t>needed</w:t>
      </w:r>
      <w:r w:rsidR="001B3050" w:rsidRPr="009275AC">
        <w:rPr>
          <w:rFonts w:asciiTheme="majorHAnsi" w:hAnsiTheme="majorHAnsi" w:cstheme="majorHAnsi"/>
          <w:sz w:val="22"/>
          <w:szCs w:val="22"/>
          <w:lang w:val="en-GB"/>
        </w:rPr>
        <w:t>.</w:t>
      </w:r>
      <w:r w:rsidR="006F3560">
        <w:rPr>
          <w:rFonts w:asciiTheme="majorHAnsi" w:hAnsiTheme="majorHAnsi" w:cstheme="majorHAnsi"/>
          <w:sz w:val="22"/>
          <w:szCs w:val="22"/>
          <w:lang w:val="en-GB"/>
        </w:rPr>
        <w:t xml:space="preserve"> </w:t>
      </w:r>
      <w:r w:rsidR="004B1348">
        <w:rPr>
          <w:rFonts w:asciiTheme="majorHAnsi" w:hAnsiTheme="majorHAnsi" w:cstheme="majorHAnsi"/>
          <w:sz w:val="22"/>
          <w:szCs w:val="22"/>
          <w:lang w:val="en-GB"/>
        </w:rPr>
        <w:t xml:space="preserve">High energy </w:t>
      </w:r>
      <w:r w:rsidR="001A05CB">
        <w:rPr>
          <w:rFonts w:asciiTheme="majorHAnsi" w:hAnsiTheme="majorHAnsi" w:cstheme="majorHAnsi"/>
          <w:sz w:val="22"/>
          <w:szCs w:val="22"/>
          <w:lang w:val="en-GB"/>
        </w:rPr>
        <w:t xml:space="preserve">density implies that the fuel requires less space, which </w:t>
      </w:r>
      <w:r w:rsidR="00B12768">
        <w:rPr>
          <w:rFonts w:asciiTheme="majorHAnsi" w:hAnsiTheme="majorHAnsi" w:cstheme="majorHAnsi"/>
          <w:sz w:val="22"/>
          <w:szCs w:val="22"/>
          <w:lang w:val="en-GB"/>
        </w:rPr>
        <w:t>allows better use of onboard space</w:t>
      </w:r>
      <w:r w:rsidR="004B5E01">
        <w:rPr>
          <w:rFonts w:asciiTheme="majorHAnsi" w:hAnsiTheme="majorHAnsi" w:cstheme="majorHAnsi"/>
          <w:sz w:val="22"/>
          <w:szCs w:val="22"/>
          <w:lang w:val="en-GB"/>
        </w:rPr>
        <w:t xml:space="preserve">. The energy density also determines </w:t>
      </w:r>
      <w:r w:rsidR="00ED3426">
        <w:rPr>
          <w:rFonts w:asciiTheme="majorHAnsi" w:hAnsiTheme="majorHAnsi" w:cstheme="majorHAnsi"/>
          <w:sz w:val="22"/>
          <w:szCs w:val="22"/>
          <w:lang w:val="en-GB"/>
        </w:rPr>
        <w:t xml:space="preserve">whether a fuel can be used in certain ship </w:t>
      </w:r>
      <w:r w:rsidR="00B6331F">
        <w:rPr>
          <w:rFonts w:asciiTheme="majorHAnsi" w:hAnsiTheme="majorHAnsi" w:cstheme="majorHAnsi"/>
          <w:sz w:val="22"/>
          <w:szCs w:val="22"/>
          <w:lang w:val="en-GB"/>
        </w:rPr>
        <w:t xml:space="preserve">and ship operation. As can be observed </w:t>
      </w:r>
      <w:r w:rsidR="00400C75">
        <w:rPr>
          <w:rFonts w:asciiTheme="majorHAnsi" w:hAnsiTheme="majorHAnsi" w:cstheme="majorHAnsi"/>
          <w:sz w:val="22"/>
          <w:szCs w:val="22"/>
          <w:lang w:val="en-GB"/>
        </w:rPr>
        <w:t xml:space="preserve">some </w:t>
      </w:r>
      <w:r w:rsidR="007A48C3">
        <w:rPr>
          <w:rFonts w:asciiTheme="majorHAnsi" w:hAnsiTheme="majorHAnsi" w:cstheme="majorHAnsi"/>
          <w:sz w:val="22"/>
          <w:szCs w:val="22"/>
          <w:lang w:val="en-GB"/>
        </w:rPr>
        <w:t xml:space="preserve">biofuels such as FAME, </w:t>
      </w:r>
      <w:r w:rsidR="00037058">
        <w:rPr>
          <w:rFonts w:asciiTheme="majorHAnsi" w:hAnsiTheme="majorHAnsi" w:cstheme="majorHAnsi"/>
          <w:sz w:val="22"/>
          <w:szCs w:val="22"/>
          <w:lang w:val="en-GB"/>
        </w:rPr>
        <w:t>have lower energy density</w:t>
      </w:r>
      <w:r w:rsidR="00BA21C3">
        <w:rPr>
          <w:rFonts w:asciiTheme="majorHAnsi" w:hAnsiTheme="majorHAnsi" w:cstheme="majorHAnsi"/>
          <w:sz w:val="22"/>
          <w:szCs w:val="22"/>
          <w:lang w:val="en-GB"/>
        </w:rPr>
        <w:t xml:space="preserve"> than HFO. </w:t>
      </w:r>
      <w:r w:rsidR="00C9297A">
        <w:rPr>
          <w:rFonts w:asciiTheme="majorHAnsi" w:hAnsiTheme="majorHAnsi" w:cstheme="majorHAnsi"/>
          <w:sz w:val="22"/>
          <w:szCs w:val="22"/>
          <w:lang w:val="en-GB"/>
        </w:rPr>
        <w:t xml:space="preserve">Moreover, fuels like Ammonia or Hydrogen </w:t>
      </w:r>
      <w:r w:rsidR="00C659F1">
        <w:rPr>
          <w:rFonts w:asciiTheme="majorHAnsi" w:hAnsiTheme="majorHAnsi" w:cstheme="majorHAnsi"/>
          <w:sz w:val="22"/>
          <w:szCs w:val="22"/>
          <w:lang w:val="en-GB"/>
        </w:rPr>
        <w:t xml:space="preserve">require special storage. The energy density </w:t>
      </w:r>
      <w:r w:rsidR="003226E3">
        <w:rPr>
          <w:rFonts w:asciiTheme="majorHAnsi" w:hAnsiTheme="majorHAnsi" w:cstheme="majorHAnsi"/>
          <w:sz w:val="22"/>
          <w:szCs w:val="22"/>
          <w:lang w:val="en-GB"/>
        </w:rPr>
        <w:t>and the storage system will</w:t>
      </w:r>
      <w:r w:rsidR="00400C75">
        <w:rPr>
          <w:rFonts w:asciiTheme="majorHAnsi" w:hAnsiTheme="majorHAnsi" w:cstheme="majorHAnsi"/>
          <w:sz w:val="22"/>
          <w:szCs w:val="22"/>
          <w:lang w:val="en-GB"/>
        </w:rPr>
        <w:t xml:space="preserve"> also</w:t>
      </w:r>
      <w:r w:rsidR="003226E3">
        <w:rPr>
          <w:rFonts w:asciiTheme="majorHAnsi" w:hAnsiTheme="majorHAnsi" w:cstheme="majorHAnsi"/>
          <w:sz w:val="22"/>
          <w:szCs w:val="22"/>
          <w:lang w:val="en-GB"/>
        </w:rPr>
        <w:t xml:space="preserve"> </w:t>
      </w:r>
      <w:r w:rsidR="00BA669D">
        <w:rPr>
          <w:rFonts w:asciiTheme="majorHAnsi" w:hAnsiTheme="majorHAnsi" w:cstheme="majorHAnsi"/>
          <w:sz w:val="22"/>
          <w:szCs w:val="22"/>
          <w:lang w:val="en-GB"/>
        </w:rPr>
        <w:t>impact</w:t>
      </w:r>
      <w:r w:rsidR="003226E3">
        <w:rPr>
          <w:rFonts w:asciiTheme="majorHAnsi" w:hAnsiTheme="majorHAnsi" w:cstheme="majorHAnsi"/>
          <w:sz w:val="22"/>
          <w:szCs w:val="22"/>
          <w:lang w:val="en-GB"/>
        </w:rPr>
        <w:t xml:space="preserve"> the bunker frequency</w:t>
      </w:r>
      <w:r w:rsidR="00BA669D">
        <w:rPr>
          <w:rFonts w:asciiTheme="majorHAnsi" w:hAnsiTheme="majorHAnsi" w:cstheme="majorHAnsi"/>
          <w:sz w:val="22"/>
          <w:szCs w:val="22"/>
          <w:lang w:val="en-GB"/>
        </w:rPr>
        <w:t xml:space="preserve"> </w:t>
      </w:r>
      <w:r w:rsidR="00E42C76">
        <w:rPr>
          <w:rFonts w:asciiTheme="majorHAnsi" w:hAnsiTheme="majorHAnsi" w:cstheme="majorHAnsi"/>
          <w:sz w:val="22"/>
          <w:szCs w:val="22"/>
          <w:lang w:val="en-GB"/>
        </w:rPr>
        <w:fldChar w:fldCharType="begin" w:fldLock="1"/>
      </w:r>
      <w:r w:rsidR="009A0677">
        <w:rPr>
          <w:rFonts w:asciiTheme="majorHAnsi" w:hAnsiTheme="majorHAnsi" w:cstheme="majorHAnsi"/>
          <w:sz w:val="22"/>
          <w:szCs w:val="22"/>
          <w:lang w:val="en-GB"/>
        </w:rPr>
        <w:instrText>ADDIN CSL_CITATION {"citationItems":[{"id":"ITEM-1","itemData":{"abstract":"Comparison of Alternative Marine Fuels Environmental regulations controlling emissions of SOx, NOx and Greenhouse Gases (GHG) are transforming the global shipping industry. Carbon-intensive, polluting heavy fuel oil (HFO) can no longer remain the default option for ocean voyages. To comply with the International Maritime Organization’s (IMO) 1st January 2020 SOx regulations and announced future environmental targets, ship owners and operators must change the ways in which they power and fuel their fleets. Choosing which marine fuel to adopt is now a significant investment decision to be made amidst a range of uncertainties. To support the industry in its decision-making process, SEA\\LNG commissioned DNV GL to conduct a comprehensive study to assess the commercial and operational viability of alternative marine fuels. Based on existing academic and industry literature, the study evaluates how well six of the main alternative fuels (hydrogen, ammonia, methanol, LPG, biofuel, specifically Hydrotreated Vegetable Oil, and full battery-electric systems), perform compared to LNG and legacy HFO.","author":[{"dropping-particle":"","family":"DNV GL","given":"","non-dropping-particle":"","parse-names":false,"suffix":""}],"id":"ITEM-1","issued":{"date-parts":[["2019"]]},"page":"1-65","title":"Comparison of Alternative Marine Fuels","type":"article-journal"},"uris":["http://www.mendeley.com/documents/?uuid=683f518a-617f-4440-bc51-4f803bcfd6ca"]}],"mendeley":{"formattedCitation":"(DNV GL, 2019)","plainTextFormattedCitation":"(DNV GL, 2019)","previouslyFormattedCitation":"(DNV GL, 2019)"},"properties":{"noteIndex":0},"schema":"https://github.com/citation-style-language/schema/raw/master/csl-citation.json"}</w:instrText>
      </w:r>
      <w:r w:rsidR="00E42C76">
        <w:rPr>
          <w:rFonts w:asciiTheme="majorHAnsi" w:hAnsiTheme="majorHAnsi" w:cstheme="majorHAnsi"/>
          <w:sz w:val="22"/>
          <w:szCs w:val="22"/>
          <w:lang w:val="en-GB"/>
        </w:rPr>
        <w:fldChar w:fldCharType="separate"/>
      </w:r>
      <w:r w:rsidR="00E42C76" w:rsidRPr="00E42C76">
        <w:rPr>
          <w:rFonts w:asciiTheme="majorHAnsi" w:hAnsiTheme="majorHAnsi" w:cstheme="majorHAnsi"/>
          <w:noProof/>
          <w:sz w:val="22"/>
          <w:szCs w:val="22"/>
          <w:lang w:val="en-GB"/>
        </w:rPr>
        <w:t>(DNV GL, 2019)</w:t>
      </w:r>
      <w:r w:rsidR="00E42C76">
        <w:rPr>
          <w:rFonts w:asciiTheme="majorHAnsi" w:hAnsiTheme="majorHAnsi" w:cstheme="majorHAnsi"/>
          <w:sz w:val="22"/>
          <w:szCs w:val="22"/>
          <w:lang w:val="en-GB"/>
        </w:rPr>
        <w:fldChar w:fldCharType="end"/>
      </w:r>
      <w:r w:rsidR="00BA669D">
        <w:rPr>
          <w:rFonts w:asciiTheme="majorHAnsi" w:hAnsiTheme="majorHAnsi" w:cstheme="majorHAnsi"/>
          <w:sz w:val="22"/>
          <w:szCs w:val="22"/>
          <w:lang w:val="en-GB"/>
        </w:rPr>
        <w:t xml:space="preserve">. </w:t>
      </w:r>
    </w:p>
    <w:p w14:paraId="3B11A2A2" w14:textId="77777777" w:rsidR="00D153E6" w:rsidRDefault="31B4E4AC" w:rsidP="5937A937">
      <w:pPr>
        <w:keepNext/>
        <w:spacing w:after="120" w:line="360" w:lineRule="auto"/>
        <w:ind w:hanging="32"/>
        <w:jc w:val="center"/>
      </w:pPr>
      <w:r>
        <w:rPr>
          <w:noProof/>
        </w:rPr>
        <w:lastRenderedPageBreak/>
        <w:drawing>
          <wp:inline distT="0" distB="0" distL="0" distR="0" wp14:anchorId="527CA9F3" wp14:editId="2A26F396">
            <wp:extent cx="3269775" cy="2934032"/>
            <wp:effectExtent l="0" t="0" r="6985" b="0"/>
            <wp:docPr id="8" name="Picture 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74644" cy="2938401"/>
                    </a:xfrm>
                    <a:prstGeom prst="rect">
                      <a:avLst/>
                    </a:prstGeom>
                  </pic:spPr>
                </pic:pic>
              </a:graphicData>
            </a:graphic>
          </wp:inline>
        </w:drawing>
      </w:r>
    </w:p>
    <w:p w14:paraId="5DE97639" w14:textId="32133546" w:rsidR="00AF68FD" w:rsidRDefault="00D153E6" w:rsidP="002D1131">
      <w:pPr>
        <w:pStyle w:val="Caption"/>
        <w:jc w:val="center"/>
      </w:pPr>
      <w:bookmarkStart w:id="20" w:name="_Toc85627881"/>
      <w:r>
        <w:t xml:space="preserve">Figure </w:t>
      </w:r>
      <w:fldSimple w:instr=" SEQ Figure \* ARABIC ">
        <w:r w:rsidR="008027AE">
          <w:rPr>
            <w:noProof/>
          </w:rPr>
          <w:t>3</w:t>
        </w:r>
      </w:fldSimple>
      <w:r>
        <w:t>. Energy density of several fuels considering tank weights and the low heating value</w:t>
      </w:r>
      <w:r w:rsidR="00820B51">
        <w:t xml:space="preserve"> </w:t>
      </w:r>
      <w:r>
        <w:t>(</w:t>
      </w:r>
      <w:r w:rsidR="00AB7E5D">
        <w:t>source</w:t>
      </w:r>
      <w:r>
        <w:t>: The Royal Society 2019)</w:t>
      </w:r>
      <w:r w:rsidR="002D1131">
        <w:t xml:space="preserve"> </w:t>
      </w:r>
      <w:r w:rsidR="00954A50">
        <w:t xml:space="preserve">*LNG value will be </w:t>
      </w:r>
      <w:proofErr w:type="gramStart"/>
      <w:r w:rsidR="00954A50">
        <w:t>similar to</w:t>
      </w:r>
      <w:proofErr w:type="gramEnd"/>
      <w:r w:rsidR="00954A50">
        <w:t xml:space="preserve"> LPG</w:t>
      </w:r>
      <w:bookmarkEnd w:id="20"/>
    </w:p>
    <w:p w14:paraId="27369B06" w14:textId="77777777" w:rsidR="00D8002E" w:rsidRDefault="00D8002E" w:rsidP="00607FA0">
      <w:pPr>
        <w:rPr>
          <w:lang w:val="en-GB"/>
        </w:rPr>
      </w:pPr>
    </w:p>
    <w:p w14:paraId="5F0D119F" w14:textId="42B59200" w:rsidR="00C44342" w:rsidRPr="00E24E04" w:rsidRDefault="008903DA" w:rsidP="5937A937">
      <w:pPr>
        <w:spacing w:after="120" w:line="360" w:lineRule="auto"/>
        <w:ind w:left="302" w:firstLine="418"/>
        <w:rPr>
          <w:rFonts w:asciiTheme="majorHAnsi" w:hAnsiTheme="majorHAnsi" w:cstheme="majorBidi"/>
          <w:sz w:val="22"/>
          <w:szCs w:val="22"/>
          <w:lang w:val="en-GB"/>
        </w:rPr>
      </w:pPr>
      <w:r w:rsidRPr="00D0363C">
        <w:rPr>
          <w:rFonts w:ascii="Times New Roman" w:hAnsi="Times New Roman"/>
          <w:sz w:val="22"/>
          <w:szCs w:val="22"/>
          <w:lang w:val="en-GB"/>
        </w:rPr>
        <w:tab/>
      </w:r>
      <w:r w:rsidR="00963F36" w:rsidRPr="00963F36">
        <w:rPr>
          <w:rFonts w:asciiTheme="majorHAnsi" w:hAnsiTheme="majorHAnsi" w:cstheme="majorBidi"/>
          <w:sz w:val="22"/>
          <w:szCs w:val="22"/>
          <w:lang w:val="en-GB"/>
        </w:rPr>
        <w:t>Although the current infrastructure is mostly designed for liquid fuels</w:t>
      </w:r>
      <w:r w:rsidR="0068583B">
        <w:rPr>
          <w:rFonts w:asciiTheme="majorHAnsi" w:hAnsiTheme="majorHAnsi" w:cstheme="majorBidi"/>
          <w:sz w:val="22"/>
          <w:szCs w:val="22"/>
          <w:lang w:val="en-GB"/>
        </w:rPr>
        <w:t xml:space="preserve"> (at ambient temperatures)</w:t>
      </w:r>
      <w:r w:rsidR="00963F36" w:rsidRPr="00963F36">
        <w:rPr>
          <w:rFonts w:asciiTheme="majorHAnsi" w:hAnsiTheme="majorHAnsi" w:cstheme="majorBidi"/>
          <w:sz w:val="22"/>
          <w:szCs w:val="22"/>
          <w:lang w:val="en-GB"/>
        </w:rPr>
        <w:t xml:space="preserve">, there </w:t>
      </w:r>
      <w:r w:rsidR="007F0A29">
        <w:rPr>
          <w:rFonts w:asciiTheme="majorHAnsi" w:hAnsiTheme="majorHAnsi" w:cstheme="majorBidi"/>
          <w:sz w:val="22"/>
          <w:szCs w:val="22"/>
          <w:lang w:val="en-GB"/>
        </w:rPr>
        <w:t>are</w:t>
      </w:r>
      <w:r w:rsidR="00963F36" w:rsidRPr="00963F36">
        <w:rPr>
          <w:rFonts w:asciiTheme="majorHAnsi" w:hAnsiTheme="majorHAnsi" w:cstheme="majorBidi"/>
          <w:sz w:val="22"/>
          <w:szCs w:val="22"/>
          <w:lang w:val="en-GB"/>
        </w:rPr>
        <w:t xml:space="preserve"> growing efforts towards gaseous</w:t>
      </w:r>
      <w:r w:rsidR="0068583B">
        <w:rPr>
          <w:rFonts w:asciiTheme="majorHAnsi" w:hAnsiTheme="majorHAnsi" w:cstheme="majorBidi"/>
          <w:sz w:val="22"/>
          <w:szCs w:val="22"/>
          <w:lang w:val="en-GB"/>
        </w:rPr>
        <w:t xml:space="preserve"> (compressed or cooled) </w:t>
      </w:r>
      <w:r w:rsidR="00963F36" w:rsidRPr="00963F36">
        <w:rPr>
          <w:rFonts w:asciiTheme="majorHAnsi" w:hAnsiTheme="majorHAnsi" w:cstheme="majorBidi"/>
          <w:sz w:val="22"/>
          <w:szCs w:val="22"/>
          <w:lang w:val="en-GB"/>
        </w:rPr>
        <w:t>alternatives</w:t>
      </w:r>
      <w:r w:rsidR="778312A9" w:rsidRPr="5937A937">
        <w:rPr>
          <w:rFonts w:asciiTheme="majorHAnsi" w:hAnsiTheme="majorHAnsi" w:cstheme="majorBidi"/>
          <w:sz w:val="22"/>
          <w:szCs w:val="22"/>
          <w:lang w:val="en-GB"/>
        </w:rPr>
        <w:t xml:space="preserve">. </w:t>
      </w:r>
      <w:r w:rsidR="7FAAAC99" w:rsidRPr="5937A937">
        <w:rPr>
          <w:rFonts w:asciiTheme="majorHAnsi" w:hAnsiTheme="majorHAnsi" w:cstheme="majorBidi"/>
          <w:sz w:val="22"/>
          <w:szCs w:val="22"/>
          <w:lang w:val="en-GB"/>
        </w:rPr>
        <w:t xml:space="preserve">Fuelling ships with gaseous alternatives has been considered a promising alternative </w:t>
      </w:r>
      <w:r w:rsidR="5C090E13" w:rsidRPr="5937A937">
        <w:rPr>
          <w:rFonts w:asciiTheme="majorHAnsi" w:hAnsiTheme="majorHAnsi" w:cstheme="majorBidi"/>
          <w:sz w:val="22"/>
          <w:szCs w:val="22"/>
          <w:lang w:val="en-GB"/>
        </w:rPr>
        <w:t xml:space="preserve">by some, since </w:t>
      </w:r>
      <w:proofErr w:type="gramStart"/>
      <w:r w:rsidR="13ED244C" w:rsidRPr="5937A937">
        <w:rPr>
          <w:rFonts w:asciiTheme="majorHAnsi" w:hAnsiTheme="majorHAnsi" w:cstheme="majorBidi"/>
          <w:sz w:val="22"/>
          <w:szCs w:val="22"/>
          <w:lang w:val="en-GB"/>
        </w:rPr>
        <w:t>fossil-based</w:t>
      </w:r>
      <w:proofErr w:type="gramEnd"/>
      <w:r w:rsidR="13ED244C" w:rsidRPr="5937A937">
        <w:rPr>
          <w:rFonts w:asciiTheme="majorHAnsi" w:hAnsiTheme="majorHAnsi" w:cstheme="majorBidi"/>
          <w:sz w:val="22"/>
          <w:szCs w:val="22"/>
          <w:lang w:val="en-GB"/>
        </w:rPr>
        <w:t xml:space="preserve"> </w:t>
      </w:r>
      <w:r w:rsidR="4C763A96" w:rsidRPr="5937A937">
        <w:rPr>
          <w:rFonts w:asciiTheme="majorHAnsi" w:hAnsiTheme="majorHAnsi" w:cstheme="majorBidi"/>
          <w:sz w:val="22"/>
          <w:szCs w:val="22"/>
          <w:lang w:val="en-GB"/>
        </w:rPr>
        <w:t>Liquified Nat</w:t>
      </w:r>
      <w:r w:rsidR="77319B9E" w:rsidRPr="5937A937">
        <w:rPr>
          <w:rFonts w:asciiTheme="majorHAnsi" w:hAnsiTheme="majorHAnsi" w:cstheme="majorBidi"/>
          <w:sz w:val="22"/>
          <w:szCs w:val="22"/>
          <w:lang w:val="en-GB"/>
        </w:rPr>
        <w:t xml:space="preserve">ural Gas (LNG) </w:t>
      </w:r>
      <w:r w:rsidR="5C6A7C8B" w:rsidRPr="5937A937">
        <w:rPr>
          <w:rFonts w:asciiTheme="majorHAnsi" w:hAnsiTheme="majorHAnsi" w:cstheme="majorBidi"/>
          <w:sz w:val="22"/>
          <w:szCs w:val="22"/>
          <w:lang w:val="en-GB"/>
        </w:rPr>
        <w:t>c</w:t>
      </w:r>
      <w:r w:rsidR="349B4BF4" w:rsidRPr="5937A937">
        <w:rPr>
          <w:rFonts w:asciiTheme="majorHAnsi" w:hAnsiTheme="majorHAnsi" w:cstheme="majorBidi"/>
          <w:sz w:val="22"/>
          <w:szCs w:val="22"/>
          <w:lang w:val="en-GB"/>
        </w:rPr>
        <w:t xml:space="preserve">ould be a readily </w:t>
      </w:r>
      <w:r w:rsidR="5C6A7C8B" w:rsidRPr="5937A937">
        <w:rPr>
          <w:rFonts w:asciiTheme="majorHAnsi" w:hAnsiTheme="majorHAnsi" w:cstheme="majorBidi"/>
          <w:sz w:val="22"/>
          <w:szCs w:val="22"/>
          <w:lang w:val="en-GB"/>
        </w:rPr>
        <w:t xml:space="preserve">cleaner </w:t>
      </w:r>
      <w:r w:rsidR="24969FBB" w:rsidRPr="5937A937">
        <w:rPr>
          <w:rFonts w:asciiTheme="majorHAnsi" w:hAnsiTheme="majorHAnsi" w:cstheme="majorBidi"/>
          <w:sz w:val="22"/>
          <w:szCs w:val="22"/>
          <w:lang w:val="en-GB"/>
        </w:rPr>
        <w:t>option</w:t>
      </w:r>
      <w:r w:rsidR="5C6A7C8B" w:rsidRPr="5937A937">
        <w:rPr>
          <w:rFonts w:asciiTheme="majorHAnsi" w:hAnsiTheme="majorHAnsi" w:cstheme="majorBidi"/>
          <w:sz w:val="22"/>
          <w:szCs w:val="22"/>
          <w:lang w:val="en-GB"/>
        </w:rPr>
        <w:t xml:space="preserve">, in terms of </w:t>
      </w:r>
      <w:proofErr w:type="spellStart"/>
      <w:r w:rsidR="5C6A7C8B" w:rsidRPr="5937A937">
        <w:rPr>
          <w:rFonts w:asciiTheme="majorHAnsi" w:hAnsiTheme="majorHAnsi" w:cstheme="majorBidi"/>
          <w:sz w:val="22"/>
          <w:szCs w:val="22"/>
          <w:lang w:val="en-GB"/>
        </w:rPr>
        <w:t>C</w:t>
      </w:r>
      <w:r w:rsidR="55A32D96" w:rsidRPr="5937A937">
        <w:rPr>
          <w:rFonts w:asciiTheme="majorHAnsi" w:hAnsiTheme="majorHAnsi" w:cstheme="majorBidi"/>
          <w:sz w:val="22"/>
          <w:szCs w:val="22"/>
          <w:lang w:val="en-GB"/>
        </w:rPr>
        <w:t>O</w:t>
      </w:r>
      <w:r w:rsidR="55A32D96" w:rsidRPr="00C07FF4">
        <w:rPr>
          <w:rFonts w:asciiTheme="majorHAnsi" w:hAnsiTheme="majorHAnsi" w:cstheme="majorBidi"/>
          <w:sz w:val="22"/>
          <w:szCs w:val="22"/>
          <w:vertAlign w:val="subscript"/>
          <w:lang w:val="en-GB"/>
        </w:rPr>
        <w:t>x</w:t>
      </w:r>
      <w:proofErr w:type="spellEnd"/>
      <w:r w:rsidR="55A32D96" w:rsidRPr="5937A937">
        <w:rPr>
          <w:rFonts w:asciiTheme="majorHAnsi" w:hAnsiTheme="majorHAnsi" w:cstheme="majorBidi"/>
          <w:sz w:val="22"/>
          <w:szCs w:val="22"/>
          <w:lang w:val="en-GB"/>
        </w:rPr>
        <w:t xml:space="preserve">, </w:t>
      </w:r>
      <w:proofErr w:type="spellStart"/>
      <w:r w:rsidR="55A32D96" w:rsidRPr="5937A937">
        <w:rPr>
          <w:rFonts w:asciiTheme="majorHAnsi" w:hAnsiTheme="majorHAnsi" w:cstheme="majorBidi"/>
          <w:sz w:val="22"/>
          <w:szCs w:val="22"/>
          <w:lang w:val="en-GB"/>
        </w:rPr>
        <w:t>SO</w:t>
      </w:r>
      <w:r w:rsidR="55A32D96" w:rsidRPr="00C07FF4">
        <w:rPr>
          <w:rFonts w:asciiTheme="majorHAnsi" w:hAnsiTheme="majorHAnsi" w:cstheme="majorBidi"/>
          <w:sz w:val="22"/>
          <w:szCs w:val="22"/>
          <w:vertAlign w:val="subscript"/>
          <w:lang w:val="en-GB"/>
        </w:rPr>
        <w:t>x</w:t>
      </w:r>
      <w:proofErr w:type="spellEnd"/>
      <w:r w:rsidR="55A32D96" w:rsidRPr="5937A937">
        <w:rPr>
          <w:rFonts w:asciiTheme="majorHAnsi" w:hAnsiTheme="majorHAnsi" w:cstheme="majorBidi"/>
          <w:sz w:val="22"/>
          <w:szCs w:val="22"/>
          <w:lang w:val="en-GB"/>
        </w:rPr>
        <w:t xml:space="preserve"> and NO</w:t>
      </w:r>
      <w:r w:rsidR="55A32D96" w:rsidRPr="00C07FF4">
        <w:rPr>
          <w:rFonts w:asciiTheme="majorHAnsi" w:hAnsiTheme="majorHAnsi" w:cstheme="majorBidi"/>
          <w:sz w:val="22"/>
          <w:szCs w:val="22"/>
          <w:vertAlign w:val="subscript"/>
          <w:lang w:val="en-GB"/>
        </w:rPr>
        <w:t>x</w:t>
      </w:r>
      <w:r w:rsidR="4023F31B" w:rsidRPr="5937A937">
        <w:rPr>
          <w:rFonts w:asciiTheme="majorHAnsi" w:hAnsiTheme="majorHAnsi" w:cstheme="majorBidi"/>
          <w:sz w:val="22"/>
          <w:szCs w:val="22"/>
          <w:lang w:val="en-GB"/>
        </w:rPr>
        <w:t xml:space="preserve"> emissions in comparison</w:t>
      </w:r>
      <w:r w:rsidR="349B4BF4" w:rsidRPr="5937A937">
        <w:rPr>
          <w:rFonts w:asciiTheme="majorHAnsi" w:hAnsiTheme="majorHAnsi" w:cstheme="majorBidi"/>
          <w:sz w:val="22"/>
          <w:szCs w:val="22"/>
          <w:lang w:val="en-GB"/>
        </w:rPr>
        <w:t xml:space="preserve"> to liquid </w:t>
      </w:r>
      <w:r w:rsidR="4023F31B" w:rsidRPr="5937A937">
        <w:rPr>
          <w:rFonts w:asciiTheme="majorHAnsi" w:hAnsiTheme="majorHAnsi" w:cstheme="majorBidi"/>
          <w:sz w:val="22"/>
          <w:szCs w:val="22"/>
          <w:lang w:val="en-GB"/>
        </w:rPr>
        <w:t xml:space="preserve">fossil </w:t>
      </w:r>
      <w:r w:rsidR="349B4BF4" w:rsidRPr="5937A937">
        <w:rPr>
          <w:rFonts w:asciiTheme="majorHAnsi" w:hAnsiTheme="majorHAnsi" w:cstheme="majorBidi"/>
          <w:sz w:val="22"/>
          <w:szCs w:val="22"/>
          <w:lang w:val="en-GB"/>
        </w:rPr>
        <w:t>fuels</w:t>
      </w:r>
      <w:r w:rsidR="00492572">
        <w:rPr>
          <w:rFonts w:asciiTheme="majorHAnsi" w:hAnsiTheme="majorHAnsi" w:cstheme="majorBidi"/>
          <w:sz w:val="22"/>
          <w:szCs w:val="22"/>
          <w:lang w:val="en-GB"/>
        </w:rPr>
        <w:t xml:space="preserve">. </w:t>
      </w:r>
      <w:r w:rsidR="00CD4923">
        <w:rPr>
          <w:rFonts w:asciiTheme="majorHAnsi" w:hAnsiTheme="majorHAnsi" w:cstheme="majorBidi"/>
          <w:sz w:val="22"/>
          <w:szCs w:val="22"/>
          <w:lang w:val="en-GB"/>
        </w:rPr>
        <w:t xml:space="preserve">However, it has been observed </w:t>
      </w:r>
      <w:r w:rsidR="00BF51FF">
        <w:rPr>
          <w:rFonts w:asciiTheme="majorHAnsi" w:hAnsiTheme="majorHAnsi" w:cstheme="majorBidi"/>
          <w:sz w:val="22"/>
          <w:szCs w:val="22"/>
          <w:lang w:val="en-GB"/>
        </w:rPr>
        <w:t xml:space="preserve">that </w:t>
      </w:r>
      <w:r w:rsidR="002A6960">
        <w:rPr>
          <w:rFonts w:asciiTheme="majorHAnsi" w:hAnsiTheme="majorHAnsi" w:cstheme="majorBidi"/>
          <w:sz w:val="22"/>
          <w:szCs w:val="22"/>
          <w:lang w:val="en-GB"/>
        </w:rPr>
        <w:t xml:space="preserve">tuning the combustion engines for LNG and to reduce </w:t>
      </w:r>
      <w:r w:rsidR="002A6960" w:rsidRPr="5937A937">
        <w:rPr>
          <w:rFonts w:asciiTheme="majorHAnsi" w:hAnsiTheme="majorHAnsi" w:cstheme="majorBidi"/>
          <w:sz w:val="22"/>
          <w:szCs w:val="22"/>
          <w:lang w:val="en-GB"/>
        </w:rPr>
        <w:t>NOx emissions</w:t>
      </w:r>
      <w:r w:rsidR="002A6960">
        <w:rPr>
          <w:rFonts w:asciiTheme="majorHAnsi" w:hAnsiTheme="majorHAnsi" w:cstheme="majorBidi"/>
          <w:sz w:val="22"/>
          <w:szCs w:val="22"/>
          <w:lang w:val="en-GB"/>
        </w:rPr>
        <w:t xml:space="preserve"> </w:t>
      </w:r>
      <w:r w:rsidR="0068583B">
        <w:rPr>
          <w:rFonts w:asciiTheme="majorHAnsi" w:hAnsiTheme="majorHAnsi" w:cstheme="majorBidi"/>
          <w:sz w:val="22"/>
          <w:szCs w:val="22"/>
          <w:lang w:val="en-GB"/>
        </w:rPr>
        <w:t xml:space="preserve">could </w:t>
      </w:r>
      <w:r w:rsidR="002A6960">
        <w:rPr>
          <w:rFonts w:asciiTheme="majorHAnsi" w:hAnsiTheme="majorHAnsi" w:cstheme="majorBidi"/>
          <w:sz w:val="22"/>
          <w:szCs w:val="22"/>
          <w:lang w:val="en-GB"/>
        </w:rPr>
        <w:t xml:space="preserve">lead to </w:t>
      </w:r>
      <w:r w:rsidR="00172BB8">
        <w:rPr>
          <w:rFonts w:asciiTheme="majorHAnsi" w:hAnsiTheme="majorHAnsi" w:cstheme="majorBidi"/>
          <w:sz w:val="22"/>
          <w:szCs w:val="22"/>
          <w:lang w:val="en-GB"/>
        </w:rPr>
        <w:t>methane slip</w:t>
      </w:r>
      <w:proofErr w:type="gramStart"/>
      <w:r w:rsidR="00C84065">
        <w:rPr>
          <w:rFonts w:asciiTheme="majorHAnsi" w:hAnsiTheme="majorHAnsi" w:cstheme="majorBidi"/>
          <w:sz w:val="22"/>
          <w:szCs w:val="22"/>
          <w:lang w:val="en-GB"/>
        </w:rPr>
        <w:t>.</w:t>
      </w:r>
      <w:r w:rsidR="00BD56C6">
        <w:rPr>
          <w:rFonts w:asciiTheme="majorHAnsi" w:hAnsiTheme="majorHAnsi" w:cstheme="majorBidi"/>
          <w:sz w:val="22"/>
          <w:szCs w:val="22"/>
          <w:lang w:val="en-GB"/>
        </w:rPr>
        <w:t xml:space="preserve">  </w:t>
      </w:r>
      <w:proofErr w:type="gramEnd"/>
      <w:r w:rsidR="00BD56C6">
        <w:rPr>
          <w:rFonts w:asciiTheme="majorHAnsi" w:hAnsiTheme="majorHAnsi" w:cstheme="majorBidi"/>
          <w:sz w:val="22"/>
          <w:szCs w:val="22"/>
          <w:lang w:val="en-GB"/>
        </w:rPr>
        <w:t>Me</w:t>
      </w:r>
      <w:r w:rsidR="000B2E7F">
        <w:rPr>
          <w:rFonts w:asciiTheme="majorHAnsi" w:hAnsiTheme="majorHAnsi" w:cstheme="majorBidi"/>
          <w:sz w:val="22"/>
          <w:szCs w:val="22"/>
          <w:lang w:val="en-GB"/>
        </w:rPr>
        <w:t xml:space="preserve">thane slip </w:t>
      </w:r>
      <w:r w:rsidR="007B5BF4">
        <w:rPr>
          <w:rFonts w:asciiTheme="majorHAnsi" w:hAnsiTheme="majorHAnsi" w:cstheme="majorBidi"/>
          <w:sz w:val="22"/>
          <w:szCs w:val="22"/>
          <w:lang w:val="en-GB"/>
        </w:rPr>
        <w:t xml:space="preserve">refers to the </w:t>
      </w:r>
      <w:r w:rsidR="00E45BE0">
        <w:rPr>
          <w:rFonts w:asciiTheme="majorHAnsi" w:hAnsiTheme="majorHAnsi" w:cstheme="majorBidi"/>
          <w:sz w:val="22"/>
          <w:szCs w:val="22"/>
          <w:lang w:val="en-GB"/>
        </w:rPr>
        <w:t>leakage of unburned methane</w:t>
      </w:r>
      <w:r w:rsidR="00EA2735">
        <w:rPr>
          <w:rFonts w:asciiTheme="majorHAnsi" w:hAnsiTheme="majorHAnsi" w:cstheme="majorBidi"/>
          <w:sz w:val="22"/>
          <w:szCs w:val="22"/>
          <w:lang w:val="en-GB"/>
        </w:rPr>
        <w:t xml:space="preserve"> due to incomplete combustion or fuel </w:t>
      </w:r>
      <w:r w:rsidR="005F6405">
        <w:rPr>
          <w:rFonts w:asciiTheme="majorHAnsi" w:hAnsiTheme="majorHAnsi" w:cstheme="majorBidi"/>
          <w:sz w:val="22"/>
          <w:szCs w:val="22"/>
          <w:lang w:val="en-GB"/>
        </w:rPr>
        <w:t>concealed</w:t>
      </w:r>
      <w:r w:rsidR="00EA2735">
        <w:rPr>
          <w:rFonts w:asciiTheme="majorHAnsi" w:hAnsiTheme="majorHAnsi" w:cstheme="majorBidi"/>
          <w:sz w:val="22"/>
          <w:szCs w:val="22"/>
          <w:lang w:val="en-GB"/>
        </w:rPr>
        <w:t xml:space="preserve"> </w:t>
      </w:r>
      <w:r w:rsidR="005F6405">
        <w:rPr>
          <w:rFonts w:asciiTheme="majorHAnsi" w:hAnsiTheme="majorHAnsi" w:cstheme="majorBidi"/>
          <w:sz w:val="22"/>
          <w:szCs w:val="22"/>
          <w:lang w:val="en-GB"/>
        </w:rPr>
        <w:t>in the crevices of the combustion chamber during compression</w:t>
      </w:r>
      <w:r w:rsidR="00C84065">
        <w:rPr>
          <w:rFonts w:asciiTheme="majorHAnsi" w:hAnsiTheme="majorHAnsi" w:cstheme="majorBidi"/>
          <w:sz w:val="22"/>
          <w:szCs w:val="22"/>
          <w:lang w:val="en-GB"/>
        </w:rPr>
        <w:t xml:space="preserve"> </w:t>
      </w:r>
      <w:r w:rsidR="00C84065">
        <w:rPr>
          <w:rFonts w:asciiTheme="majorHAnsi" w:hAnsiTheme="majorHAnsi" w:cstheme="majorBidi"/>
          <w:sz w:val="22"/>
          <w:szCs w:val="22"/>
          <w:lang w:val="en-GB"/>
        </w:rPr>
        <w:fldChar w:fldCharType="begin" w:fldLock="1"/>
      </w:r>
      <w:r w:rsidR="00C84065">
        <w:rPr>
          <w:rFonts w:asciiTheme="majorHAnsi" w:hAnsiTheme="majorHAnsi" w:cstheme="majorBidi"/>
          <w:sz w:val="22"/>
          <w:szCs w:val="22"/>
          <w:lang w:val="en-GB"/>
        </w:rPr>
        <w:instrText>ADDIN CSL_CITATION {"citationItems":[{"id":"ITEM-1","itemData":{"author":[{"dropping-particle":"","family":"Pavlenko","given":"Authors Nikita","non-dropping-particle":"","parse-names":false,"suffix":""},{"dropping-particle":"","family":"Comer","given":"Bryan","non-dropping-particle":"","parse-names":false,"suffix":""},{"dropping-particle":"","family":"Zhou","given":"Yuanrong","non-dropping-particle":"","parse-names":false,"suffix":""},{"dropping-particle":"","family":"Clark","given":"Nigel","non-dropping-particle":"","parse-names":false,"suffix":""},{"dropping-particle":"","family":"Rutherford","given":"Dan","non-dropping-particle":"","parse-names":false,"suffix":""}],"id":"ITEM-1","issue":"January","issued":{"date-parts":[["2020"]]},"title":"The climate implications of using LNG as a marine fuel","type":"article-journal"},"uris":["http://www.mendeley.com/documents/?uuid=4935b8aa-fbec-4a26-b961-f8001214862b"]}],"mendeley":{"formattedCitation":"(Pavlenko et al., 2020)","plainTextFormattedCitation":"(Pavlenko et al., 2020)","previouslyFormattedCitation":"(Pavlenko et al., 2020)"},"properties":{"noteIndex":0},"schema":"https://github.com/citation-style-language/schema/raw/master/csl-citation.json"}</w:instrText>
      </w:r>
      <w:r w:rsidR="00C84065">
        <w:rPr>
          <w:rFonts w:asciiTheme="majorHAnsi" w:hAnsiTheme="majorHAnsi" w:cstheme="majorBidi"/>
          <w:sz w:val="22"/>
          <w:szCs w:val="22"/>
          <w:lang w:val="en-GB"/>
        </w:rPr>
        <w:fldChar w:fldCharType="separate"/>
      </w:r>
      <w:r w:rsidR="00C84065" w:rsidRPr="000B2E7F">
        <w:rPr>
          <w:rFonts w:asciiTheme="majorHAnsi" w:hAnsiTheme="majorHAnsi" w:cstheme="majorBidi"/>
          <w:noProof/>
          <w:sz w:val="22"/>
          <w:szCs w:val="22"/>
          <w:lang w:val="en-GB"/>
        </w:rPr>
        <w:t>(Pavlenko et al., 2020)</w:t>
      </w:r>
      <w:r w:rsidR="00C84065">
        <w:rPr>
          <w:rFonts w:asciiTheme="majorHAnsi" w:hAnsiTheme="majorHAnsi" w:cstheme="majorBidi"/>
          <w:sz w:val="22"/>
          <w:szCs w:val="22"/>
          <w:lang w:val="en-GB"/>
        </w:rPr>
        <w:fldChar w:fldCharType="end"/>
      </w:r>
      <w:r w:rsidR="006F332D">
        <w:rPr>
          <w:rFonts w:asciiTheme="majorHAnsi" w:hAnsiTheme="majorHAnsi" w:cstheme="majorBidi"/>
          <w:sz w:val="22"/>
          <w:szCs w:val="22"/>
          <w:lang w:val="en-GB"/>
        </w:rPr>
        <w:t xml:space="preserve">; which </w:t>
      </w:r>
      <w:r w:rsidR="00EC6F11">
        <w:rPr>
          <w:rFonts w:asciiTheme="majorHAnsi" w:hAnsiTheme="majorHAnsi" w:cstheme="majorBidi"/>
          <w:sz w:val="22"/>
          <w:szCs w:val="22"/>
          <w:lang w:val="en-GB"/>
        </w:rPr>
        <w:t xml:space="preserve">reduces </w:t>
      </w:r>
      <w:r w:rsidR="00B82A19">
        <w:rPr>
          <w:rFonts w:asciiTheme="majorHAnsi" w:hAnsiTheme="majorHAnsi" w:cstheme="majorBidi"/>
          <w:sz w:val="22"/>
          <w:szCs w:val="22"/>
          <w:lang w:val="en-GB"/>
        </w:rPr>
        <w:t xml:space="preserve">its GHG emissions advantage </w:t>
      </w:r>
      <w:r w:rsidR="00A60342">
        <w:rPr>
          <w:rFonts w:asciiTheme="majorHAnsi" w:hAnsiTheme="majorHAnsi" w:cstheme="majorBidi"/>
          <w:sz w:val="22"/>
          <w:szCs w:val="22"/>
          <w:lang w:val="en-GB"/>
        </w:rPr>
        <w:t>a</w:t>
      </w:r>
      <w:r w:rsidR="00B82A19">
        <w:rPr>
          <w:rFonts w:asciiTheme="majorHAnsi" w:hAnsiTheme="majorHAnsi" w:cstheme="majorBidi"/>
          <w:sz w:val="22"/>
          <w:szCs w:val="22"/>
          <w:lang w:val="en-GB"/>
        </w:rPr>
        <w:t xml:space="preserve">s methane </w:t>
      </w:r>
      <w:r w:rsidR="007C7194">
        <w:rPr>
          <w:rFonts w:asciiTheme="majorHAnsi" w:hAnsiTheme="majorHAnsi" w:cstheme="majorBidi"/>
          <w:sz w:val="22"/>
          <w:szCs w:val="22"/>
          <w:lang w:val="en-GB"/>
        </w:rPr>
        <w:t xml:space="preserve">has a global </w:t>
      </w:r>
      <w:r w:rsidR="000C6BD3">
        <w:rPr>
          <w:rFonts w:asciiTheme="majorHAnsi" w:hAnsiTheme="majorHAnsi" w:cstheme="majorBidi"/>
          <w:sz w:val="22"/>
          <w:szCs w:val="22"/>
          <w:lang w:val="en-GB"/>
        </w:rPr>
        <w:t>warming</w:t>
      </w:r>
      <w:r w:rsidR="007C7194">
        <w:rPr>
          <w:rFonts w:asciiTheme="majorHAnsi" w:hAnsiTheme="majorHAnsi" w:cstheme="majorBidi"/>
          <w:sz w:val="22"/>
          <w:szCs w:val="22"/>
          <w:lang w:val="en-GB"/>
        </w:rPr>
        <w:t xml:space="preserve"> </w:t>
      </w:r>
      <w:r w:rsidR="000C6BD3">
        <w:rPr>
          <w:rFonts w:asciiTheme="majorHAnsi" w:hAnsiTheme="majorHAnsi" w:cstheme="majorBidi"/>
          <w:sz w:val="22"/>
          <w:szCs w:val="22"/>
          <w:lang w:val="en-GB"/>
        </w:rPr>
        <w:t>potential greater than CO</w:t>
      </w:r>
      <w:r w:rsidR="000C6BD3">
        <w:rPr>
          <w:rFonts w:asciiTheme="majorHAnsi" w:hAnsiTheme="majorHAnsi" w:cstheme="majorBidi"/>
          <w:sz w:val="22"/>
          <w:szCs w:val="22"/>
          <w:vertAlign w:val="subscript"/>
          <w:lang w:val="en-GB"/>
        </w:rPr>
        <w:t>2</w:t>
      </w:r>
      <w:r w:rsidR="00F87665">
        <w:rPr>
          <w:rFonts w:asciiTheme="majorHAnsi" w:hAnsiTheme="majorHAnsi" w:cstheme="majorBidi"/>
          <w:sz w:val="22"/>
          <w:szCs w:val="22"/>
          <w:vertAlign w:val="subscript"/>
          <w:lang w:val="en-GB"/>
        </w:rPr>
        <w:t xml:space="preserve"> </w:t>
      </w:r>
      <w:r w:rsidR="00F87665">
        <w:rPr>
          <w:rFonts w:asciiTheme="majorHAnsi" w:hAnsiTheme="majorHAnsi" w:cstheme="majorBidi"/>
          <w:sz w:val="22"/>
          <w:szCs w:val="22"/>
          <w:vertAlign w:val="subscript"/>
          <w:lang w:val="en-GB"/>
        </w:rPr>
        <w:fldChar w:fldCharType="begin" w:fldLock="1"/>
      </w:r>
      <w:r w:rsidR="00882970">
        <w:rPr>
          <w:rFonts w:asciiTheme="majorHAnsi" w:hAnsiTheme="majorHAnsi" w:cstheme="majorBidi"/>
          <w:sz w:val="22"/>
          <w:szCs w:val="22"/>
          <w:vertAlign w:val="subscript"/>
          <w:lang w:val="en-GB"/>
        </w:rPr>
        <w:instrText>ADDIN CSL_CITATION {"citationItems":[{"id":"ITEM-1","itemData":{"URL":"https://www.wartsila.com/insights/article/mind-the-methane-gap","accessed":{"date-parts":[["2021","9","23"]]},"author":[{"dropping-particle":"","family":"Houston","given":"Craig","non-dropping-particle":"","parse-names":false,"suffix":""}],"id":"ITEM-1","issued":{"date-parts":[["2020"]]},"title":"Mind the methane gap","type":"webpage"},"uris":["http://www.mendeley.com/documents/?uuid=57c0db94-eae4-49a9-8370-3e529e4c3687"]}],"mendeley":{"formattedCitation":"(Houston, 2020)","plainTextFormattedCitation":"(Houston, 2020)","previouslyFormattedCitation":"(Houston, 2020)"},"properties":{"noteIndex":0},"schema":"https://github.com/citation-style-language/schema/raw/master/csl-citation.json"}</w:instrText>
      </w:r>
      <w:r w:rsidR="00F87665">
        <w:rPr>
          <w:rFonts w:asciiTheme="majorHAnsi" w:hAnsiTheme="majorHAnsi" w:cstheme="majorBidi"/>
          <w:sz w:val="22"/>
          <w:szCs w:val="22"/>
          <w:vertAlign w:val="subscript"/>
          <w:lang w:val="en-GB"/>
        </w:rPr>
        <w:fldChar w:fldCharType="separate"/>
      </w:r>
      <w:r w:rsidR="00E546CC" w:rsidRPr="00E546CC">
        <w:rPr>
          <w:rFonts w:asciiTheme="majorHAnsi" w:hAnsiTheme="majorHAnsi" w:cstheme="majorBidi"/>
          <w:noProof/>
          <w:sz w:val="22"/>
          <w:szCs w:val="22"/>
          <w:lang w:val="en-GB"/>
        </w:rPr>
        <w:t>(Houston, 2020)</w:t>
      </w:r>
      <w:r w:rsidR="00F87665">
        <w:rPr>
          <w:rFonts w:asciiTheme="majorHAnsi" w:hAnsiTheme="majorHAnsi" w:cstheme="majorBidi"/>
          <w:sz w:val="22"/>
          <w:szCs w:val="22"/>
          <w:vertAlign w:val="subscript"/>
          <w:lang w:val="en-GB"/>
        </w:rPr>
        <w:fldChar w:fldCharType="end"/>
      </w:r>
      <w:r w:rsidR="73128FCE" w:rsidRPr="5937A937">
        <w:rPr>
          <w:rFonts w:asciiTheme="majorHAnsi" w:hAnsiTheme="majorHAnsi" w:cstheme="majorBidi"/>
          <w:sz w:val="22"/>
          <w:szCs w:val="22"/>
          <w:lang w:val="en-GB"/>
        </w:rPr>
        <w:t>.</w:t>
      </w:r>
      <w:r w:rsidR="3529BE3B" w:rsidRPr="5937A937">
        <w:rPr>
          <w:rFonts w:asciiTheme="majorHAnsi" w:hAnsiTheme="majorHAnsi" w:cstheme="majorBidi"/>
          <w:sz w:val="22"/>
          <w:szCs w:val="22"/>
          <w:lang w:val="en-GB"/>
        </w:rPr>
        <w:t xml:space="preserve"> </w:t>
      </w:r>
      <w:proofErr w:type="gramStart"/>
      <w:r w:rsidR="73128FCE" w:rsidRPr="5937A937">
        <w:rPr>
          <w:rFonts w:asciiTheme="majorHAnsi" w:hAnsiTheme="majorHAnsi" w:cstheme="majorBidi"/>
          <w:sz w:val="22"/>
          <w:szCs w:val="22"/>
          <w:lang w:val="en-GB"/>
        </w:rPr>
        <w:t>A</w:t>
      </w:r>
      <w:r w:rsidR="3529BE3B" w:rsidRPr="5937A937">
        <w:rPr>
          <w:rFonts w:asciiTheme="majorHAnsi" w:hAnsiTheme="majorHAnsi" w:cstheme="majorBidi"/>
          <w:sz w:val="22"/>
          <w:szCs w:val="22"/>
          <w:lang w:val="en-GB"/>
        </w:rPr>
        <w:t>t the same time that</w:t>
      </w:r>
      <w:proofErr w:type="gramEnd"/>
      <w:r w:rsidR="3529BE3B" w:rsidRPr="5937A937">
        <w:rPr>
          <w:rFonts w:asciiTheme="majorHAnsi" w:hAnsiTheme="majorHAnsi" w:cstheme="majorBidi"/>
          <w:sz w:val="22"/>
          <w:szCs w:val="22"/>
          <w:lang w:val="en-GB"/>
        </w:rPr>
        <w:t xml:space="preserve"> the infrastructure could be </w:t>
      </w:r>
      <w:r w:rsidR="7F511A16" w:rsidRPr="5937A937">
        <w:rPr>
          <w:rFonts w:asciiTheme="majorHAnsi" w:hAnsiTheme="majorHAnsi" w:cstheme="majorBidi"/>
          <w:sz w:val="22"/>
          <w:szCs w:val="22"/>
          <w:lang w:val="en-GB"/>
        </w:rPr>
        <w:t>used</w:t>
      </w:r>
      <w:r w:rsidR="3529BE3B" w:rsidRPr="5937A937">
        <w:rPr>
          <w:rFonts w:asciiTheme="majorHAnsi" w:hAnsiTheme="majorHAnsi" w:cstheme="majorBidi"/>
          <w:sz w:val="22"/>
          <w:szCs w:val="22"/>
          <w:lang w:val="en-GB"/>
        </w:rPr>
        <w:t xml:space="preserve"> for </w:t>
      </w:r>
      <w:r w:rsidR="333F9A93" w:rsidRPr="5937A937">
        <w:rPr>
          <w:rFonts w:asciiTheme="majorHAnsi" w:hAnsiTheme="majorHAnsi" w:cstheme="majorBidi"/>
          <w:sz w:val="22"/>
          <w:szCs w:val="22"/>
          <w:lang w:val="en-GB"/>
        </w:rPr>
        <w:t>improved</w:t>
      </w:r>
      <w:r w:rsidR="4023F31B" w:rsidRPr="5937A937">
        <w:rPr>
          <w:rFonts w:asciiTheme="majorHAnsi" w:hAnsiTheme="majorHAnsi" w:cstheme="majorBidi"/>
          <w:sz w:val="22"/>
          <w:szCs w:val="22"/>
          <w:lang w:val="en-GB"/>
        </w:rPr>
        <w:t xml:space="preserve"> technologies</w:t>
      </w:r>
      <w:r w:rsidR="7F511A16" w:rsidRPr="5937A937">
        <w:rPr>
          <w:rFonts w:asciiTheme="majorHAnsi" w:hAnsiTheme="majorHAnsi" w:cstheme="majorBidi"/>
          <w:sz w:val="22"/>
          <w:szCs w:val="22"/>
          <w:lang w:val="en-GB"/>
        </w:rPr>
        <w:t xml:space="preserve"> </w:t>
      </w:r>
      <w:r w:rsidR="729F0F96" w:rsidRPr="5937A937">
        <w:rPr>
          <w:rFonts w:asciiTheme="majorHAnsi" w:hAnsiTheme="majorHAnsi" w:cstheme="majorBidi"/>
          <w:sz w:val="22"/>
          <w:szCs w:val="22"/>
          <w:lang w:val="en-GB"/>
        </w:rPr>
        <w:t>aiming</w:t>
      </w:r>
      <w:r w:rsidR="7F511A16" w:rsidRPr="5937A937">
        <w:rPr>
          <w:rFonts w:asciiTheme="majorHAnsi" w:hAnsiTheme="majorHAnsi" w:cstheme="majorBidi"/>
          <w:sz w:val="22"/>
          <w:szCs w:val="22"/>
          <w:lang w:val="en-GB"/>
        </w:rPr>
        <w:t xml:space="preserve"> higher decarbonisation</w:t>
      </w:r>
      <w:r w:rsidR="729F0F96" w:rsidRPr="5937A937">
        <w:rPr>
          <w:rFonts w:asciiTheme="majorHAnsi" w:hAnsiTheme="majorHAnsi" w:cstheme="majorBidi"/>
          <w:sz w:val="22"/>
          <w:szCs w:val="22"/>
          <w:lang w:val="en-GB"/>
        </w:rPr>
        <w:t xml:space="preserve">, such </w:t>
      </w:r>
      <w:r w:rsidR="00182AD5">
        <w:rPr>
          <w:rFonts w:asciiTheme="majorHAnsi" w:hAnsiTheme="majorHAnsi" w:cstheme="majorBidi"/>
          <w:sz w:val="22"/>
          <w:szCs w:val="22"/>
          <w:lang w:val="en-GB"/>
        </w:rPr>
        <w:t xml:space="preserve">hydrogen </w:t>
      </w:r>
      <w:r w:rsidR="00574D49">
        <w:rPr>
          <w:rFonts w:asciiTheme="majorHAnsi" w:hAnsiTheme="majorHAnsi" w:cstheme="majorBidi"/>
          <w:sz w:val="22"/>
          <w:szCs w:val="22"/>
          <w:lang w:val="en-GB"/>
        </w:rPr>
        <w:t xml:space="preserve">and </w:t>
      </w:r>
      <w:r w:rsidR="00182AD5">
        <w:rPr>
          <w:rFonts w:asciiTheme="majorHAnsi" w:hAnsiTheme="majorHAnsi" w:cstheme="majorBidi"/>
          <w:sz w:val="22"/>
          <w:szCs w:val="22"/>
          <w:lang w:val="en-GB"/>
        </w:rPr>
        <w:t>a</w:t>
      </w:r>
      <w:r w:rsidR="00182AD5" w:rsidRPr="5937A937">
        <w:rPr>
          <w:rFonts w:asciiTheme="majorHAnsi" w:hAnsiTheme="majorHAnsi" w:cstheme="majorBidi"/>
          <w:sz w:val="22"/>
          <w:szCs w:val="22"/>
          <w:lang w:val="en-GB"/>
        </w:rPr>
        <w:t>mmonia</w:t>
      </w:r>
      <w:r w:rsidR="00182AD5">
        <w:rPr>
          <w:rFonts w:asciiTheme="majorHAnsi" w:hAnsiTheme="majorHAnsi" w:cstheme="majorBidi"/>
          <w:sz w:val="22"/>
          <w:szCs w:val="22"/>
          <w:lang w:val="en-GB"/>
        </w:rPr>
        <w:t xml:space="preserve"> </w:t>
      </w:r>
      <w:r w:rsidR="00D37B05">
        <w:rPr>
          <w:rFonts w:asciiTheme="majorHAnsi" w:hAnsiTheme="majorHAnsi" w:cstheme="majorBidi"/>
          <w:sz w:val="22"/>
          <w:szCs w:val="22"/>
          <w:lang w:val="en-GB"/>
        </w:rPr>
        <w:t>(</w:t>
      </w:r>
      <w:r w:rsidR="00574D49">
        <w:rPr>
          <w:rFonts w:asciiTheme="majorHAnsi" w:hAnsiTheme="majorHAnsi" w:cstheme="majorBidi"/>
          <w:sz w:val="22"/>
          <w:szCs w:val="22"/>
          <w:lang w:val="en-GB"/>
        </w:rPr>
        <w:t xml:space="preserve">as alternative </w:t>
      </w:r>
      <w:r w:rsidR="00182AD5">
        <w:rPr>
          <w:rFonts w:asciiTheme="majorHAnsi" w:hAnsiTheme="majorHAnsi" w:cstheme="majorBidi"/>
          <w:sz w:val="22"/>
          <w:szCs w:val="22"/>
          <w:lang w:val="en-GB"/>
        </w:rPr>
        <w:t>h</w:t>
      </w:r>
      <w:r w:rsidR="00574D49">
        <w:rPr>
          <w:rFonts w:asciiTheme="majorHAnsi" w:hAnsiTheme="majorHAnsi" w:cstheme="majorBidi"/>
          <w:sz w:val="22"/>
          <w:szCs w:val="22"/>
          <w:lang w:val="en-GB"/>
        </w:rPr>
        <w:t>ydrogen carrier</w:t>
      </w:r>
      <w:r w:rsidR="00D37B05">
        <w:rPr>
          <w:rFonts w:asciiTheme="majorHAnsi" w:hAnsiTheme="majorHAnsi" w:cstheme="majorBidi"/>
          <w:sz w:val="22"/>
          <w:szCs w:val="22"/>
          <w:lang w:val="en-GB"/>
        </w:rPr>
        <w:t>)</w:t>
      </w:r>
      <w:r w:rsidR="00574D49">
        <w:rPr>
          <w:rFonts w:asciiTheme="majorHAnsi" w:hAnsiTheme="majorHAnsi" w:cstheme="majorBidi"/>
          <w:sz w:val="22"/>
          <w:szCs w:val="22"/>
          <w:lang w:val="en-GB"/>
        </w:rPr>
        <w:t>. Technologies to make these pathways commercial</w:t>
      </w:r>
      <w:r w:rsidR="00F70AF7">
        <w:rPr>
          <w:rFonts w:asciiTheme="majorHAnsi" w:hAnsiTheme="majorHAnsi" w:cstheme="majorBidi"/>
          <w:sz w:val="22"/>
          <w:szCs w:val="22"/>
          <w:lang w:val="en-GB"/>
        </w:rPr>
        <w:t>ly</w:t>
      </w:r>
      <w:r w:rsidR="00574D49">
        <w:rPr>
          <w:rFonts w:asciiTheme="majorHAnsi" w:hAnsiTheme="majorHAnsi" w:cstheme="majorBidi"/>
          <w:sz w:val="22"/>
          <w:szCs w:val="22"/>
          <w:lang w:val="en-GB"/>
        </w:rPr>
        <w:t xml:space="preserve"> viable are still in development</w:t>
      </w:r>
      <w:r w:rsidR="3806171F" w:rsidRPr="5937A937">
        <w:rPr>
          <w:rFonts w:asciiTheme="majorHAnsi" w:hAnsiTheme="majorHAnsi" w:cstheme="majorBidi"/>
          <w:sz w:val="22"/>
          <w:szCs w:val="22"/>
          <w:lang w:val="en-GB"/>
        </w:rPr>
        <w:t xml:space="preserve"> </w:t>
      </w:r>
      <w:r w:rsidR="00F70AF7">
        <w:rPr>
          <w:rFonts w:asciiTheme="majorHAnsi" w:hAnsiTheme="majorHAnsi" w:cstheme="majorBidi"/>
          <w:sz w:val="22"/>
          <w:szCs w:val="22"/>
          <w:lang w:val="en-GB"/>
        </w:rPr>
        <w:t>stages</w:t>
      </w:r>
      <w:r w:rsidR="00574D49">
        <w:rPr>
          <w:rFonts w:asciiTheme="majorHAnsi" w:hAnsiTheme="majorHAnsi" w:cstheme="majorBidi"/>
          <w:sz w:val="22"/>
          <w:szCs w:val="22"/>
          <w:lang w:val="en-GB"/>
        </w:rPr>
        <w:t xml:space="preserve">. </w:t>
      </w:r>
      <w:r w:rsidR="3806171F" w:rsidRPr="5937A937">
        <w:rPr>
          <w:rFonts w:asciiTheme="majorHAnsi" w:hAnsiTheme="majorHAnsi" w:cstheme="majorBidi"/>
          <w:sz w:val="22"/>
          <w:szCs w:val="22"/>
          <w:lang w:val="en-GB"/>
        </w:rPr>
        <w:t xml:space="preserve">The </w:t>
      </w:r>
      <w:r w:rsidR="6C0CF426" w:rsidRPr="5937A937">
        <w:rPr>
          <w:rFonts w:asciiTheme="majorHAnsi" w:hAnsiTheme="majorHAnsi" w:cstheme="majorBidi"/>
          <w:sz w:val="22"/>
          <w:szCs w:val="22"/>
          <w:lang w:val="en-GB"/>
        </w:rPr>
        <w:t>details</w:t>
      </w:r>
      <w:r w:rsidR="3806171F" w:rsidRPr="5937A937">
        <w:rPr>
          <w:rFonts w:asciiTheme="majorHAnsi" w:hAnsiTheme="majorHAnsi" w:cstheme="majorBidi"/>
          <w:sz w:val="22"/>
          <w:szCs w:val="22"/>
          <w:lang w:val="en-GB"/>
        </w:rPr>
        <w:t xml:space="preserve"> of each alternative will be </w:t>
      </w:r>
      <w:r w:rsidR="4DE65711" w:rsidRPr="5937A937">
        <w:rPr>
          <w:rFonts w:asciiTheme="majorHAnsi" w:hAnsiTheme="majorHAnsi" w:cstheme="majorBidi"/>
          <w:sz w:val="22"/>
          <w:szCs w:val="22"/>
          <w:lang w:val="en-GB"/>
        </w:rPr>
        <w:t xml:space="preserve">further </w:t>
      </w:r>
      <w:r w:rsidR="3806171F" w:rsidRPr="5937A937">
        <w:rPr>
          <w:rFonts w:asciiTheme="majorHAnsi" w:hAnsiTheme="majorHAnsi" w:cstheme="majorBidi"/>
          <w:sz w:val="22"/>
          <w:szCs w:val="22"/>
          <w:lang w:val="en-GB"/>
        </w:rPr>
        <w:t>discussed.</w:t>
      </w:r>
    </w:p>
    <w:p w14:paraId="61420DA2" w14:textId="58AD2E87" w:rsidR="5937A937" w:rsidRDefault="5937A937" w:rsidP="00B76241">
      <w:pPr>
        <w:spacing w:after="120" w:line="360" w:lineRule="auto"/>
        <w:rPr>
          <w:szCs w:val="21"/>
          <w:lang w:val="en-GB"/>
        </w:rPr>
      </w:pPr>
    </w:p>
    <w:p w14:paraId="60AFA6C8" w14:textId="1190FEE0" w:rsidR="000924CE" w:rsidRPr="00E24E04" w:rsidRDefault="00BA28AF" w:rsidP="002F7E75">
      <w:pPr>
        <w:pStyle w:val="Heading2"/>
      </w:pPr>
      <w:bookmarkStart w:id="21" w:name="_Toc85627863"/>
      <w:r>
        <w:t xml:space="preserve">Marine </w:t>
      </w:r>
      <w:r w:rsidR="006C622D">
        <w:t xml:space="preserve">Fossil Liquid </w:t>
      </w:r>
      <w:r w:rsidR="00DB7091">
        <w:t>Fuels</w:t>
      </w:r>
      <w:bookmarkEnd w:id="21"/>
    </w:p>
    <w:p w14:paraId="00D3AEF4" w14:textId="32AC1F01" w:rsidR="00DB6498" w:rsidRPr="00E24E04" w:rsidRDefault="55C05BF0" w:rsidP="5937A937">
      <w:pPr>
        <w:spacing w:after="120" w:line="360" w:lineRule="auto"/>
        <w:ind w:firstLine="720"/>
        <w:rPr>
          <w:rFonts w:asciiTheme="majorHAnsi" w:hAnsiTheme="majorHAnsi" w:cstheme="majorBidi"/>
          <w:sz w:val="22"/>
          <w:szCs w:val="22"/>
          <w:lang w:val="en-GB"/>
        </w:rPr>
      </w:pPr>
      <w:r w:rsidRPr="5937A937">
        <w:rPr>
          <w:rFonts w:asciiTheme="majorHAnsi" w:hAnsiTheme="majorHAnsi" w:cstheme="majorBidi"/>
          <w:sz w:val="22"/>
          <w:szCs w:val="22"/>
          <w:lang w:val="en-GB"/>
        </w:rPr>
        <w:t>Marine</w:t>
      </w:r>
      <w:r w:rsidR="1094A63D" w:rsidRPr="5937A937">
        <w:rPr>
          <w:rFonts w:asciiTheme="majorHAnsi" w:hAnsiTheme="majorHAnsi" w:cstheme="majorBidi"/>
          <w:sz w:val="22"/>
          <w:szCs w:val="22"/>
          <w:lang w:val="en-GB"/>
        </w:rPr>
        <w:t xml:space="preserve"> fossil</w:t>
      </w:r>
      <w:r w:rsidRPr="5937A937">
        <w:rPr>
          <w:rFonts w:asciiTheme="majorHAnsi" w:hAnsiTheme="majorHAnsi" w:cstheme="majorBidi"/>
          <w:sz w:val="22"/>
          <w:szCs w:val="22"/>
          <w:lang w:val="en-GB"/>
        </w:rPr>
        <w:t xml:space="preserve"> liquid fuels are </w:t>
      </w:r>
      <w:r w:rsidR="6E408913" w:rsidRPr="5937A937">
        <w:rPr>
          <w:rFonts w:asciiTheme="majorHAnsi" w:hAnsiTheme="majorHAnsi" w:cstheme="majorBidi"/>
          <w:sz w:val="22"/>
          <w:szCs w:val="22"/>
          <w:lang w:val="en-GB"/>
        </w:rPr>
        <w:t>classified</w:t>
      </w:r>
      <w:r w:rsidRPr="5937A937">
        <w:rPr>
          <w:rFonts w:asciiTheme="majorHAnsi" w:hAnsiTheme="majorHAnsi" w:cstheme="majorBidi"/>
          <w:sz w:val="22"/>
          <w:szCs w:val="22"/>
          <w:lang w:val="en-GB"/>
        </w:rPr>
        <w:t xml:space="preserve"> </w:t>
      </w:r>
      <w:r w:rsidR="3A4E168D" w:rsidRPr="5937A937">
        <w:rPr>
          <w:rFonts w:asciiTheme="majorHAnsi" w:hAnsiTheme="majorHAnsi" w:cstheme="majorBidi"/>
          <w:sz w:val="22"/>
          <w:szCs w:val="22"/>
          <w:lang w:val="en-GB"/>
        </w:rPr>
        <w:t>between</w:t>
      </w:r>
      <w:r w:rsidRPr="5937A937">
        <w:rPr>
          <w:rFonts w:asciiTheme="majorHAnsi" w:hAnsiTheme="majorHAnsi" w:cstheme="majorBidi"/>
          <w:sz w:val="22"/>
          <w:szCs w:val="22"/>
          <w:lang w:val="en-GB"/>
        </w:rPr>
        <w:t xml:space="preserve"> </w:t>
      </w:r>
      <w:r w:rsidR="7A0814F4" w:rsidRPr="5937A937">
        <w:rPr>
          <w:rFonts w:asciiTheme="majorHAnsi" w:hAnsiTheme="majorHAnsi" w:cstheme="majorBidi"/>
          <w:sz w:val="22"/>
          <w:szCs w:val="22"/>
          <w:lang w:val="en-GB"/>
        </w:rPr>
        <w:t>distillate</w:t>
      </w:r>
      <w:r w:rsidR="3A4E168D" w:rsidRPr="5937A937">
        <w:rPr>
          <w:rFonts w:asciiTheme="majorHAnsi" w:hAnsiTheme="majorHAnsi" w:cstheme="majorBidi"/>
          <w:sz w:val="22"/>
          <w:szCs w:val="22"/>
          <w:lang w:val="en-GB"/>
        </w:rPr>
        <w:t>s and residual</w:t>
      </w:r>
      <w:proofErr w:type="gramStart"/>
      <w:r w:rsidR="00E31F0F">
        <w:rPr>
          <w:rFonts w:asciiTheme="majorHAnsi" w:hAnsiTheme="majorHAnsi" w:cstheme="majorBidi"/>
          <w:sz w:val="22"/>
          <w:szCs w:val="22"/>
          <w:lang w:val="en-GB"/>
        </w:rPr>
        <w:t xml:space="preserve">. </w:t>
      </w:r>
      <w:r w:rsidR="05853F81" w:rsidRPr="5937A937">
        <w:rPr>
          <w:rFonts w:asciiTheme="majorHAnsi" w:hAnsiTheme="majorHAnsi" w:cstheme="majorBidi"/>
          <w:sz w:val="22"/>
          <w:szCs w:val="22"/>
          <w:lang w:val="en-GB"/>
        </w:rPr>
        <w:t xml:space="preserve"> </w:t>
      </w:r>
      <w:proofErr w:type="gramEnd"/>
      <w:r w:rsidR="00E31F0F">
        <w:rPr>
          <w:rFonts w:asciiTheme="majorHAnsi" w:hAnsiTheme="majorHAnsi" w:cstheme="majorBidi"/>
          <w:sz w:val="22"/>
          <w:szCs w:val="22"/>
          <w:lang w:val="en-GB"/>
        </w:rPr>
        <w:t xml:space="preserve">They </w:t>
      </w:r>
      <w:r w:rsidR="05853F81" w:rsidRPr="5937A937">
        <w:rPr>
          <w:rFonts w:asciiTheme="majorHAnsi" w:hAnsiTheme="majorHAnsi" w:cstheme="majorBidi"/>
          <w:sz w:val="22"/>
          <w:szCs w:val="22"/>
          <w:lang w:val="en-GB"/>
        </w:rPr>
        <w:t xml:space="preserve">must comply with </w:t>
      </w:r>
      <w:r w:rsidR="20FC0DD7" w:rsidRPr="5937A937">
        <w:rPr>
          <w:rFonts w:asciiTheme="majorHAnsi" w:hAnsiTheme="majorHAnsi" w:cstheme="majorBidi"/>
          <w:sz w:val="22"/>
          <w:szCs w:val="22"/>
          <w:lang w:val="en-GB"/>
        </w:rPr>
        <w:t xml:space="preserve">the specifications determined </w:t>
      </w:r>
      <w:r w:rsidR="1094A63D" w:rsidRPr="5937A937">
        <w:rPr>
          <w:rFonts w:asciiTheme="majorHAnsi" w:hAnsiTheme="majorHAnsi" w:cstheme="majorBidi"/>
          <w:sz w:val="22"/>
          <w:szCs w:val="22"/>
          <w:lang w:val="en-GB"/>
        </w:rPr>
        <w:t>in</w:t>
      </w:r>
      <w:r w:rsidR="20FC0DD7" w:rsidRPr="5937A937">
        <w:rPr>
          <w:rFonts w:asciiTheme="majorHAnsi" w:hAnsiTheme="majorHAnsi" w:cstheme="majorBidi"/>
          <w:sz w:val="22"/>
          <w:szCs w:val="22"/>
          <w:lang w:val="en-GB"/>
        </w:rPr>
        <w:t xml:space="preserve"> ISO 8217</w:t>
      </w:r>
      <w:r w:rsidR="3FCC607C" w:rsidRPr="5937A937">
        <w:rPr>
          <w:rFonts w:asciiTheme="majorHAnsi" w:hAnsiTheme="majorHAnsi" w:cstheme="majorBidi"/>
          <w:sz w:val="22"/>
          <w:szCs w:val="22"/>
          <w:lang w:val="en-GB"/>
        </w:rPr>
        <w:t>, which specifies the requirements for fuels used in marine engines</w:t>
      </w:r>
      <w:r w:rsidR="59C6498A" w:rsidRPr="5937A937">
        <w:rPr>
          <w:rFonts w:asciiTheme="majorHAnsi" w:hAnsiTheme="majorHAnsi" w:cstheme="majorBidi"/>
          <w:sz w:val="22"/>
          <w:szCs w:val="22"/>
          <w:lang w:val="en-GB"/>
        </w:rPr>
        <w:t xml:space="preserve">, </w:t>
      </w:r>
      <w:proofErr w:type="gramStart"/>
      <w:r w:rsidR="59C6498A" w:rsidRPr="5937A937">
        <w:rPr>
          <w:rFonts w:asciiTheme="majorHAnsi" w:hAnsiTheme="majorHAnsi" w:cstheme="majorBidi"/>
          <w:sz w:val="22"/>
          <w:szCs w:val="22"/>
          <w:lang w:val="en-GB"/>
        </w:rPr>
        <w:t>boilers</w:t>
      </w:r>
      <w:proofErr w:type="gramEnd"/>
      <w:r w:rsidR="59C6498A" w:rsidRPr="5937A937">
        <w:rPr>
          <w:rFonts w:asciiTheme="majorHAnsi" w:hAnsiTheme="majorHAnsi" w:cstheme="majorBidi"/>
          <w:sz w:val="22"/>
          <w:szCs w:val="22"/>
          <w:lang w:val="en-GB"/>
        </w:rPr>
        <w:t xml:space="preserve"> and stationary diesel engines</w:t>
      </w:r>
      <w:r w:rsidR="3FCC607C" w:rsidRPr="5937A937">
        <w:rPr>
          <w:rFonts w:asciiTheme="majorHAnsi" w:hAnsiTheme="majorHAnsi" w:cstheme="majorBidi"/>
          <w:sz w:val="22"/>
          <w:szCs w:val="22"/>
          <w:lang w:val="en-GB"/>
        </w:rPr>
        <w:t>.</w:t>
      </w:r>
      <w:r w:rsidR="50052A56" w:rsidRPr="5937A937">
        <w:rPr>
          <w:rFonts w:asciiTheme="majorHAnsi" w:hAnsiTheme="majorHAnsi" w:cstheme="majorBidi"/>
          <w:sz w:val="22"/>
          <w:szCs w:val="22"/>
          <w:lang w:val="en-GB"/>
        </w:rPr>
        <w:t xml:space="preserve">  It </w:t>
      </w:r>
      <w:r w:rsidR="2D1127CC" w:rsidRPr="5937A937">
        <w:rPr>
          <w:rFonts w:asciiTheme="majorHAnsi" w:hAnsiTheme="majorHAnsi" w:cstheme="majorBidi"/>
          <w:sz w:val="22"/>
          <w:szCs w:val="22"/>
          <w:lang w:val="en-GB"/>
        </w:rPr>
        <w:t xml:space="preserve">sets </w:t>
      </w:r>
      <w:r w:rsidR="000A6122">
        <w:rPr>
          <w:rFonts w:asciiTheme="majorHAnsi" w:hAnsiTheme="majorHAnsi" w:cstheme="majorBidi"/>
          <w:sz w:val="22"/>
          <w:szCs w:val="22"/>
          <w:lang w:val="en-GB"/>
        </w:rPr>
        <w:t>seven</w:t>
      </w:r>
      <w:r w:rsidR="2D1127CC" w:rsidRPr="5937A937">
        <w:rPr>
          <w:rFonts w:asciiTheme="majorHAnsi" w:hAnsiTheme="majorHAnsi" w:cstheme="majorBidi"/>
          <w:sz w:val="22"/>
          <w:szCs w:val="22"/>
          <w:lang w:val="en-GB"/>
        </w:rPr>
        <w:t xml:space="preserve"> categories of distillate and </w:t>
      </w:r>
      <w:r w:rsidR="000A6122">
        <w:rPr>
          <w:rFonts w:asciiTheme="majorHAnsi" w:hAnsiTheme="majorHAnsi" w:cstheme="majorBidi"/>
          <w:sz w:val="22"/>
          <w:szCs w:val="22"/>
          <w:lang w:val="en-GB"/>
        </w:rPr>
        <w:t>six</w:t>
      </w:r>
      <w:r w:rsidR="2D1127CC" w:rsidRPr="5937A937">
        <w:rPr>
          <w:rFonts w:asciiTheme="majorHAnsi" w:hAnsiTheme="majorHAnsi" w:cstheme="majorBidi"/>
          <w:sz w:val="22"/>
          <w:szCs w:val="22"/>
          <w:lang w:val="en-GB"/>
        </w:rPr>
        <w:t xml:space="preserve"> for residual fuels</w:t>
      </w:r>
      <w:r w:rsidR="00643BE2">
        <w:rPr>
          <w:rFonts w:asciiTheme="majorHAnsi" w:hAnsiTheme="majorHAnsi" w:cstheme="majorBidi"/>
          <w:sz w:val="22"/>
          <w:szCs w:val="22"/>
          <w:lang w:val="en-GB"/>
        </w:rPr>
        <w:t xml:space="preserve"> </w:t>
      </w:r>
      <w:r w:rsidR="00643BE2">
        <w:rPr>
          <w:rFonts w:asciiTheme="majorHAnsi" w:hAnsiTheme="majorHAnsi" w:cstheme="majorBidi"/>
          <w:sz w:val="22"/>
          <w:szCs w:val="22"/>
          <w:lang w:val="en-GB"/>
        </w:rPr>
        <w:fldChar w:fldCharType="begin" w:fldLock="1"/>
      </w:r>
      <w:r w:rsidR="00213D1A">
        <w:rPr>
          <w:rFonts w:asciiTheme="majorHAnsi" w:hAnsiTheme="majorHAnsi" w:cstheme="majorBidi"/>
          <w:sz w:val="22"/>
          <w:szCs w:val="22"/>
          <w:lang w:val="en-GB"/>
        </w:rPr>
        <w:instrText>ADDIN CSL_CITATION {"citationItems":[{"id":"ITEM-1","itemData":{"URL":"https://www.oiltanking.com/en/news-info/glossary/details/term/lng-liquefied-natural-gas.html","accessed":{"date-parts":[["2021","9","20"]]},"author":[{"dropping-particle":"","family":"Oiltanking GmbH","given":"","non-dropping-particle":"","parse-names":false,"suffix":""}],"id":"ITEM-1","issued":{"date-parts":[["0"]]},"title":"Important Terms from A to Z","type":"webpage"},"uris":["http://www.mendeley.com/documents/?uuid=af4dbd65-d916-4cdd-ab29-21ac7ff36c99"]}],"mendeley":{"formattedCitation":"(Oiltanking GmbH, n.d.)","plainTextFormattedCitation":"(Oiltanking GmbH, n.d.)","previouslyFormattedCitation":"(Oiltanking GmbH, n.d.)"},"properties":{"noteIndex":0},"schema":"https://github.com/citation-style-language/schema/raw/master/csl-citation.json"}</w:instrText>
      </w:r>
      <w:r w:rsidR="00643BE2">
        <w:rPr>
          <w:rFonts w:asciiTheme="majorHAnsi" w:hAnsiTheme="majorHAnsi" w:cstheme="majorBidi"/>
          <w:sz w:val="22"/>
          <w:szCs w:val="22"/>
          <w:lang w:val="en-GB"/>
        </w:rPr>
        <w:fldChar w:fldCharType="separate"/>
      </w:r>
      <w:r w:rsidR="00643BE2" w:rsidRPr="00643BE2">
        <w:rPr>
          <w:rFonts w:asciiTheme="majorHAnsi" w:hAnsiTheme="majorHAnsi" w:cstheme="majorBidi"/>
          <w:noProof/>
          <w:sz w:val="22"/>
          <w:szCs w:val="22"/>
          <w:lang w:val="en-GB"/>
        </w:rPr>
        <w:t>(Oiltanking GmbH, n.d.)</w:t>
      </w:r>
      <w:r w:rsidR="00643BE2">
        <w:rPr>
          <w:rFonts w:asciiTheme="majorHAnsi" w:hAnsiTheme="majorHAnsi" w:cstheme="majorBidi"/>
          <w:sz w:val="22"/>
          <w:szCs w:val="22"/>
          <w:lang w:val="en-GB"/>
        </w:rPr>
        <w:fldChar w:fldCharType="end"/>
      </w:r>
      <w:r w:rsidR="2D1127CC" w:rsidRPr="5937A937">
        <w:rPr>
          <w:rFonts w:asciiTheme="majorHAnsi" w:hAnsiTheme="majorHAnsi" w:cstheme="majorBidi"/>
          <w:sz w:val="22"/>
          <w:szCs w:val="22"/>
          <w:lang w:val="en-GB"/>
        </w:rPr>
        <w:t>.</w:t>
      </w:r>
      <w:r w:rsidR="00182AD5">
        <w:rPr>
          <w:rFonts w:asciiTheme="majorHAnsi" w:hAnsiTheme="majorHAnsi" w:cstheme="majorHAnsi"/>
          <w:sz w:val="22"/>
          <w:szCs w:val="22"/>
          <w:lang w:val="en-GB"/>
        </w:rPr>
        <w:t xml:space="preserve"> </w:t>
      </w:r>
      <w:r w:rsidR="44332088" w:rsidRPr="791B8135">
        <w:rPr>
          <w:rFonts w:asciiTheme="majorHAnsi" w:hAnsiTheme="majorHAnsi" w:cstheme="majorBidi"/>
          <w:sz w:val="22"/>
          <w:szCs w:val="22"/>
          <w:lang w:val="en-GB"/>
        </w:rPr>
        <w:t xml:space="preserve">Distillate fuels encompass marine gas oil (MGO) and marine diesel oil (MDO). The first, </w:t>
      </w:r>
      <w:r w:rsidR="0091719F">
        <w:rPr>
          <w:rFonts w:asciiTheme="majorHAnsi" w:hAnsiTheme="majorHAnsi" w:cstheme="majorBidi"/>
          <w:sz w:val="22"/>
          <w:szCs w:val="22"/>
          <w:lang w:val="en-GB"/>
        </w:rPr>
        <w:t xml:space="preserve">and </w:t>
      </w:r>
      <w:r w:rsidR="6092D1C3" w:rsidRPr="791B8135">
        <w:rPr>
          <w:rFonts w:asciiTheme="majorHAnsi" w:hAnsiTheme="majorHAnsi" w:cstheme="majorBidi"/>
          <w:sz w:val="22"/>
          <w:szCs w:val="22"/>
          <w:lang w:val="en-GB"/>
        </w:rPr>
        <w:t>mostly traded</w:t>
      </w:r>
      <w:r w:rsidR="44332088" w:rsidRPr="791B8135">
        <w:rPr>
          <w:rFonts w:asciiTheme="majorHAnsi" w:hAnsiTheme="majorHAnsi" w:cstheme="majorBidi"/>
          <w:sz w:val="22"/>
          <w:szCs w:val="22"/>
          <w:lang w:val="en-GB"/>
        </w:rPr>
        <w:t xml:space="preserve"> as DMA</w:t>
      </w:r>
      <w:r w:rsidR="0091719F">
        <w:rPr>
          <w:rFonts w:asciiTheme="majorHAnsi" w:hAnsiTheme="majorHAnsi" w:cstheme="majorBidi"/>
          <w:sz w:val="22"/>
          <w:szCs w:val="22"/>
          <w:lang w:val="en-GB"/>
        </w:rPr>
        <w:t>. It</w:t>
      </w:r>
      <w:r w:rsidR="44332088" w:rsidRPr="791B8135">
        <w:rPr>
          <w:rFonts w:asciiTheme="majorHAnsi" w:hAnsiTheme="majorHAnsi" w:cstheme="majorBidi"/>
          <w:sz w:val="22"/>
          <w:szCs w:val="22"/>
          <w:lang w:val="en-GB"/>
        </w:rPr>
        <w:t xml:space="preserve"> </w:t>
      </w:r>
      <w:r w:rsidR="151359FB" w:rsidRPr="791B8135">
        <w:rPr>
          <w:rFonts w:asciiTheme="majorHAnsi" w:hAnsiTheme="majorHAnsi" w:cstheme="majorBidi"/>
          <w:sz w:val="22"/>
          <w:szCs w:val="22"/>
          <w:lang w:val="en-GB"/>
        </w:rPr>
        <w:t xml:space="preserve">is a light fraction of oil </w:t>
      </w:r>
      <w:r w:rsidR="723B858F" w:rsidRPr="791B8135">
        <w:rPr>
          <w:rFonts w:asciiTheme="majorHAnsi" w:hAnsiTheme="majorHAnsi" w:cstheme="majorBidi"/>
          <w:sz w:val="22"/>
          <w:szCs w:val="22"/>
          <w:lang w:val="en-GB"/>
        </w:rPr>
        <w:t>containing about 60</w:t>
      </w:r>
      <w:r w:rsidR="0091719F">
        <w:rPr>
          <w:rFonts w:asciiTheme="majorHAnsi" w:hAnsiTheme="majorHAnsi" w:cstheme="majorBidi"/>
          <w:sz w:val="22"/>
          <w:szCs w:val="22"/>
          <w:lang w:val="en-GB"/>
        </w:rPr>
        <w:t xml:space="preserve"> </w:t>
      </w:r>
      <w:r w:rsidR="723B858F" w:rsidRPr="791B8135">
        <w:rPr>
          <w:rFonts w:asciiTheme="majorHAnsi" w:hAnsiTheme="majorHAnsi" w:cstheme="majorBidi"/>
          <w:sz w:val="22"/>
          <w:szCs w:val="22"/>
          <w:lang w:val="en-GB"/>
        </w:rPr>
        <w:t xml:space="preserve">% of aromatics </w:t>
      </w:r>
      <w:r w:rsidR="50C51DCF" w:rsidRPr="791B8135">
        <w:rPr>
          <w:rFonts w:asciiTheme="majorHAnsi" w:hAnsiTheme="majorHAnsi" w:cstheme="majorBidi"/>
          <w:sz w:val="22"/>
          <w:szCs w:val="22"/>
          <w:lang w:val="en-GB"/>
        </w:rPr>
        <w:t>with</w:t>
      </w:r>
      <w:r w:rsidR="723B858F" w:rsidRPr="791B8135">
        <w:rPr>
          <w:rFonts w:asciiTheme="majorHAnsi" w:hAnsiTheme="majorHAnsi" w:cstheme="majorBidi"/>
          <w:sz w:val="22"/>
          <w:szCs w:val="22"/>
          <w:lang w:val="en-GB"/>
        </w:rPr>
        <w:t xml:space="preserve"> low </w:t>
      </w:r>
      <w:r w:rsidR="20CAE605" w:rsidRPr="791B8135">
        <w:rPr>
          <w:rFonts w:asciiTheme="majorHAnsi" w:hAnsiTheme="majorHAnsi" w:cstheme="majorBidi"/>
          <w:sz w:val="22"/>
          <w:szCs w:val="22"/>
          <w:lang w:val="en-GB"/>
        </w:rPr>
        <w:t>sulphur</w:t>
      </w:r>
      <w:r w:rsidR="723B858F" w:rsidRPr="791B8135">
        <w:rPr>
          <w:rFonts w:asciiTheme="majorHAnsi" w:hAnsiTheme="majorHAnsi" w:cstheme="majorBidi"/>
          <w:sz w:val="22"/>
          <w:szCs w:val="22"/>
          <w:lang w:val="en-GB"/>
        </w:rPr>
        <w:t xml:space="preserve"> content</w:t>
      </w:r>
      <w:r w:rsidR="7A17970C" w:rsidRPr="791B8135">
        <w:rPr>
          <w:rFonts w:asciiTheme="majorHAnsi" w:hAnsiTheme="majorHAnsi" w:cstheme="majorBidi"/>
          <w:sz w:val="22"/>
          <w:szCs w:val="22"/>
          <w:lang w:val="en-GB"/>
        </w:rPr>
        <w:t xml:space="preserve"> </w:t>
      </w:r>
      <w:r w:rsidR="1A61ABC1" w:rsidRPr="791B8135">
        <w:rPr>
          <w:rFonts w:asciiTheme="majorHAnsi" w:hAnsiTheme="majorHAnsi" w:cstheme="majorBidi"/>
          <w:sz w:val="22"/>
          <w:szCs w:val="22"/>
          <w:lang w:val="en-GB"/>
        </w:rPr>
        <w:t>(&gt;</w:t>
      </w:r>
      <w:r w:rsidR="7A17970C" w:rsidRPr="791B8135">
        <w:rPr>
          <w:rFonts w:asciiTheme="majorHAnsi" w:hAnsiTheme="majorHAnsi" w:cstheme="majorBidi"/>
          <w:sz w:val="22"/>
          <w:szCs w:val="22"/>
          <w:lang w:val="en-GB"/>
        </w:rPr>
        <w:t xml:space="preserve"> 0</w:t>
      </w:r>
      <w:r w:rsidR="311209CF" w:rsidRPr="791B8135">
        <w:rPr>
          <w:rFonts w:asciiTheme="majorHAnsi" w:hAnsiTheme="majorHAnsi" w:cstheme="majorBidi"/>
          <w:sz w:val="22"/>
          <w:szCs w:val="22"/>
          <w:lang w:val="en-GB"/>
        </w:rPr>
        <w:t xml:space="preserve">.10 – 1.8 % </w:t>
      </w:r>
      <w:r w:rsidR="249BD49C" w:rsidRPr="791B8135">
        <w:rPr>
          <w:rFonts w:asciiTheme="majorHAnsi" w:hAnsiTheme="majorHAnsi" w:cstheme="majorBidi"/>
          <w:sz w:val="22"/>
          <w:szCs w:val="22"/>
          <w:lang w:val="en-GB"/>
        </w:rPr>
        <w:t>w/w</w:t>
      </w:r>
      <w:r w:rsidR="311209CF" w:rsidRPr="791B8135">
        <w:rPr>
          <w:rFonts w:asciiTheme="majorHAnsi" w:hAnsiTheme="majorHAnsi" w:cstheme="majorBidi"/>
          <w:sz w:val="22"/>
          <w:szCs w:val="22"/>
          <w:lang w:val="en-GB"/>
        </w:rPr>
        <w:t>)</w:t>
      </w:r>
      <w:r w:rsidR="5A00B59B" w:rsidRPr="791B8135">
        <w:rPr>
          <w:rFonts w:asciiTheme="majorHAnsi" w:hAnsiTheme="majorHAnsi" w:cstheme="majorBidi"/>
          <w:sz w:val="22"/>
          <w:szCs w:val="22"/>
          <w:lang w:val="en-GB"/>
        </w:rPr>
        <w:t xml:space="preserve">. </w:t>
      </w:r>
      <w:r w:rsidR="7896B995" w:rsidRPr="791B8135">
        <w:rPr>
          <w:rFonts w:asciiTheme="majorHAnsi" w:hAnsiTheme="majorHAnsi" w:cstheme="majorBidi"/>
          <w:sz w:val="22"/>
          <w:szCs w:val="22"/>
          <w:lang w:val="en-GB"/>
        </w:rPr>
        <w:t>It is u</w:t>
      </w:r>
      <w:r w:rsidR="50F2623C" w:rsidRPr="791B8135">
        <w:rPr>
          <w:rFonts w:asciiTheme="majorHAnsi" w:hAnsiTheme="majorHAnsi" w:cstheme="majorBidi"/>
          <w:sz w:val="22"/>
          <w:szCs w:val="22"/>
          <w:lang w:val="en-GB"/>
        </w:rPr>
        <w:t xml:space="preserve">sually used in </w:t>
      </w:r>
      <w:r w:rsidR="212E934B" w:rsidRPr="791B8135">
        <w:rPr>
          <w:rFonts w:asciiTheme="majorHAnsi" w:hAnsiTheme="majorHAnsi" w:cstheme="majorBidi"/>
          <w:sz w:val="22"/>
          <w:szCs w:val="22"/>
          <w:lang w:val="en-GB"/>
        </w:rPr>
        <w:t xml:space="preserve">auxiliary </w:t>
      </w:r>
      <w:r w:rsidR="42A5A50E" w:rsidRPr="791B8135">
        <w:rPr>
          <w:rFonts w:asciiTheme="majorHAnsi" w:hAnsiTheme="majorHAnsi" w:cstheme="majorBidi"/>
          <w:sz w:val="22"/>
          <w:szCs w:val="22"/>
          <w:lang w:val="en-GB"/>
        </w:rPr>
        <w:t xml:space="preserve">engines, </w:t>
      </w:r>
      <w:r w:rsidR="212E934B" w:rsidRPr="791B8135">
        <w:rPr>
          <w:rFonts w:asciiTheme="majorHAnsi" w:hAnsiTheme="majorHAnsi" w:cstheme="majorBidi"/>
          <w:sz w:val="22"/>
          <w:szCs w:val="22"/>
          <w:lang w:val="en-GB"/>
        </w:rPr>
        <w:t>small and medium ships</w:t>
      </w:r>
      <w:r w:rsidR="6EBF7B5F" w:rsidRPr="791B8135">
        <w:rPr>
          <w:rFonts w:asciiTheme="majorHAnsi" w:hAnsiTheme="majorHAnsi" w:cstheme="majorBidi"/>
          <w:sz w:val="22"/>
          <w:szCs w:val="22"/>
          <w:lang w:val="en-GB"/>
        </w:rPr>
        <w:t>, ships with</w:t>
      </w:r>
      <w:r w:rsidR="45428EBC" w:rsidRPr="791B8135">
        <w:rPr>
          <w:rFonts w:asciiTheme="majorHAnsi" w:hAnsiTheme="majorHAnsi" w:cstheme="majorBidi"/>
          <w:sz w:val="22"/>
          <w:szCs w:val="22"/>
          <w:lang w:val="en-GB"/>
        </w:rPr>
        <w:t xml:space="preserve"> frequent </w:t>
      </w:r>
      <w:r w:rsidR="45428EBC" w:rsidRPr="791B8135">
        <w:rPr>
          <w:rFonts w:asciiTheme="majorHAnsi" w:hAnsiTheme="majorHAnsi" w:cstheme="majorBidi"/>
          <w:sz w:val="22"/>
          <w:szCs w:val="22"/>
          <w:lang w:val="en-GB"/>
        </w:rPr>
        <w:lastRenderedPageBreak/>
        <w:t>varying speed and loads</w:t>
      </w:r>
      <w:r w:rsidR="6EBF7B5F" w:rsidRPr="791B8135">
        <w:rPr>
          <w:rFonts w:asciiTheme="majorHAnsi" w:hAnsiTheme="majorHAnsi" w:cstheme="majorBidi"/>
          <w:sz w:val="22"/>
          <w:szCs w:val="22"/>
          <w:lang w:val="en-GB"/>
        </w:rPr>
        <w:t xml:space="preserve">, and </w:t>
      </w:r>
      <w:r w:rsidR="4761A70C" w:rsidRPr="791B8135">
        <w:rPr>
          <w:rFonts w:asciiTheme="majorHAnsi" w:hAnsiTheme="majorHAnsi" w:cstheme="majorBidi"/>
          <w:sz w:val="22"/>
          <w:szCs w:val="22"/>
          <w:lang w:val="en-GB"/>
        </w:rPr>
        <w:t>ships</w:t>
      </w:r>
      <w:r w:rsidR="45428EBC" w:rsidRPr="791B8135">
        <w:rPr>
          <w:rFonts w:asciiTheme="majorHAnsi" w:hAnsiTheme="majorHAnsi" w:cstheme="majorBidi"/>
          <w:sz w:val="22"/>
          <w:szCs w:val="22"/>
          <w:lang w:val="en-GB"/>
        </w:rPr>
        <w:t xml:space="preserve"> equipped with 4-st</w:t>
      </w:r>
      <w:r w:rsidR="00963F36">
        <w:rPr>
          <w:rFonts w:asciiTheme="majorHAnsi" w:hAnsiTheme="majorHAnsi" w:cstheme="majorBidi"/>
          <w:sz w:val="22"/>
          <w:szCs w:val="22"/>
          <w:lang w:val="en-GB"/>
        </w:rPr>
        <w:t>r</w:t>
      </w:r>
      <w:r w:rsidR="45428EBC" w:rsidRPr="791B8135">
        <w:rPr>
          <w:rFonts w:asciiTheme="majorHAnsi" w:hAnsiTheme="majorHAnsi" w:cstheme="majorBidi"/>
          <w:sz w:val="22"/>
          <w:szCs w:val="22"/>
          <w:lang w:val="en-GB"/>
        </w:rPr>
        <w:t>oke</w:t>
      </w:r>
      <w:r w:rsidR="0CEC1949" w:rsidRPr="791B8135">
        <w:rPr>
          <w:rFonts w:asciiTheme="majorHAnsi" w:hAnsiTheme="majorHAnsi" w:cstheme="majorBidi"/>
          <w:sz w:val="22"/>
          <w:szCs w:val="22"/>
          <w:lang w:val="en-GB"/>
        </w:rPr>
        <w:t xml:space="preserve"> diesel</w:t>
      </w:r>
      <w:r w:rsidR="45428EBC" w:rsidRPr="791B8135">
        <w:rPr>
          <w:rFonts w:asciiTheme="majorHAnsi" w:hAnsiTheme="majorHAnsi" w:cstheme="majorBidi"/>
          <w:sz w:val="22"/>
          <w:szCs w:val="22"/>
          <w:lang w:val="en-GB"/>
        </w:rPr>
        <w:t xml:space="preserve"> engines</w:t>
      </w:r>
      <w:r w:rsidR="0CEC1949" w:rsidRPr="791B8135">
        <w:rPr>
          <w:rFonts w:asciiTheme="majorHAnsi" w:hAnsiTheme="majorHAnsi" w:cstheme="majorBidi"/>
          <w:sz w:val="22"/>
          <w:szCs w:val="22"/>
          <w:lang w:val="en-GB"/>
        </w:rPr>
        <w:t>.</w:t>
      </w:r>
      <w:r w:rsidR="42A5A50E" w:rsidRPr="791B8135">
        <w:rPr>
          <w:rFonts w:asciiTheme="majorHAnsi" w:hAnsiTheme="majorHAnsi" w:cstheme="majorBidi"/>
          <w:sz w:val="22"/>
          <w:szCs w:val="22"/>
          <w:lang w:val="en-GB"/>
        </w:rPr>
        <w:t xml:space="preserve"> </w:t>
      </w:r>
      <w:r w:rsidR="320180A8" w:rsidRPr="791B8135">
        <w:rPr>
          <w:rFonts w:asciiTheme="majorHAnsi" w:hAnsiTheme="majorHAnsi" w:cstheme="majorBidi"/>
          <w:sz w:val="22"/>
          <w:szCs w:val="22"/>
          <w:lang w:val="en-GB"/>
        </w:rPr>
        <w:t xml:space="preserve">Low </w:t>
      </w:r>
      <w:r w:rsidR="46A32C77" w:rsidRPr="791B8135">
        <w:rPr>
          <w:rFonts w:asciiTheme="majorHAnsi" w:hAnsiTheme="majorHAnsi" w:cstheme="majorBidi"/>
          <w:sz w:val="22"/>
          <w:szCs w:val="22"/>
          <w:lang w:val="en-GB"/>
        </w:rPr>
        <w:t>s</w:t>
      </w:r>
      <w:r w:rsidR="320180A8" w:rsidRPr="791B8135">
        <w:rPr>
          <w:rFonts w:asciiTheme="majorHAnsi" w:hAnsiTheme="majorHAnsi" w:cstheme="majorBidi"/>
          <w:sz w:val="22"/>
          <w:szCs w:val="22"/>
          <w:lang w:val="en-GB"/>
        </w:rPr>
        <w:t xml:space="preserve">ulphur </w:t>
      </w:r>
      <w:r w:rsidR="46A32C77" w:rsidRPr="791B8135">
        <w:rPr>
          <w:rFonts w:asciiTheme="majorHAnsi" w:hAnsiTheme="majorHAnsi" w:cstheme="majorBidi"/>
          <w:sz w:val="22"/>
          <w:szCs w:val="22"/>
          <w:lang w:val="en-GB"/>
        </w:rPr>
        <w:t>m</w:t>
      </w:r>
      <w:r w:rsidR="320180A8" w:rsidRPr="791B8135">
        <w:rPr>
          <w:rFonts w:asciiTheme="majorHAnsi" w:hAnsiTheme="majorHAnsi" w:cstheme="majorBidi"/>
          <w:sz w:val="22"/>
          <w:szCs w:val="22"/>
          <w:lang w:val="en-GB"/>
        </w:rPr>
        <w:t xml:space="preserve">arine </w:t>
      </w:r>
      <w:r w:rsidR="46A32C77" w:rsidRPr="791B8135">
        <w:rPr>
          <w:rFonts w:asciiTheme="majorHAnsi" w:hAnsiTheme="majorHAnsi" w:cstheme="majorBidi"/>
          <w:sz w:val="22"/>
          <w:szCs w:val="22"/>
          <w:lang w:val="en-GB"/>
        </w:rPr>
        <w:t>g</w:t>
      </w:r>
      <w:r w:rsidR="320180A8" w:rsidRPr="791B8135">
        <w:rPr>
          <w:rFonts w:asciiTheme="majorHAnsi" w:hAnsiTheme="majorHAnsi" w:cstheme="majorBidi"/>
          <w:sz w:val="22"/>
          <w:szCs w:val="22"/>
          <w:lang w:val="en-GB"/>
        </w:rPr>
        <w:t xml:space="preserve">as </w:t>
      </w:r>
      <w:r w:rsidR="46A32C77" w:rsidRPr="791B8135">
        <w:rPr>
          <w:rFonts w:asciiTheme="majorHAnsi" w:hAnsiTheme="majorHAnsi" w:cstheme="majorBidi"/>
          <w:sz w:val="22"/>
          <w:szCs w:val="22"/>
          <w:lang w:val="en-GB"/>
        </w:rPr>
        <w:t>o</w:t>
      </w:r>
      <w:r w:rsidR="320180A8" w:rsidRPr="791B8135">
        <w:rPr>
          <w:rFonts w:asciiTheme="majorHAnsi" w:hAnsiTheme="majorHAnsi" w:cstheme="majorBidi"/>
          <w:sz w:val="22"/>
          <w:szCs w:val="22"/>
          <w:lang w:val="en-GB"/>
        </w:rPr>
        <w:t>il (LSMGO)</w:t>
      </w:r>
      <w:r w:rsidR="2014078D" w:rsidRPr="791B8135">
        <w:rPr>
          <w:rFonts w:asciiTheme="majorHAnsi" w:hAnsiTheme="majorHAnsi" w:cstheme="majorBidi"/>
          <w:sz w:val="22"/>
          <w:szCs w:val="22"/>
          <w:lang w:val="en-GB"/>
        </w:rPr>
        <w:t xml:space="preserve"> </w:t>
      </w:r>
      <w:r w:rsidR="03E3DBA6" w:rsidRPr="791B8135">
        <w:rPr>
          <w:rFonts w:asciiTheme="majorHAnsi" w:hAnsiTheme="majorHAnsi" w:cstheme="majorBidi"/>
          <w:sz w:val="22"/>
          <w:szCs w:val="22"/>
          <w:lang w:val="en-GB"/>
        </w:rPr>
        <w:t xml:space="preserve">contains less than 0.1 % w/w </w:t>
      </w:r>
      <w:r w:rsidR="36D4ED86" w:rsidRPr="791B8135">
        <w:rPr>
          <w:rFonts w:asciiTheme="majorHAnsi" w:hAnsiTheme="majorHAnsi" w:cstheme="majorBidi"/>
          <w:sz w:val="22"/>
          <w:szCs w:val="22"/>
          <w:lang w:val="en-GB"/>
        </w:rPr>
        <w:t>of</w:t>
      </w:r>
      <w:r w:rsidR="03E3DBA6" w:rsidRPr="791B8135">
        <w:rPr>
          <w:rFonts w:asciiTheme="majorHAnsi" w:hAnsiTheme="majorHAnsi" w:cstheme="majorBidi"/>
          <w:sz w:val="22"/>
          <w:szCs w:val="22"/>
          <w:lang w:val="en-GB"/>
        </w:rPr>
        <w:t xml:space="preserve"> sulphur </w:t>
      </w:r>
      <w:r w:rsidR="1CE48E13" w:rsidRPr="791B8135">
        <w:rPr>
          <w:rFonts w:asciiTheme="majorHAnsi" w:hAnsiTheme="majorHAnsi" w:cstheme="majorBidi"/>
          <w:sz w:val="22"/>
          <w:szCs w:val="22"/>
          <w:lang w:val="en-GB"/>
        </w:rPr>
        <w:t xml:space="preserve">and </w:t>
      </w:r>
      <w:r w:rsidR="36D4ED86" w:rsidRPr="791B8135">
        <w:rPr>
          <w:rFonts w:asciiTheme="majorHAnsi" w:hAnsiTheme="majorHAnsi" w:cstheme="majorBidi"/>
          <w:sz w:val="22"/>
          <w:szCs w:val="22"/>
          <w:lang w:val="en-GB"/>
        </w:rPr>
        <w:t>is</w:t>
      </w:r>
      <w:r w:rsidR="1CE48E13" w:rsidRPr="791B8135">
        <w:rPr>
          <w:rFonts w:asciiTheme="majorHAnsi" w:hAnsiTheme="majorHAnsi" w:cstheme="majorBidi"/>
          <w:sz w:val="22"/>
          <w:szCs w:val="22"/>
          <w:lang w:val="en-GB"/>
        </w:rPr>
        <w:t xml:space="preserve"> used in ECA regions. Even lower sulphur content, </w:t>
      </w:r>
      <w:r w:rsidR="0A1DAB49" w:rsidRPr="791B8135">
        <w:rPr>
          <w:rFonts w:asciiTheme="majorHAnsi" w:hAnsiTheme="majorHAnsi" w:cstheme="majorBidi"/>
          <w:sz w:val="22"/>
          <w:szCs w:val="22"/>
          <w:lang w:val="en-GB"/>
        </w:rPr>
        <w:t>up to 0.001%</w:t>
      </w:r>
      <w:r w:rsidR="6763AC11" w:rsidRPr="791B8135">
        <w:rPr>
          <w:rFonts w:asciiTheme="majorHAnsi" w:hAnsiTheme="majorHAnsi" w:cstheme="majorBidi"/>
          <w:sz w:val="22"/>
          <w:szCs w:val="22"/>
          <w:lang w:val="en-GB"/>
        </w:rPr>
        <w:t xml:space="preserve"> is found in </w:t>
      </w:r>
      <w:r w:rsidR="5E904A87" w:rsidRPr="791B8135">
        <w:rPr>
          <w:rFonts w:asciiTheme="majorHAnsi" w:hAnsiTheme="majorHAnsi" w:cstheme="majorBidi"/>
          <w:sz w:val="22"/>
          <w:szCs w:val="22"/>
          <w:lang w:val="en-GB"/>
        </w:rPr>
        <w:t xml:space="preserve">ultra-low sulphur </w:t>
      </w:r>
      <w:r w:rsidR="6763AC11" w:rsidRPr="791B8135">
        <w:rPr>
          <w:rFonts w:asciiTheme="majorHAnsi" w:hAnsiTheme="majorHAnsi" w:cstheme="majorBidi"/>
          <w:sz w:val="22"/>
          <w:szCs w:val="22"/>
          <w:lang w:val="en-GB"/>
        </w:rPr>
        <w:t>MGO</w:t>
      </w:r>
      <w:r w:rsidR="3570970F" w:rsidRPr="791B8135">
        <w:rPr>
          <w:rFonts w:asciiTheme="majorHAnsi" w:hAnsiTheme="majorHAnsi" w:cstheme="majorBidi"/>
          <w:sz w:val="22"/>
          <w:szCs w:val="22"/>
          <w:lang w:val="en-GB"/>
        </w:rPr>
        <w:t>, coping with the limits for inland use.</w:t>
      </w:r>
      <w:r w:rsidR="00182AD5">
        <w:rPr>
          <w:rFonts w:asciiTheme="majorHAnsi" w:hAnsiTheme="majorHAnsi" w:cstheme="majorHAnsi"/>
          <w:sz w:val="22"/>
          <w:szCs w:val="22"/>
          <w:lang w:val="en-GB"/>
        </w:rPr>
        <w:t xml:space="preserve"> </w:t>
      </w:r>
      <w:r w:rsidR="007F14C7" w:rsidRPr="00E24E04">
        <w:rPr>
          <w:rFonts w:asciiTheme="majorHAnsi" w:hAnsiTheme="majorHAnsi" w:cstheme="majorHAnsi"/>
          <w:sz w:val="22"/>
          <w:szCs w:val="22"/>
          <w:lang w:val="en-GB"/>
        </w:rPr>
        <w:t xml:space="preserve">MDO </w:t>
      </w:r>
      <w:r w:rsidR="00B6068B" w:rsidRPr="00E24E04">
        <w:rPr>
          <w:rFonts w:asciiTheme="majorHAnsi" w:hAnsiTheme="majorHAnsi" w:cstheme="majorHAnsi"/>
          <w:sz w:val="22"/>
          <w:szCs w:val="22"/>
          <w:lang w:val="en-GB"/>
        </w:rPr>
        <w:t xml:space="preserve">consists </w:t>
      </w:r>
      <w:r w:rsidR="005B382E" w:rsidRPr="00E24E04">
        <w:rPr>
          <w:rFonts w:asciiTheme="majorHAnsi" w:hAnsiTheme="majorHAnsi" w:cstheme="majorHAnsi"/>
          <w:sz w:val="22"/>
          <w:szCs w:val="22"/>
          <w:lang w:val="en-GB"/>
        </w:rPr>
        <w:t>in a ble</w:t>
      </w:r>
      <w:r w:rsidR="01990876" w:rsidRPr="00E24E04">
        <w:rPr>
          <w:rFonts w:asciiTheme="majorHAnsi" w:hAnsiTheme="majorHAnsi" w:cstheme="majorHAnsi"/>
          <w:sz w:val="22"/>
          <w:szCs w:val="22"/>
          <w:lang w:val="en-GB"/>
        </w:rPr>
        <w:t>n</w:t>
      </w:r>
      <w:r w:rsidR="005B382E" w:rsidRPr="00E24E04">
        <w:rPr>
          <w:rFonts w:asciiTheme="majorHAnsi" w:hAnsiTheme="majorHAnsi" w:cstheme="majorHAnsi"/>
          <w:sz w:val="22"/>
          <w:szCs w:val="22"/>
          <w:lang w:val="en-GB"/>
        </w:rPr>
        <w:t>d of distillates heavier than MGO</w:t>
      </w:r>
      <w:r w:rsidR="00736076" w:rsidRPr="00E24E04">
        <w:rPr>
          <w:rFonts w:asciiTheme="majorHAnsi" w:hAnsiTheme="majorHAnsi" w:cstheme="majorHAnsi"/>
          <w:sz w:val="22"/>
          <w:szCs w:val="22"/>
          <w:lang w:val="en-GB"/>
        </w:rPr>
        <w:t xml:space="preserve">, </w:t>
      </w:r>
      <w:r w:rsidR="00BE6D6A">
        <w:rPr>
          <w:rFonts w:asciiTheme="majorHAnsi" w:hAnsiTheme="majorHAnsi" w:cstheme="majorHAnsi"/>
          <w:sz w:val="22"/>
          <w:szCs w:val="22"/>
          <w:lang w:val="en-GB"/>
        </w:rPr>
        <w:t xml:space="preserve">or a </w:t>
      </w:r>
      <w:r w:rsidR="00DD5C73">
        <w:rPr>
          <w:rFonts w:asciiTheme="majorHAnsi" w:hAnsiTheme="majorHAnsi" w:cstheme="majorHAnsi"/>
          <w:sz w:val="22"/>
          <w:szCs w:val="22"/>
          <w:lang w:val="en-GB"/>
        </w:rPr>
        <w:t>possible</w:t>
      </w:r>
      <w:r w:rsidR="0054596A" w:rsidRPr="00E24E04">
        <w:rPr>
          <w:rFonts w:asciiTheme="majorHAnsi" w:hAnsiTheme="majorHAnsi" w:cstheme="majorHAnsi"/>
          <w:sz w:val="22"/>
          <w:szCs w:val="22"/>
          <w:lang w:val="en-GB"/>
        </w:rPr>
        <w:t xml:space="preserve"> blend containing heavy fuel oil in low proportion. </w:t>
      </w:r>
      <w:r w:rsidR="00B927E4" w:rsidRPr="00E24E04">
        <w:rPr>
          <w:rFonts w:asciiTheme="majorHAnsi" w:hAnsiTheme="majorHAnsi" w:cstheme="majorHAnsi"/>
          <w:sz w:val="22"/>
          <w:szCs w:val="22"/>
          <w:lang w:val="en-GB"/>
        </w:rPr>
        <w:t xml:space="preserve">It has </w:t>
      </w:r>
      <w:r w:rsidR="006732B2" w:rsidRPr="00E24E04">
        <w:rPr>
          <w:rFonts w:asciiTheme="majorHAnsi" w:hAnsiTheme="majorHAnsi" w:cstheme="majorHAnsi"/>
          <w:sz w:val="22"/>
          <w:szCs w:val="22"/>
          <w:lang w:val="en-GB"/>
        </w:rPr>
        <w:t>around 25 % w/w of aromatics</w:t>
      </w:r>
      <w:r w:rsidR="00874F83" w:rsidRPr="00E24E04">
        <w:rPr>
          <w:rFonts w:asciiTheme="majorHAnsi" w:hAnsiTheme="majorHAnsi" w:cstheme="majorHAnsi"/>
          <w:sz w:val="22"/>
          <w:szCs w:val="22"/>
          <w:lang w:val="en-GB"/>
        </w:rPr>
        <w:t xml:space="preserve">, </w:t>
      </w:r>
      <w:r w:rsidR="001A5454" w:rsidRPr="00E24E04">
        <w:rPr>
          <w:rFonts w:asciiTheme="majorHAnsi" w:hAnsiTheme="majorHAnsi" w:cstheme="majorHAnsi"/>
          <w:sz w:val="22"/>
          <w:szCs w:val="22"/>
          <w:lang w:val="en-GB"/>
        </w:rPr>
        <w:t>typically lower in cetane than MGO</w:t>
      </w:r>
      <w:r w:rsidR="00874F83" w:rsidRPr="00E24E04">
        <w:rPr>
          <w:rFonts w:asciiTheme="majorHAnsi" w:hAnsiTheme="majorHAnsi" w:cstheme="majorHAnsi"/>
          <w:sz w:val="22"/>
          <w:szCs w:val="22"/>
          <w:lang w:val="en-GB"/>
        </w:rPr>
        <w:t xml:space="preserve"> and</w:t>
      </w:r>
      <w:r w:rsidR="00327122" w:rsidRPr="00E24E04">
        <w:rPr>
          <w:rFonts w:asciiTheme="majorHAnsi" w:hAnsiTheme="majorHAnsi" w:cstheme="majorHAnsi"/>
          <w:sz w:val="22"/>
          <w:szCs w:val="22"/>
          <w:lang w:val="en-GB"/>
        </w:rPr>
        <w:t xml:space="preserve"> with</w:t>
      </w:r>
      <w:r w:rsidR="00523C7A" w:rsidRPr="00E24E04">
        <w:rPr>
          <w:rFonts w:asciiTheme="majorHAnsi" w:hAnsiTheme="majorHAnsi" w:cstheme="majorHAnsi"/>
          <w:sz w:val="22"/>
          <w:szCs w:val="22"/>
          <w:lang w:val="en-GB"/>
        </w:rPr>
        <w:t xml:space="preserve"> sulphur content between 0.3 and 2.0 % w/</w:t>
      </w:r>
      <w:proofErr w:type="gramStart"/>
      <w:r w:rsidR="00523C7A" w:rsidRPr="00E24E04">
        <w:rPr>
          <w:rFonts w:asciiTheme="majorHAnsi" w:hAnsiTheme="majorHAnsi" w:cstheme="majorHAnsi"/>
          <w:sz w:val="22"/>
          <w:szCs w:val="22"/>
          <w:lang w:val="en-GB"/>
        </w:rPr>
        <w:t>w.</w:t>
      </w:r>
      <w:r w:rsidR="00327122" w:rsidRPr="00E24E04">
        <w:rPr>
          <w:rFonts w:asciiTheme="majorHAnsi" w:hAnsiTheme="majorHAnsi" w:cstheme="majorHAnsi"/>
          <w:sz w:val="22"/>
          <w:szCs w:val="22"/>
          <w:lang w:val="en-GB"/>
        </w:rPr>
        <w:t xml:space="preserve"> </w:t>
      </w:r>
      <w:r w:rsidR="00DA5B25" w:rsidRPr="00E24E04">
        <w:rPr>
          <w:rFonts w:asciiTheme="majorHAnsi" w:hAnsiTheme="majorHAnsi" w:cstheme="majorHAnsi"/>
          <w:sz w:val="22"/>
          <w:szCs w:val="22"/>
          <w:lang w:val="en-GB"/>
        </w:rPr>
        <w:t xml:space="preserve"> </w:t>
      </w:r>
      <w:proofErr w:type="gramEnd"/>
      <w:r w:rsidR="00DA5B25" w:rsidRPr="00E24E04">
        <w:rPr>
          <w:rFonts w:asciiTheme="majorHAnsi" w:hAnsiTheme="majorHAnsi" w:cstheme="majorHAnsi"/>
          <w:sz w:val="22"/>
          <w:szCs w:val="22"/>
          <w:lang w:val="en-GB"/>
        </w:rPr>
        <w:t>It is usually used in smaller ships</w:t>
      </w:r>
      <w:r w:rsidR="00965960" w:rsidRPr="00E24E04">
        <w:rPr>
          <w:rFonts w:asciiTheme="majorHAnsi" w:hAnsiTheme="majorHAnsi" w:cstheme="majorHAnsi"/>
          <w:sz w:val="22"/>
          <w:szCs w:val="22"/>
          <w:lang w:val="en-GB"/>
        </w:rPr>
        <w:t xml:space="preserve"> operating in a constant speed and varying tonnage</w:t>
      </w:r>
      <w:r w:rsidR="006B3FE0" w:rsidRPr="00E24E04">
        <w:rPr>
          <w:rFonts w:asciiTheme="majorHAnsi" w:hAnsiTheme="majorHAnsi" w:cstheme="majorHAnsi"/>
          <w:sz w:val="22"/>
          <w:szCs w:val="22"/>
          <w:lang w:val="en-GB"/>
        </w:rPr>
        <w:t xml:space="preserve"> in 4-st</w:t>
      </w:r>
      <w:r w:rsidR="1D2EE96B" w:rsidRPr="00E24E04">
        <w:rPr>
          <w:rFonts w:asciiTheme="majorHAnsi" w:hAnsiTheme="majorHAnsi" w:cstheme="majorHAnsi"/>
          <w:sz w:val="22"/>
          <w:szCs w:val="22"/>
          <w:lang w:val="en-GB"/>
        </w:rPr>
        <w:t>r</w:t>
      </w:r>
      <w:r w:rsidR="006B3FE0" w:rsidRPr="00E24E04">
        <w:rPr>
          <w:rFonts w:asciiTheme="majorHAnsi" w:hAnsiTheme="majorHAnsi" w:cstheme="majorHAnsi"/>
          <w:sz w:val="22"/>
          <w:szCs w:val="22"/>
          <w:lang w:val="en-GB"/>
        </w:rPr>
        <w:t>oke engines.</w:t>
      </w:r>
      <w:r w:rsidR="007F0264" w:rsidRPr="00E24E04">
        <w:rPr>
          <w:rFonts w:asciiTheme="majorHAnsi" w:hAnsiTheme="majorHAnsi" w:cstheme="majorHAnsi"/>
          <w:sz w:val="22"/>
          <w:szCs w:val="22"/>
          <w:lang w:val="en-GB"/>
        </w:rPr>
        <w:t xml:space="preserve"> </w:t>
      </w:r>
      <w:r w:rsidR="5AC2780F" w:rsidRPr="5937A937">
        <w:rPr>
          <w:rFonts w:asciiTheme="majorHAnsi" w:hAnsiTheme="majorHAnsi" w:cstheme="majorBidi"/>
          <w:sz w:val="22"/>
          <w:szCs w:val="22"/>
          <w:lang w:val="en-GB"/>
        </w:rPr>
        <w:t>Residual Marine fuels</w:t>
      </w:r>
      <w:r w:rsidR="680C07D1" w:rsidRPr="5937A937">
        <w:rPr>
          <w:rFonts w:asciiTheme="majorHAnsi" w:hAnsiTheme="majorHAnsi" w:cstheme="majorBidi"/>
          <w:sz w:val="22"/>
          <w:szCs w:val="22"/>
          <w:lang w:val="en-GB"/>
        </w:rPr>
        <w:t xml:space="preserve"> are the heavy fraction </w:t>
      </w:r>
      <w:r w:rsidR="55D5E08A" w:rsidRPr="5937A937">
        <w:rPr>
          <w:rFonts w:asciiTheme="majorHAnsi" w:hAnsiTheme="majorHAnsi" w:cstheme="majorBidi"/>
          <w:sz w:val="22"/>
          <w:szCs w:val="22"/>
          <w:lang w:val="en-GB"/>
        </w:rPr>
        <w:t xml:space="preserve">of </w:t>
      </w:r>
      <w:r w:rsidR="7A37FCE2" w:rsidRPr="5937A937">
        <w:rPr>
          <w:rFonts w:asciiTheme="majorHAnsi" w:hAnsiTheme="majorHAnsi" w:cstheme="majorBidi"/>
          <w:sz w:val="22"/>
          <w:szCs w:val="22"/>
          <w:lang w:val="en-GB"/>
        </w:rPr>
        <w:t>oil dis</w:t>
      </w:r>
      <w:r w:rsidR="0633784C" w:rsidRPr="5937A937">
        <w:rPr>
          <w:rFonts w:asciiTheme="majorHAnsi" w:hAnsiTheme="majorHAnsi" w:cstheme="majorBidi"/>
          <w:sz w:val="22"/>
          <w:szCs w:val="22"/>
          <w:lang w:val="en-GB"/>
        </w:rPr>
        <w:t>tillation</w:t>
      </w:r>
      <w:r w:rsidR="55D5E08A" w:rsidRPr="5937A937">
        <w:rPr>
          <w:rFonts w:asciiTheme="majorHAnsi" w:hAnsiTheme="majorHAnsi" w:cstheme="majorBidi"/>
          <w:sz w:val="22"/>
          <w:szCs w:val="22"/>
          <w:lang w:val="en-GB"/>
        </w:rPr>
        <w:t xml:space="preserve"> and are available </w:t>
      </w:r>
      <w:r w:rsidR="173C987B" w:rsidRPr="5937A937">
        <w:rPr>
          <w:rFonts w:asciiTheme="majorHAnsi" w:hAnsiTheme="majorHAnsi" w:cstheme="majorBidi"/>
          <w:sz w:val="22"/>
          <w:szCs w:val="22"/>
          <w:lang w:val="en-GB"/>
        </w:rPr>
        <w:t>within</w:t>
      </w:r>
      <w:r w:rsidR="55D5E08A" w:rsidRPr="5937A937">
        <w:rPr>
          <w:rFonts w:asciiTheme="majorHAnsi" w:hAnsiTheme="majorHAnsi" w:cstheme="majorBidi"/>
          <w:sz w:val="22"/>
          <w:szCs w:val="22"/>
          <w:lang w:val="en-GB"/>
        </w:rPr>
        <w:t xml:space="preserve"> a range of sulphur</w:t>
      </w:r>
      <w:r w:rsidR="531EA328" w:rsidRPr="5937A937">
        <w:rPr>
          <w:rFonts w:asciiTheme="majorHAnsi" w:hAnsiTheme="majorHAnsi" w:cstheme="majorBidi"/>
          <w:sz w:val="22"/>
          <w:szCs w:val="22"/>
          <w:lang w:val="en-GB"/>
        </w:rPr>
        <w:t xml:space="preserve"> content and viscosities.</w:t>
      </w:r>
      <w:r w:rsidR="0140ACCC" w:rsidRPr="5937A937">
        <w:rPr>
          <w:rFonts w:asciiTheme="majorHAnsi" w:hAnsiTheme="majorHAnsi" w:cstheme="majorBidi"/>
          <w:sz w:val="22"/>
          <w:szCs w:val="22"/>
          <w:lang w:val="en-GB"/>
        </w:rPr>
        <w:t xml:space="preserve"> </w:t>
      </w:r>
      <w:r w:rsidR="00BF55F2">
        <w:rPr>
          <w:rFonts w:asciiTheme="majorHAnsi" w:hAnsiTheme="majorHAnsi" w:cstheme="majorBidi"/>
          <w:sz w:val="22"/>
          <w:szCs w:val="22"/>
          <w:lang w:val="en-GB"/>
        </w:rPr>
        <w:t>Heavy Fuel Oil (</w:t>
      </w:r>
      <w:r w:rsidR="570B00F9" w:rsidRPr="5937A937">
        <w:rPr>
          <w:rFonts w:asciiTheme="majorHAnsi" w:hAnsiTheme="majorHAnsi" w:cstheme="majorBidi"/>
          <w:sz w:val="22"/>
          <w:szCs w:val="22"/>
          <w:lang w:val="en-GB"/>
        </w:rPr>
        <w:t>HFO</w:t>
      </w:r>
      <w:r w:rsidR="00BF55F2">
        <w:rPr>
          <w:rFonts w:asciiTheme="majorHAnsi" w:hAnsiTheme="majorHAnsi" w:cstheme="majorBidi"/>
          <w:sz w:val="22"/>
          <w:szCs w:val="22"/>
          <w:lang w:val="en-GB"/>
        </w:rPr>
        <w:t>)</w:t>
      </w:r>
      <w:r w:rsidR="570B00F9" w:rsidRPr="5937A937">
        <w:rPr>
          <w:rFonts w:asciiTheme="majorHAnsi" w:hAnsiTheme="majorHAnsi" w:cstheme="majorBidi"/>
          <w:sz w:val="22"/>
          <w:szCs w:val="22"/>
          <w:lang w:val="en-GB"/>
        </w:rPr>
        <w:t xml:space="preserve"> </w:t>
      </w:r>
      <w:r w:rsidR="00BF1C94">
        <w:rPr>
          <w:rFonts w:asciiTheme="majorHAnsi" w:hAnsiTheme="majorHAnsi" w:cstheme="majorBidi"/>
          <w:sz w:val="22"/>
          <w:szCs w:val="22"/>
          <w:lang w:val="en-GB"/>
        </w:rPr>
        <w:t>is</w:t>
      </w:r>
      <w:r w:rsidR="570B00F9" w:rsidRPr="5937A937">
        <w:rPr>
          <w:rFonts w:asciiTheme="majorHAnsi" w:hAnsiTheme="majorHAnsi" w:cstheme="majorBidi"/>
          <w:sz w:val="22"/>
          <w:szCs w:val="22"/>
          <w:lang w:val="en-GB"/>
        </w:rPr>
        <w:t xml:space="preserve"> </w:t>
      </w:r>
      <w:r w:rsidR="51D9E27B" w:rsidRPr="5937A937">
        <w:rPr>
          <w:rFonts w:asciiTheme="majorHAnsi" w:hAnsiTheme="majorHAnsi" w:cstheme="majorBidi"/>
          <w:sz w:val="22"/>
          <w:szCs w:val="22"/>
          <w:lang w:val="en-GB"/>
        </w:rPr>
        <w:t>specified</w:t>
      </w:r>
      <w:r w:rsidR="570B00F9" w:rsidRPr="5937A937">
        <w:rPr>
          <w:rFonts w:asciiTheme="majorHAnsi" w:hAnsiTheme="majorHAnsi" w:cstheme="majorBidi"/>
          <w:sz w:val="22"/>
          <w:szCs w:val="22"/>
          <w:lang w:val="en-GB"/>
        </w:rPr>
        <w:t xml:space="preserve"> according to MARPOL</w:t>
      </w:r>
      <w:r w:rsidR="0974B4AF" w:rsidRPr="5937A937">
        <w:rPr>
          <w:rFonts w:asciiTheme="majorHAnsi" w:hAnsiTheme="majorHAnsi" w:cstheme="majorBidi"/>
          <w:sz w:val="22"/>
          <w:szCs w:val="22"/>
          <w:lang w:val="en-GB"/>
        </w:rPr>
        <w:t xml:space="preserve"> definition</w:t>
      </w:r>
      <w:r w:rsidR="17F600E6" w:rsidRPr="5937A937">
        <w:rPr>
          <w:rFonts w:asciiTheme="majorHAnsi" w:hAnsiTheme="majorHAnsi" w:cstheme="majorBidi"/>
          <w:sz w:val="22"/>
          <w:szCs w:val="22"/>
          <w:lang w:val="en-GB"/>
        </w:rPr>
        <w:t xml:space="preserve"> as</w:t>
      </w:r>
      <w:r w:rsidR="061BB85A" w:rsidRPr="5937A937">
        <w:rPr>
          <w:rFonts w:asciiTheme="majorHAnsi" w:hAnsiTheme="majorHAnsi" w:cstheme="majorBidi"/>
          <w:sz w:val="22"/>
          <w:szCs w:val="22"/>
          <w:lang w:val="en-GB"/>
        </w:rPr>
        <w:t xml:space="preserve"> </w:t>
      </w:r>
      <w:r w:rsidR="2A4FD384" w:rsidRPr="5937A937">
        <w:rPr>
          <w:rFonts w:asciiTheme="majorHAnsi" w:hAnsiTheme="majorHAnsi" w:cstheme="majorBidi"/>
          <w:sz w:val="22"/>
          <w:szCs w:val="22"/>
          <w:lang w:val="en-GB"/>
        </w:rPr>
        <w:t xml:space="preserve">having </w:t>
      </w:r>
      <w:r w:rsidR="006852EF" w:rsidRPr="5937A937">
        <w:rPr>
          <w:rFonts w:asciiTheme="majorHAnsi" w:hAnsiTheme="majorHAnsi" w:cstheme="majorBidi"/>
          <w:sz w:val="22"/>
          <w:szCs w:val="22"/>
          <w:lang w:val="en-GB"/>
        </w:rPr>
        <w:t xml:space="preserve">either density and kinematic viscosity superior </w:t>
      </w:r>
      <w:proofErr w:type="gramStart"/>
      <w:r w:rsidR="2B2BC845" w:rsidRPr="5937A937">
        <w:rPr>
          <w:rFonts w:asciiTheme="majorHAnsi" w:hAnsiTheme="majorHAnsi" w:cstheme="majorBidi"/>
          <w:sz w:val="22"/>
          <w:szCs w:val="22"/>
          <w:lang w:val="en-GB"/>
        </w:rPr>
        <w:t>than</w:t>
      </w:r>
      <w:proofErr w:type="gramEnd"/>
      <w:r w:rsidR="2B2BC845" w:rsidRPr="5937A937">
        <w:rPr>
          <w:rFonts w:asciiTheme="majorHAnsi" w:hAnsiTheme="majorHAnsi" w:cstheme="majorBidi"/>
          <w:sz w:val="22"/>
          <w:szCs w:val="22"/>
          <w:lang w:val="en-GB"/>
        </w:rPr>
        <w:t xml:space="preserve"> 900 kg.m</w:t>
      </w:r>
      <w:r w:rsidR="2B2BC845" w:rsidRPr="5937A937">
        <w:rPr>
          <w:rFonts w:asciiTheme="majorHAnsi" w:hAnsiTheme="majorHAnsi" w:cstheme="majorBidi"/>
          <w:sz w:val="22"/>
          <w:szCs w:val="22"/>
          <w:vertAlign w:val="superscript"/>
          <w:lang w:val="en-GB"/>
        </w:rPr>
        <w:t>3</w:t>
      </w:r>
      <w:r w:rsidR="2B2BC845" w:rsidRPr="5937A937">
        <w:rPr>
          <w:rFonts w:asciiTheme="majorHAnsi" w:hAnsiTheme="majorHAnsi" w:cstheme="majorBidi"/>
          <w:sz w:val="22"/>
          <w:szCs w:val="22"/>
          <w:lang w:val="en-GB"/>
        </w:rPr>
        <w:t xml:space="preserve"> (15</w:t>
      </w:r>
      <w:r w:rsidR="399D1EB7" w:rsidRPr="5937A937">
        <w:rPr>
          <w:rFonts w:asciiTheme="majorHAnsi" w:hAnsiTheme="majorHAnsi" w:cstheme="majorBidi"/>
          <w:sz w:val="22"/>
          <w:szCs w:val="22"/>
          <w:lang w:val="en-GB"/>
        </w:rPr>
        <w:t xml:space="preserve"> °C) </w:t>
      </w:r>
      <w:r w:rsidR="5656F433" w:rsidRPr="5937A937">
        <w:rPr>
          <w:rFonts w:asciiTheme="majorHAnsi" w:hAnsiTheme="majorHAnsi" w:cstheme="majorBidi"/>
          <w:sz w:val="22"/>
          <w:szCs w:val="22"/>
          <w:lang w:val="en-GB"/>
        </w:rPr>
        <w:t>and 180 mm</w:t>
      </w:r>
      <w:r w:rsidR="5656F433" w:rsidRPr="5937A937">
        <w:rPr>
          <w:rFonts w:asciiTheme="majorHAnsi" w:hAnsiTheme="majorHAnsi" w:cstheme="majorBidi"/>
          <w:sz w:val="22"/>
          <w:szCs w:val="22"/>
          <w:vertAlign w:val="superscript"/>
          <w:lang w:val="en-GB"/>
        </w:rPr>
        <w:t>2</w:t>
      </w:r>
      <w:r w:rsidR="5656F433" w:rsidRPr="5937A937">
        <w:rPr>
          <w:rFonts w:asciiTheme="majorHAnsi" w:hAnsiTheme="majorHAnsi" w:cstheme="majorBidi"/>
          <w:sz w:val="22"/>
          <w:szCs w:val="22"/>
          <w:lang w:val="en-GB"/>
        </w:rPr>
        <w:t>/s (50 °C)</w:t>
      </w:r>
      <w:r w:rsidR="1159F18C" w:rsidRPr="5937A937">
        <w:rPr>
          <w:rFonts w:asciiTheme="majorHAnsi" w:hAnsiTheme="majorHAnsi" w:cstheme="majorBidi"/>
          <w:sz w:val="22"/>
          <w:szCs w:val="22"/>
          <w:lang w:val="en-GB"/>
        </w:rPr>
        <w:t>, respectively.</w:t>
      </w:r>
      <w:r w:rsidR="3595CDAD" w:rsidRPr="5937A937">
        <w:rPr>
          <w:rFonts w:asciiTheme="majorHAnsi" w:hAnsiTheme="majorHAnsi" w:cstheme="majorBidi"/>
          <w:sz w:val="22"/>
          <w:szCs w:val="22"/>
          <w:lang w:val="en-GB"/>
        </w:rPr>
        <w:t xml:space="preserve"> HFO </w:t>
      </w:r>
      <w:r w:rsidR="00C61D3E">
        <w:rPr>
          <w:rFonts w:asciiTheme="majorHAnsi" w:hAnsiTheme="majorHAnsi" w:cstheme="majorBidi"/>
          <w:sz w:val="22"/>
          <w:szCs w:val="22"/>
          <w:lang w:val="en-GB"/>
        </w:rPr>
        <w:t>is</w:t>
      </w:r>
      <w:r w:rsidR="370E69C2" w:rsidRPr="5937A937">
        <w:rPr>
          <w:rFonts w:asciiTheme="majorHAnsi" w:hAnsiTheme="majorHAnsi" w:cstheme="majorBidi"/>
          <w:sz w:val="22"/>
          <w:szCs w:val="22"/>
          <w:lang w:val="en-GB"/>
        </w:rPr>
        <w:t xml:space="preserve"> naturally</w:t>
      </w:r>
      <w:r w:rsidR="3595CDAD" w:rsidRPr="5937A937">
        <w:rPr>
          <w:rFonts w:asciiTheme="majorHAnsi" w:hAnsiTheme="majorHAnsi" w:cstheme="majorBidi"/>
          <w:sz w:val="22"/>
          <w:szCs w:val="22"/>
          <w:lang w:val="en-GB"/>
        </w:rPr>
        <w:t xml:space="preserve"> rich in </w:t>
      </w:r>
      <w:r w:rsidR="3A1E1AAA" w:rsidRPr="5937A937">
        <w:rPr>
          <w:rFonts w:asciiTheme="majorHAnsi" w:hAnsiTheme="majorHAnsi" w:cstheme="majorBidi"/>
          <w:sz w:val="22"/>
          <w:szCs w:val="22"/>
          <w:lang w:val="en-GB"/>
        </w:rPr>
        <w:t xml:space="preserve">hydrocarbons with </w:t>
      </w:r>
      <w:r w:rsidR="3595CDAD" w:rsidRPr="5937A937">
        <w:rPr>
          <w:rFonts w:asciiTheme="majorHAnsi" w:hAnsiTheme="majorHAnsi" w:cstheme="majorBidi"/>
          <w:sz w:val="22"/>
          <w:szCs w:val="22"/>
          <w:lang w:val="en-GB"/>
        </w:rPr>
        <w:t xml:space="preserve">long </w:t>
      </w:r>
      <w:r w:rsidR="3492A902" w:rsidRPr="5937A937">
        <w:rPr>
          <w:rFonts w:asciiTheme="majorHAnsi" w:hAnsiTheme="majorHAnsi" w:cstheme="majorBidi"/>
          <w:sz w:val="22"/>
          <w:szCs w:val="22"/>
          <w:lang w:val="en-GB"/>
        </w:rPr>
        <w:t>molecular chain</w:t>
      </w:r>
      <w:r w:rsidR="0D28E95B" w:rsidRPr="5937A937">
        <w:rPr>
          <w:rFonts w:asciiTheme="majorHAnsi" w:hAnsiTheme="majorHAnsi" w:cstheme="majorBidi"/>
          <w:sz w:val="22"/>
          <w:szCs w:val="22"/>
          <w:lang w:val="en-GB"/>
        </w:rPr>
        <w:t>. It</w:t>
      </w:r>
      <w:r w:rsidR="328A0FCB" w:rsidRPr="5937A937">
        <w:rPr>
          <w:rFonts w:asciiTheme="majorHAnsi" w:hAnsiTheme="majorHAnsi" w:cstheme="majorBidi"/>
          <w:sz w:val="22"/>
          <w:szCs w:val="22"/>
          <w:lang w:val="en-GB"/>
        </w:rPr>
        <w:t xml:space="preserve"> can be further refined </w:t>
      </w:r>
      <w:r w:rsidR="42463F6D" w:rsidRPr="5937A937">
        <w:rPr>
          <w:rFonts w:asciiTheme="majorHAnsi" w:hAnsiTheme="majorHAnsi" w:cstheme="majorBidi"/>
          <w:sz w:val="22"/>
          <w:szCs w:val="22"/>
          <w:lang w:val="en-GB"/>
        </w:rPr>
        <w:t>by means of thermal and catalytic cracking</w:t>
      </w:r>
      <w:r w:rsidR="75371B68" w:rsidRPr="5937A937">
        <w:rPr>
          <w:rFonts w:asciiTheme="majorHAnsi" w:hAnsiTheme="majorHAnsi" w:cstheme="majorBidi"/>
          <w:sz w:val="22"/>
          <w:szCs w:val="22"/>
          <w:lang w:val="en-GB"/>
        </w:rPr>
        <w:t xml:space="preserve">, breaking long </w:t>
      </w:r>
      <w:r w:rsidR="0D28E95B" w:rsidRPr="5937A937">
        <w:rPr>
          <w:rFonts w:asciiTheme="majorHAnsi" w:hAnsiTheme="majorHAnsi" w:cstheme="majorBidi"/>
          <w:sz w:val="22"/>
          <w:szCs w:val="22"/>
          <w:lang w:val="en-GB"/>
        </w:rPr>
        <w:t>hydrocarbons</w:t>
      </w:r>
      <w:r w:rsidR="75371B68" w:rsidRPr="5937A937">
        <w:rPr>
          <w:rFonts w:asciiTheme="majorHAnsi" w:hAnsiTheme="majorHAnsi" w:cstheme="majorBidi"/>
          <w:sz w:val="22"/>
          <w:szCs w:val="22"/>
          <w:lang w:val="en-GB"/>
        </w:rPr>
        <w:t xml:space="preserve"> into lighter </w:t>
      </w:r>
      <w:r w:rsidR="0D28E95B" w:rsidRPr="5937A937">
        <w:rPr>
          <w:rFonts w:asciiTheme="majorHAnsi" w:hAnsiTheme="majorHAnsi" w:cstheme="majorBidi"/>
          <w:sz w:val="22"/>
          <w:szCs w:val="22"/>
          <w:lang w:val="en-GB"/>
        </w:rPr>
        <w:t>molecules</w:t>
      </w:r>
      <w:r w:rsidR="75371B68" w:rsidRPr="5937A937">
        <w:rPr>
          <w:rFonts w:asciiTheme="majorHAnsi" w:hAnsiTheme="majorHAnsi" w:cstheme="majorBidi"/>
          <w:sz w:val="22"/>
          <w:szCs w:val="22"/>
          <w:lang w:val="en-GB"/>
        </w:rPr>
        <w:t xml:space="preserve">, thus </w:t>
      </w:r>
      <w:r w:rsidR="0D28E95B" w:rsidRPr="5937A937">
        <w:rPr>
          <w:rFonts w:asciiTheme="majorHAnsi" w:hAnsiTheme="majorHAnsi" w:cstheme="majorBidi"/>
          <w:sz w:val="22"/>
          <w:szCs w:val="22"/>
          <w:lang w:val="en-GB"/>
        </w:rPr>
        <w:t xml:space="preserve">decreasing </w:t>
      </w:r>
      <w:r w:rsidR="699EEA3A" w:rsidRPr="5937A937">
        <w:rPr>
          <w:rFonts w:asciiTheme="majorHAnsi" w:hAnsiTheme="majorHAnsi" w:cstheme="majorBidi"/>
          <w:sz w:val="22"/>
          <w:szCs w:val="22"/>
          <w:lang w:val="en-GB"/>
        </w:rPr>
        <w:t xml:space="preserve">the </w:t>
      </w:r>
      <w:r w:rsidR="1B125AF8" w:rsidRPr="5937A937">
        <w:rPr>
          <w:rFonts w:asciiTheme="majorHAnsi" w:hAnsiTheme="majorHAnsi" w:cstheme="majorBidi"/>
          <w:sz w:val="22"/>
          <w:szCs w:val="22"/>
          <w:lang w:val="en-GB"/>
        </w:rPr>
        <w:t>overall viscosity to</w:t>
      </w:r>
      <w:r w:rsidR="6E93C259" w:rsidRPr="5937A937">
        <w:rPr>
          <w:rFonts w:asciiTheme="majorHAnsi" w:hAnsiTheme="majorHAnsi" w:cstheme="majorBidi"/>
          <w:sz w:val="22"/>
          <w:szCs w:val="22"/>
          <w:lang w:val="en-GB"/>
        </w:rPr>
        <w:t xml:space="preserve"> meet</w:t>
      </w:r>
      <w:r w:rsidR="1B125AF8" w:rsidRPr="5937A937">
        <w:rPr>
          <w:rFonts w:asciiTheme="majorHAnsi" w:hAnsiTheme="majorHAnsi" w:cstheme="majorBidi"/>
          <w:sz w:val="22"/>
          <w:szCs w:val="22"/>
          <w:lang w:val="en-GB"/>
        </w:rPr>
        <w:t xml:space="preserve"> desired specification.</w:t>
      </w:r>
      <w:r w:rsidR="126B8FF0" w:rsidRPr="5937A937">
        <w:rPr>
          <w:rFonts w:asciiTheme="majorHAnsi" w:hAnsiTheme="majorHAnsi" w:cstheme="majorBidi"/>
          <w:sz w:val="22"/>
          <w:szCs w:val="22"/>
          <w:lang w:val="en-GB"/>
        </w:rPr>
        <w:t xml:space="preserve"> </w:t>
      </w:r>
      <w:r w:rsidR="0B4F0741" w:rsidRPr="5937A937">
        <w:rPr>
          <w:rFonts w:asciiTheme="majorHAnsi" w:hAnsiTheme="majorHAnsi" w:cstheme="majorBidi"/>
          <w:sz w:val="22"/>
          <w:szCs w:val="22"/>
          <w:lang w:val="en-GB"/>
        </w:rPr>
        <w:t xml:space="preserve">HFO can be used in blends with lighter fractions to meet specifications as needed. </w:t>
      </w:r>
      <w:r w:rsidR="126B8FF0" w:rsidRPr="5937A937">
        <w:rPr>
          <w:rFonts w:asciiTheme="majorHAnsi" w:hAnsiTheme="majorHAnsi" w:cstheme="majorBidi"/>
          <w:sz w:val="22"/>
          <w:szCs w:val="22"/>
          <w:lang w:val="en-GB"/>
        </w:rPr>
        <w:t>It is mostly used for large</w:t>
      </w:r>
      <w:r w:rsidR="0E0B16F6" w:rsidRPr="5937A937">
        <w:rPr>
          <w:rFonts w:asciiTheme="majorHAnsi" w:hAnsiTheme="majorHAnsi" w:cstheme="majorBidi"/>
          <w:sz w:val="22"/>
          <w:szCs w:val="22"/>
          <w:lang w:val="en-GB"/>
        </w:rPr>
        <w:t xml:space="preserve"> and slow ships working with 2-st</w:t>
      </w:r>
      <w:r w:rsidR="59110798" w:rsidRPr="5937A937">
        <w:rPr>
          <w:rFonts w:asciiTheme="majorHAnsi" w:hAnsiTheme="majorHAnsi" w:cstheme="majorBidi"/>
          <w:sz w:val="22"/>
          <w:szCs w:val="22"/>
          <w:lang w:val="en-GB"/>
        </w:rPr>
        <w:t>r</w:t>
      </w:r>
      <w:r w:rsidR="0E0B16F6" w:rsidRPr="5937A937">
        <w:rPr>
          <w:rFonts w:asciiTheme="majorHAnsi" w:hAnsiTheme="majorHAnsi" w:cstheme="majorBidi"/>
          <w:sz w:val="22"/>
          <w:szCs w:val="22"/>
          <w:lang w:val="en-GB"/>
        </w:rPr>
        <w:t>oke engines</w:t>
      </w:r>
      <w:r w:rsidR="00855362">
        <w:rPr>
          <w:rFonts w:asciiTheme="majorHAnsi" w:hAnsiTheme="majorHAnsi" w:cstheme="majorBidi"/>
          <w:sz w:val="22"/>
          <w:szCs w:val="22"/>
          <w:lang w:val="en-GB"/>
        </w:rPr>
        <w:t>, also used in 4-stroke engines though</w:t>
      </w:r>
      <w:r w:rsidR="0E0B16F6" w:rsidRPr="5937A937">
        <w:rPr>
          <w:rFonts w:asciiTheme="majorHAnsi" w:hAnsiTheme="majorHAnsi" w:cstheme="majorBidi"/>
          <w:sz w:val="22"/>
          <w:szCs w:val="22"/>
          <w:lang w:val="en-GB"/>
        </w:rPr>
        <w:t>.</w:t>
      </w:r>
      <w:r w:rsidR="6BAF06A4" w:rsidRPr="5937A937">
        <w:rPr>
          <w:rFonts w:asciiTheme="majorHAnsi" w:hAnsiTheme="majorHAnsi" w:cstheme="majorBidi"/>
          <w:sz w:val="22"/>
          <w:szCs w:val="22"/>
          <w:lang w:val="en-GB"/>
        </w:rPr>
        <w:t xml:space="preserve"> Due to </w:t>
      </w:r>
      <w:r w:rsidR="1EF784E4" w:rsidRPr="5937A937">
        <w:rPr>
          <w:rFonts w:asciiTheme="majorHAnsi" w:hAnsiTheme="majorHAnsi" w:cstheme="majorBidi"/>
          <w:sz w:val="22"/>
          <w:szCs w:val="22"/>
          <w:lang w:val="en-GB"/>
        </w:rPr>
        <w:t>HFO</w:t>
      </w:r>
      <w:r w:rsidR="130022AD" w:rsidRPr="5937A937">
        <w:rPr>
          <w:rFonts w:asciiTheme="majorHAnsi" w:hAnsiTheme="majorHAnsi" w:cstheme="majorBidi"/>
          <w:sz w:val="22"/>
          <w:szCs w:val="22"/>
          <w:lang w:val="en-GB"/>
        </w:rPr>
        <w:t>’s</w:t>
      </w:r>
      <w:r w:rsidR="1EF784E4" w:rsidRPr="5937A937">
        <w:rPr>
          <w:rFonts w:asciiTheme="majorHAnsi" w:hAnsiTheme="majorHAnsi" w:cstheme="majorBidi"/>
          <w:sz w:val="22"/>
          <w:szCs w:val="22"/>
          <w:lang w:val="en-GB"/>
        </w:rPr>
        <w:t xml:space="preserve"> high viscosity</w:t>
      </w:r>
      <w:r w:rsidR="3AF69E07" w:rsidRPr="5937A937">
        <w:rPr>
          <w:rFonts w:asciiTheme="majorHAnsi" w:hAnsiTheme="majorHAnsi" w:cstheme="majorBidi"/>
          <w:sz w:val="22"/>
          <w:szCs w:val="22"/>
          <w:lang w:val="en-GB"/>
        </w:rPr>
        <w:t>, it</w:t>
      </w:r>
      <w:r w:rsidR="0ED3159B" w:rsidRPr="5937A937">
        <w:rPr>
          <w:rFonts w:asciiTheme="majorHAnsi" w:hAnsiTheme="majorHAnsi" w:cstheme="majorBidi"/>
          <w:sz w:val="22"/>
          <w:szCs w:val="22"/>
          <w:lang w:val="en-GB"/>
        </w:rPr>
        <w:t xml:space="preserve"> requires heating</w:t>
      </w:r>
      <w:r w:rsidR="4315D5B0" w:rsidRPr="5937A937">
        <w:rPr>
          <w:rFonts w:asciiTheme="majorHAnsi" w:hAnsiTheme="majorHAnsi" w:cstheme="majorBidi"/>
          <w:sz w:val="22"/>
          <w:szCs w:val="22"/>
          <w:lang w:val="en-GB"/>
        </w:rPr>
        <w:t>, which increase the energy demand</w:t>
      </w:r>
      <w:r w:rsidR="009652B5">
        <w:rPr>
          <w:rFonts w:asciiTheme="majorHAnsi" w:hAnsiTheme="majorHAnsi" w:cstheme="majorBidi"/>
          <w:sz w:val="22"/>
          <w:szCs w:val="22"/>
          <w:lang w:val="en-GB"/>
        </w:rPr>
        <w:t xml:space="preserve"> </w:t>
      </w:r>
      <w:r w:rsidR="005A6766">
        <w:rPr>
          <w:rFonts w:asciiTheme="majorHAnsi" w:hAnsiTheme="majorHAnsi" w:cstheme="majorBidi"/>
          <w:sz w:val="22"/>
          <w:szCs w:val="22"/>
          <w:lang w:val="en-GB"/>
        </w:rPr>
        <w:fldChar w:fldCharType="begin" w:fldLock="1"/>
      </w:r>
      <w:r w:rsidR="005A6766">
        <w:rPr>
          <w:rFonts w:asciiTheme="majorHAnsi" w:hAnsiTheme="majorHAnsi" w:cstheme="majorBidi"/>
          <w:sz w:val="22"/>
          <w:szCs w:val="22"/>
          <w:lang w:val="en-GB"/>
        </w:rPr>
        <w:instrText>ADDIN CSL_CITATION {"citationItems":[{"id":"ITEM-1","itemData":{"ISBN":"9780367456160","author":[{"dropping-particle":"","family":"Konur","given":"Ozcan","non-dropping-particle":"","parse-names":false,"suffix":""}],"container-title":"Paper Knowledge . Toward a Media History of Documents","id":"ITEM-1","issued":{"date-parts":[["2021"]]},"publisher":"CRC Press","title":"Petrodiesel Fuels","type":"book"},"uris":["http://www.mendeley.com/documents/?uuid=96cd8ee1-c5aa-4d50-8ac6-0709bbbb5b27"]}],"mendeley":{"formattedCitation":"(Konur, 2021)","plainTextFormattedCitation":"(Konur, 2021)","previouslyFormattedCitation":"(Konur, 2021)"},"properties":{"noteIndex":0},"schema":"https://github.com/citation-style-language/schema/raw/master/csl-citation.json"}</w:instrText>
      </w:r>
      <w:r w:rsidR="005A6766">
        <w:rPr>
          <w:rFonts w:asciiTheme="majorHAnsi" w:hAnsiTheme="majorHAnsi" w:cstheme="majorBidi"/>
          <w:sz w:val="22"/>
          <w:szCs w:val="22"/>
          <w:lang w:val="en-GB"/>
        </w:rPr>
        <w:fldChar w:fldCharType="separate"/>
      </w:r>
      <w:r w:rsidR="005A6766" w:rsidRPr="005A6766">
        <w:rPr>
          <w:rFonts w:asciiTheme="majorHAnsi" w:hAnsiTheme="majorHAnsi" w:cstheme="majorBidi"/>
          <w:noProof/>
          <w:sz w:val="22"/>
          <w:szCs w:val="22"/>
          <w:lang w:val="en-GB"/>
        </w:rPr>
        <w:t>(Konur, 2021)</w:t>
      </w:r>
      <w:r w:rsidR="005A6766">
        <w:rPr>
          <w:rFonts w:asciiTheme="majorHAnsi" w:hAnsiTheme="majorHAnsi" w:cstheme="majorBidi"/>
          <w:sz w:val="22"/>
          <w:szCs w:val="22"/>
          <w:lang w:val="en-GB"/>
        </w:rPr>
        <w:fldChar w:fldCharType="end"/>
      </w:r>
      <w:r w:rsidR="6B459238" w:rsidRPr="5937A937">
        <w:rPr>
          <w:rFonts w:asciiTheme="majorHAnsi" w:hAnsiTheme="majorHAnsi" w:cstheme="majorBidi"/>
          <w:sz w:val="22"/>
          <w:szCs w:val="22"/>
          <w:lang w:val="en-GB"/>
        </w:rPr>
        <w:t>.</w:t>
      </w:r>
      <w:r w:rsidR="6B1E6AB8" w:rsidRPr="5937A937">
        <w:rPr>
          <w:rFonts w:asciiTheme="majorHAnsi" w:hAnsiTheme="majorHAnsi" w:cstheme="majorBidi"/>
          <w:sz w:val="22"/>
          <w:szCs w:val="22"/>
          <w:lang w:val="en-GB"/>
        </w:rPr>
        <w:t xml:space="preserve"> </w:t>
      </w:r>
    </w:p>
    <w:p w14:paraId="2E890093" w14:textId="46B6BF0A" w:rsidR="006F342F" w:rsidRPr="00E24E04" w:rsidRDefault="006F342F" w:rsidP="791B8135">
      <w:pPr>
        <w:spacing w:after="120" w:line="360" w:lineRule="auto"/>
        <w:rPr>
          <w:rFonts w:asciiTheme="majorHAnsi" w:hAnsiTheme="majorHAnsi" w:cstheme="majorBidi"/>
          <w:sz w:val="22"/>
          <w:szCs w:val="22"/>
          <w:lang w:val="en-GB"/>
        </w:rPr>
      </w:pPr>
      <w:r w:rsidRPr="00E24E04">
        <w:rPr>
          <w:rFonts w:asciiTheme="majorHAnsi" w:hAnsiTheme="majorHAnsi" w:cstheme="majorHAnsi"/>
          <w:sz w:val="22"/>
          <w:szCs w:val="22"/>
          <w:lang w:val="en-GB"/>
        </w:rPr>
        <w:tab/>
      </w:r>
      <w:proofErr w:type="gramStart"/>
      <w:r w:rsidR="0006589A">
        <w:rPr>
          <w:rFonts w:asciiTheme="majorHAnsi" w:hAnsiTheme="majorHAnsi" w:cstheme="majorBidi"/>
          <w:sz w:val="22"/>
          <w:szCs w:val="22"/>
          <w:lang w:val="en-GB"/>
        </w:rPr>
        <w:t xml:space="preserve">Residual </w:t>
      </w:r>
      <w:r w:rsidR="26C9CBF9" w:rsidRPr="791B8135">
        <w:rPr>
          <w:rFonts w:asciiTheme="majorHAnsi" w:hAnsiTheme="majorHAnsi" w:cstheme="majorBidi"/>
          <w:sz w:val="22"/>
          <w:szCs w:val="22"/>
          <w:lang w:val="en-GB"/>
        </w:rPr>
        <w:t xml:space="preserve"> </w:t>
      </w:r>
      <w:r w:rsidR="6EE0AB46" w:rsidRPr="791B8135">
        <w:rPr>
          <w:rFonts w:asciiTheme="majorHAnsi" w:hAnsiTheme="majorHAnsi" w:cstheme="majorBidi"/>
          <w:sz w:val="22"/>
          <w:szCs w:val="22"/>
          <w:lang w:val="en-GB"/>
        </w:rPr>
        <w:t>marine</w:t>
      </w:r>
      <w:proofErr w:type="gramEnd"/>
      <w:r w:rsidR="6EE0AB46" w:rsidRPr="791B8135">
        <w:rPr>
          <w:rFonts w:asciiTheme="majorHAnsi" w:hAnsiTheme="majorHAnsi" w:cstheme="majorBidi"/>
          <w:sz w:val="22"/>
          <w:szCs w:val="22"/>
          <w:lang w:val="en-GB"/>
        </w:rPr>
        <w:t xml:space="preserve"> fuels </w:t>
      </w:r>
      <w:r w:rsidR="0079372A">
        <w:rPr>
          <w:rFonts w:asciiTheme="majorHAnsi" w:hAnsiTheme="majorHAnsi" w:cstheme="majorBidi"/>
          <w:sz w:val="22"/>
          <w:szCs w:val="22"/>
          <w:lang w:val="en-GB"/>
        </w:rPr>
        <w:t xml:space="preserve"> are named as RM, where R </w:t>
      </w:r>
      <w:r w:rsidR="00BA7818">
        <w:rPr>
          <w:rFonts w:asciiTheme="majorHAnsi" w:hAnsiTheme="majorHAnsi" w:cstheme="majorBidi"/>
          <w:sz w:val="22"/>
          <w:szCs w:val="22"/>
          <w:lang w:val="en-GB"/>
        </w:rPr>
        <w:t>stands</w:t>
      </w:r>
      <w:r w:rsidR="0079372A">
        <w:rPr>
          <w:rFonts w:asciiTheme="majorHAnsi" w:hAnsiTheme="majorHAnsi" w:cstheme="majorBidi"/>
          <w:sz w:val="22"/>
          <w:szCs w:val="22"/>
          <w:lang w:val="en-GB"/>
        </w:rPr>
        <w:t xml:space="preserve"> for</w:t>
      </w:r>
      <w:r w:rsidR="00BA7818">
        <w:rPr>
          <w:rFonts w:asciiTheme="majorHAnsi" w:hAnsiTheme="majorHAnsi" w:cstheme="majorBidi"/>
          <w:sz w:val="22"/>
          <w:szCs w:val="22"/>
          <w:lang w:val="en-GB"/>
        </w:rPr>
        <w:t xml:space="preserve"> residual and M for marine</w:t>
      </w:r>
      <w:r w:rsidR="00983230">
        <w:rPr>
          <w:rFonts w:asciiTheme="majorHAnsi" w:hAnsiTheme="majorHAnsi" w:cstheme="majorBidi"/>
          <w:sz w:val="22"/>
          <w:szCs w:val="22"/>
          <w:lang w:val="en-GB"/>
        </w:rPr>
        <w:t>, for ins</w:t>
      </w:r>
      <w:r w:rsidR="00660F37">
        <w:rPr>
          <w:rFonts w:asciiTheme="majorHAnsi" w:hAnsiTheme="majorHAnsi" w:cstheme="majorBidi"/>
          <w:sz w:val="22"/>
          <w:szCs w:val="22"/>
          <w:lang w:val="en-GB"/>
        </w:rPr>
        <w:t>tance RME or RMG</w:t>
      </w:r>
      <w:r w:rsidR="25A3E083" w:rsidRPr="791B8135">
        <w:rPr>
          <w:rFonts w:asciiTheme="majorHAnsi" w:hAnsiTheme="majorHAnsi" w:cstheme="majorBidi"/>
          <w:sz w:val="22"/>
          <w:szCs w:val="22"/>
          <w:lang w:val="en-GB"/>
        </w:rPr>
        <w:t xml:space="preserve">. </w:t>
      </w:r>
      <w:proofErr w:type="gramStart"/>
      <w:r w:rsidR="00660F37">
        <w:rPr>
          <w:rFonts w:asciiTheme="majorHAnsi" w:hAnsiTheme="majorHAnsi" w:cstheme="majorBidi"/>
          <w:sz w:val="22"/>
          <w:szCs w:val="22"/>
          <w:lang w:val="en-GB"/>
        </w:rPr>
        <w:t xml:space="preserve">They </w:t>
      </w:r>
      <w:r w:rsidR="25A3E083" w:rsidRPr="791B8135">
        <w:rPr>
          <w:rFonts w:asciiTheme="majorHAnsi" w:hAnsiTheme="majorHAnsi" w:cstheme="majorBidi"/>
          <w:sz w:val="22"/>
          <w:szCs w:val="22"/>
          <w:lang w:val="en-GB"/>
        </w:rPr>
        <w:t xml:space="preserve"> can</w:t>
      </w:r>
      <w:proofErr w:type="gramEnd"/>
      <w:r w:rsidR="25A3E083" w:rsidRPr="791B8135">
        <w:rPr>
          <w:rFonts w:asciiTheme="majorHAnsi" w:hAnsiTheme="majorHAnsi" w:cstheme="majorBidi"/>
          <w:sz w:val="22"/>
          <w:szCs w:val="22"/>
          <w:lang w:val="en-GB"/>
        </w:rPr>
        <w:t xml:space="preserve"> be </w:t>
      </w:r>
      <w:r w:rsidR="1BD3A356" w:rsidRPr="791B8135">
        <w:rPr>
          <w:rFonts w:asciiTheme="majorHAnsi" w:hAnsiTheme="majorHAnsi" w:cstheme="majorBidi"/>
          <w:sz w:val="22"/>
          <w:szCs w:val="22"/>
          <w:lang w:val="en-GB"/>
        </w:rPr>
        <w:t xml:space="preserve">classified </w:t>
      </w:r>
      <w:r w:rsidR="34290040" w:rsidRPr="791B8135">
        <w:rPr>
          <w:rFonts w:asciiTheme="majorHAnsi" w:hAnsiTheme="majorHAnsi" w:cstheme="majorBidi"/>
          <w:sz w:val="22"/>
          <w:szCs w:val="22"/>
          <w:lang w:val="en-GB"/>
        </w:rPr>
        <w:t xml:space="preserve">according to </w:t>
      </w:r>
      <w:r w:rsidR="2FDF3863" w:rsidRPr="791B8135">
        <w:rPr>
          <w:rFonts w:asciiTheme="majorHAnsi" w:hAnsiTheme="majorHAnsi" w:cstheme="majorBidi"/>
          <w:sz w:val="22"/>
          <w:szCs w:val="22"/>
          <w:lang w:val="en-GB"/>
        </w:rPr>
        <w:t xml:space="preserve">the </w:t>
      </w:r>
      <w:r w:rsidR="34290040" w:rsidRPr="791B8135">
        <w:rPr>
          <w:rFonts w:asciiTheme="majorHAnsi" w:hAnsiTheme="majorHAnsi" w:cstheme="majorBidi"/>
          <w:sz w:val="22"/>
          <w:szCs w:val="22"/>
          <w:lang w:val="en-GB"/>
        </w:rPr>
        <w:t>viscosity as 180 and 380 mm</w:t>
      </w:r>
      <w:r w:rsidR="34290040" w:rsidRPr="791B8135">
        <w:rPr>
          <w:rFonts w:asciiTheme="majorHAnsi" w:hAnsiTheme="majorHAnsi" w:cstheme="majorBidi"/>
          <w:sz w:val="22"/>
          <w:szCs w:val="22"/>
          <w:vertAlign w:val="superscript"/>
          <w:lang w:val="en-GB"/>
        </w:rPr>
        <w:t>2</w:t>
      </w:r>
      <w:r w:rsidR="34290040" w:rsidRPr="791B8135">
        <w:rPr>
          <w:rFonts w:asciiTheme="majorHAnsi" w:hAnsiTheme="majorHAnsi" w:cstheme="majorBidi"/>
          <w:sz w:val="22"/>
          <w:szCs w:val="22"/>
          <w:lang w:val="en-GB"/>
        </w:rPr>
        <w:t xml:space="preserve">/s, </w:t>
      </w:r>
      <w:r w:rsidR="009E392F">
        <w:rPr>
          <w:rFonts w:asciiTheme="majorHAnsi" w:hAnsiTheme="majorHAnsi" w:cstheme="majorBidi"/>
          <w:sz w:val="22"/>
          <w:szCs w:val="22"/>
          <w:lang w:val="en-GB"/>
        </w:rPr>
        <w:t>RME</w:t>
      </w:r>
      <w:r w:rsidR="34290040" w:rsidRPr="791B8135">
        <w:rPr>
          <w:rFonts w:asciiTheme="majorHAnsi" w:hAnsiTheme="majorHAnsi" w:cstheme="majorBidi"/>
          <w:sz w:val="22"/>
          <w:szCs w:val="22"/>
          <w:lang w:val="en-GB"/>
        </w:rPr>
        <w:t xml:space="preserve"> 180 and </w:t>
      </w:r>
      <w:r w:rsidR="009E392F">
        <w:rPr>
          <w:rFonts w:asciiTheme="majorHAnsi" w:hAnsiTheme="majorHAnsi" w:cstheme="majorBidi"/>
          <w:sz w:val="22"/>
          <w:szCs w:val="22"/>
          <w:lang w:val="en-GB"/>
        </w:rPr>
        <w:t>RMG</w:t>
      </w:r>
      <w:r w:rsidR="34290040" w:rsidRPr="791B8135">
        <w:rPr>
          <w:rFonts w:asciiTheme="majorHAnsi" w:hAnsiTheme="majorHAnsi" w:cstheme="majorBidi"/>
          <w:sz w:val="22"/>
          <w:szCs w:val="22"/>
          <w:lang w:val="en-GB"/>
        </w:rPr>
        <w:t xml:space="preserve"> 380, respectively.</w:t>
      </w:r>
      <w:r w:rsidR="006B4541">
        <w:rPr>
          <w:rFonts w:asciiTheme="majorHAnsi" w:hAnsiTheme="majorHAnsi" w:cstheme="majorBidi"/>
          <w:sz w:val="22"/>
          <w:szCs w:val="22"/>
          <w:lang w:val="en-GB"/>
        </w:rPr>
        <w:t xml:space="preserve"> Residual Fuels are also classified according with </w:t>
      </w:r>
      <w:r w:rsidR="02182504" w:rsidRPr="791B8135">
        <w:rPr>
          <w:rFonts w:asciiTheme="majorHAnsi" w:hAnsiTheme="majorHAnsi" w:cstheme="majorBidi"/>
          <w:sz w:val="22"/>
          <w:szCs w:val="22"/>
          <w:lang w:val="en-GB"/>
        </w:rPr>
        <w:t>the</w:t>
      </w:r>
      <w:r w:rsidR="006B4541">
        <w:rPr>
          <w:rFonts w:asciiTheme="majorHAnsi" w:hAnsiTheme="majorHAnsi" w:cstheme="majorBidi"/>
          <w:sz w:val="22"/>
          <w:szCs w:val="22"/>
          <w:lang w:val="en-GB"/>
        </w:rPr>
        <w:t>ir</w:t>
      </w:r>
      <w:r w:rsidR="02182504" w:rsidRPr="791B8135">
        <w:rPr>
          <w:rFonts w:asciiTheme="majorHAnsi" w:hAnsiTheme="majorHAnsi" w:cstheme="majorBidi"/>
          <w:sz w:val="22"/>
          <w:szCs w:val="22"/>
          <w:lang w:val="en-GB"/>
        </w:rPr>
        <w:t xml:space="preserve"> sulphur content </w:t>
      </w:r>
      <w:r w:rsidR="0043415A">
        <w:rPr>
          <w:rFonts w:asciiTheme="majorHAnsi" w:hAnsiTheme="majorHAnsi" w:cstheme="majorBidi"/>
          <w:sz w:val="22"/>
          <w:szCs w:val="22"/>
          <w:lang w:val="en-GB"/>
        </w:rPr>
        <w:t>as</w:t>
      </w:r>
      <w:r w:rsidR="00074FBC">
        <w:rPr>
          <w:rFonts w:asciiTheme="majorHAnsi" w:hAnsiTheme="majorHAnsi" w:cstheme="majorBidi"/>
          <w:sz w:val="22"/>
          <w:szCs w:val="22"/>
          <w:lang w:val="en-GB"/>
        </w:rPr>
        <w:t xml:space="preserve">: </w:t>
      </w:r>
      <w:r w:rsidR="02182504" w:rsidRPr="791B8135">
        <w:rPr>
          <w:rFonts w:asciiTheme="majorHAnsi" w:hAnsiTheme="majorHAnsi" w:cstheme="majorBidi"/>
          <w:sz w:val="22"/>
          <w:szCs w:val="22"/>
          <w:lang w:val="en-GB"/>
        </w:rPr>
        <w:t>low sulphur fuel oil (LSFO) 1%</w:t>
      </w:r>
      <w:r w:rsidR="006E03FB">
        <w:rPr>
          <w:rFonts w:asciiTheme="majorHAnsi" w:hAnsiTheme="majorHAnsi" w:cstheme="majorBidi"/>
          <w:sz w:val="22"/>
          <w:szCs w:val="22"/>
          <w:lang w:val="en-GB"/>
        </w:rPr>
        <w:t xml:space="preserve">, </w:t>
      </w:r>
      <w:proofErr w:type="gramStart"/>
      <w:r w:rsidR="006E03FB">
        <w:rPr>
          <w:rFonts w:asciiTheme="majorHAnsi" w:hAnsiTheme="majorHAnsi" w:cstheme="majorBidi"/>
          <w:sz w:val="22"/>
          <w:szCs w:val="22"/>
          <w:lang w:val="en-GB"/>
        </w:rPr>
        <w:t>very-low</w:t>
      </w:r>
      <w:proofErr w:type="gramEnd"/>
      <w:r w:rsidR="006E03FB">
        <w:rPr>
          <w:rFonts w:asciiTheme="majorHAnsi" w:hAnsiTheme="majorHAnsi" w:cstheme="majorBidi"/>
          <w:sz w:val="22"/>
          <w:szCs w:val="22"/>
          <w:lang w:val="en-GB"/>
        </w:rPr>
        <w:t xml:space="preserve"> </w:t>
      </w:r>
      <w:r w:rsidR="006E03FB" w:rsidRPr="0040379B">
        <w:rPr>
          <w:rFonts w:asciiTheme="majorHAnsi" w:hAnsiTheme="majorHAnsi" w:cstheme="majorBidi"/>
          <w:sz w:val="22"/>
          <w:szCs w:val="22"/>
        </w:rPr>
        <w:t>sulfur</w:t>
      </w:r>
      <w:r w:rsidR="006E03FB">
        <w:rPr>
          <w:rFonts w:asciiTheme="majorHAnsi" w:hAnsiTheme="majorHAnsi" w:cstheme="majorBidi"/>
          <w:sz w:val="22"/>
          <w:szCs w:val="22"/>
          <w:lang w:val="en-GB"/>
        </w:rPr>
        <w:t xml:space="preserve"> </w:t>
      </w:r>
      <w:r w:rsidR="00433F18">
        <w:rPr>
          <w:rFonts w:asciiTheme="majorHAnsi" w:hAnsiTheme="majorHAnsi" w:cstheme="majorBidi"/>
          <w:sz w:val="22"/>
          <w:szCs w:val="22"/>
          <w:lang w:val="en-GB"/>
        </w:rPr>
        <w:t xml:space="preserve">fuel oil </w:t>
      </w:r>
      <w:r w:rsidR="00013D65">
        <w:rPr>
          <w:rFonts w:asciiTheme="majorHAnsi" w:hAnsiTheme="majorHAnsi" w:cstheme="majorBidi"/>
          <w:sz w:val="22"/>
          <w:szCs w:val="22"/>
          <w:lang w:val="en-GB"/>
        </w:rPr>
        <w:t>(VLSFO) 0.5%,</w:t>
      </w:r>
      <w:r w:rsidR="02182504" w:rsidRPr="791B8135">
        <w:rPr>
          <w:rFonts w:asciiTheme="majorHAnsi" w:hAnsiTheme="majorHAnsi" w:cstheme="majorBidi"/>
          <w:sz w:val="22"/>
          <w:szCs w:val="22"/>
          <w:lang w:val="en-GB"/>
        </w:rPr>
        <w:t xml:space="preserve"> and ultra-low </w:t>
      </w:r>
      <w:r w:rsidR="02182504" w:rsidRPr="0040379B">
        <w:rPr>
          <w:rFonts w:asciiTheme="majorHAnsi" w:hAnsiTheme="majorHAnsi" w:cstheme="majorBidi"/>
          <w:sz w:val="22"/>
          <w:szCs w:val="22"/>
        </w:rPr>
        <w:t>sul</w:t>
      </w:r>
      <w:r w:rsidR="00433F18" w:rsidRPr="0040379B">
        <w:rPr>
          <w:rFonts w:asciiTheme="majorHAnsi" w:hAnsiTheme="majorHAnsi" w:cstheme="majorBidi"/>
          <w:sz w:val="22"/>
          <w:szCs w:val="22"/>
        </w:rPr>
        <w:t>fur</w:t>
      </w:r>
      <w:r w:rsidR="02182504" w:rsidRPr="791B8135">
        <w:rPr>
          <w:rFonts w:asciiTheme="majorHAnsi" w:hAnsiTheme="majorHAnsi" w:cstheme="majorBidi"/>
          <w:sz w:val="22"/>
          <w:szCs w:val="22"/>
          <w:lang w:val="en-GB"/>
        </w:rPr>
        <w:t xml:space="preserve"> fuel oil (ULSFO) 0.1</w:t>
      </w:r>
      <w:r w:rsidR="00013D65">
        <w:rPr>
          <w:rFonts w:asciiTheme="majorHAnsi" w:hAnsiTheme="majorHAnsi" w:cstheme="majorBidi"/>
          <w:sz w:val="22"/>
          <w:szCs w:val="22"/>
          <w:lang w:val="en-GB"/>
        </w:rPr>
        <w:t xml:space="preserve"> </w:t>
      </w:r>
      <w:r w:rsidR="02182504" w:rsidRPr="791B8135">
        <w:rPr>
          <w:rFonts w:asciiTheme="majorHAnsi" w:hAnsiTheme="majorHAnsi" w:cstheme="majorBidi"/>
          <w:sz w:val="22"/>
          <w:szCs w:val="22"/>
          <w:lang w:val="en-GB"/>
        </w:rPr>
        <w:t>%.</w:t>
      </w:r>
      <w:r w:rsidR="48ACF72F" w:rsidRPr="791B8135">
        <w:rPr>
          <w:rFonts w:asciiTheme="majorHAnsi" w:hAnsiTheme="majorHAnsi" w:cstheme="majorBidi"/>
          <w:sz w:val="22"/>
          <w:szCs w:val="22"/>
          <w:lang w:val="en-GB"/>
        </w:rPr>
        <w:t xml:space="preserve"> </w:t>
      </w:r>
      <w:r w:rsidR="47ADED17" w:rsidRPr="791B8135">
        <w:rPr>
          <w:rFonts w:asciiTheme="majorHAnsi" w:hAnsiTheme="majorHAnsi" w:cstheme="majorBidi"/>
          <w:sz w:val="22"/>
          <w:szCs w:val="22"/>
          <w:lang w:val="en-GB"/>
        </w:rPr>
        <w:t>Based on the</w:t>
      </w:r>
      <w:r w:rsidR="43ED38DE" w:rsidRPr="791B8135">
        <w:rPr>
          <w:rFonts w:asciiTheme="majorHAnsi" w:hAnsiTheme="majorHAnsi" w:cstheme="majorBidi"/>
          <w:sz w:val="22"/>
          <w:szCs w:val="22"/>
          <w:lang w:val="en-GB"/>
        </w:rPr>
        <w:t xml:space="preserve"> </w:t>
      </w:r>
      <w:r w:rsidR="22EBA170" w:rsidRPr="791B8135">
        <w:rPr>
          <w:rFonts w:asciiTheme="majorHAnsi" w:hAnsiTheme="majorHAnsi" w:cstheme="majorBidi"/>
          <w:sz w:val="22"/>
          <w:szCs w:val="22"/>
          <w:lang w:val="en-GB"/>
        </w:rPr>
        <w:t xml:space="preserve">report from the </w:t>
      </w:r>
      <w:r w:rsidR="48ACF72F" w:rsidRPr="791B8135">
        <w:rPr>
          <w:rFonts w:asciiTheme="majorHAnsi" w:hAnsiTheme="majorHAnsi" w:cstheme="majorBidi"/>
          <w:sz w:val="22"/>
          <w:szCs w:val="22"/>
          <w:lang w:val="en-GB"/>
        </w:rPr>
        <w:t>Port of Rotterdam</w:t>
      </w:r>
      <w:r w:rsidR="47ADED17" w:rsidRPr="791B8135">
        <w:rPr>
          <w:rFonts w:asciiTheme="majorHAnsi" w:hAnsiTheme="majorHAnsi" w:cstheme="majorBidi"/>
          <w:sz w:val="22"/>
          <w:szCs w:val="22"/>
          <w:lang w:val="en-GB"/>
        </w:rPr>
        <w:t xml:space="preserve">, the </w:t>
      </w:r>
      <w:r w:rsidR="697FB8ED" w:rsidRPr="791B8135">
        <w:rPr>
          <w:rFonts w:asciiTheme="majorHAnsi" w:hAnsiTheme="majorHAnsi" w:cstheme="majorBidi"/>
          <w:sz w:val="22"/>
          <w:szCs w:val="22"/>
          <w:lang w:val="en-GB"/>
        </w:rPr>
        <w:t xml:space="preserve">following </w:t>
      </w:r>
      <w:r w:rsidR="48ACF72F" w:rsidRPr="791B8135">
        <w:rPr>
          <w:rFonts w:asciiTheme="majorHAnsi" w:hAnsiTheme="majorHAnsi" w:cstheme="majorBidi"/>
          <w:sz w:val="22"/>
          <w:szCs w:val="22"/>
          <w:lang w:val="en-GB"/>
        </w:rPr>
        <w:t>market size for the different sulphur fuels</w:t>
      </w:r>
      <w:r w:rsidR="47ADED17" w:rsidRPr="791B8135">
        <w:rPr>
          <w:rFonts w:asciiTheme="majorHAnsi" w:hAnsiTheme="majorHAnsi" w:cstheme="majorBidi"/>
          <w:sz w:val="22"/>
          <w:szCs w:val="22"/>
          <w:lang w:val="en-GB"/>
        </w:rPr>
        <w:t xml:space="preserve"> was calculated</w:t>
      </w:r>
      <w:r w:rsidR="662E51D3" w:rsidRPr="791B8135">
        <w:rPr>
          <w:rFonts w:asciiTheme="majorHAnsi" w:hAnsiTheme="majorHAnsi" w:cstheme="majorBidi"/>
          <w:sz w:val="22"/>
          <w:szCs w:val="22"/>
          <w:lang w:val="en-GB"/>
        </w:rPr>
        <w:t>.</w:t>
      </w:r>
      <w:r w:rsidR="48ACF72F" w:rsidRPr="791B8135">
        <w:rPr>
          <w:rFonts w:asciiTheme="majorHAnsi" w:hAnsiTheme="majorHAnsi" w:cstheme="majorBidi"/>
          <w:sz w:val="22"/>
          <w:szCs w:val="22"/>
          <w:lang w:val="en-GB"/>
        </w:rPr>
        <w:t xml:space="preserve"> HSFO accounts for 30 </w:t>
      </w:r>
      <w:r w:rsidR="662E51D3" w:rsidRPr="791B8135">
        <w:rPr>
          <w:rFonts w:asciiTheme="majorHAnsi" w:hAnsiTheme="majorHAnsi" w:cstheme="majorBidi"/>
          <w:sz w:val="22"/>
          <w:szCs w:val="22"/>
          <w:lang w:val="en-GB"/>
        </w:rPr>
        <w:t>-</w:t>
      </w:r>
      <w:r w:rsidR="48ACF72F" w:rsidRPr="791B8135">
        <w:rPr>
          <w:rFonts w:asciiTheme="majorHAnsi" w:hAnsiTheme="majorHAnsi" w:cstheme="majorBidi"/>
          <w:sz w:val="22"/>
          <w:szCs w:val="22"/>
          <w:lang w:val="en-GB"/>
        </w:rPr>
        <w:t xml:space="preserve"> 40 % of total fuel </w:t>
      </w:r>
      <w:r w:rsidR="43ED38DE" w:rsidRPr="791B8135">
        <w:rPr>
          <w:rFonts w:asciiTheme="majorHAnsi" w:hAnsiTheme="majorHAnsi" w:cstheme="majorBidi"/>
          <w:sz w:val="22"/>
          <w:szCs w:val="22"/>
          <w:lang w:val="en-GB"/>
        </w:rPr>
        <w:t xml:space="preserve">oil </w:t>
      </w:r>
      <w:r w:rsidR="48ACF72F" w:rsidRPr="791B8135">
        <w:rPr>
          <w:rFonts w:asciiTheme="majorHAnsi" w:hAnsiTheme="majorHAnsi" w:cstheme="majorBidi"/>
          <w:sz w:val="22"/>
          <w:szCs w:val="22"/>
          <w:lang w:val="en-GB"/>
        </w:rPr>
        <w:t xml:space="preserve">sales, </w:t>
      </w:r>
      <w:r w:rsidR="00C3122B">
        <w:rPr>
          <w:rFonts w:asciiTheme="majorHAnsi" w:hAnsiTheme="majorHAnsi" w:cstheme="majorBidi"/>
          <w:sz w:val="22"/>
          <w:szCs w:val="22"/>
          <w:lang w:val="en-GB"/>
        </w:rPr>
        <w:t>V</w:t>
      </w:r>
      <w:r w:rsidR="48ACF72F" w:rsidRPr="791B8135">
        <w:rPr>
          <w:rFonts w:asciiTheme="majorHAnsi" w:hAnsiTheme="majorHAnsi" w:cstheme="majorBidi"/>
          <w:sz w:val="22"/>
          <w:szCs w:val="22"/>
          <w:lang w:val="en-GB"/>
        </w:rPr>
        <w:t xml:space="preserve">LSFO </w:t>
      </w:r>
      <w:r w:rsidR="43ED38DE" w:rsidRPr="791B8135">
        <w:rPr>
          <w:rFonts w:asciiTheme="majorHAnsi" w:hAnsiTheme="majorHAnsi" w:cstheme="majorBidi"/>
          <w:sz w:val="22"/>
          <w:szCs w:val="22"/>
          <w:lang w:val="en-GB"/>
        </w:rPr>
        <w:t xml:space="preserve">ranges from 40 </w:t>
      </w:r>
      <w:r w:rsidR="662E51D3" w:rsidRPr="791B8135">
        <w:rPr>
          <w:rFonts w:asciiTheme="majorHAnsi" w:hAnsiTheme="majorHAnsi" w:cstheme="majorBidi"/>
          <w:sz w:val="22"/>
          <w:szCs w:val="22"/>
          <w:lang w:val="en-GB"/>
        </w:rPr>
        <w:t xml:space="preserve">- </w:t>
      </w:r>
      <w:r w:rsidR="43ED38DE" w:rsidRPr="791B8135">
        <w:rPr>
          <w:rFonts w:asciiTheme="majorHAnsi" w:hAnsiTheme="majorHAnsi" w:cstheme="majorBidi"/>
          <w:sz w:val="22"/>
          <w:szCs w:val="22"/>
          <w:lang w:val="en-GB"/>
        </w:rPr>
        <w:t xml:space="preserve">50 % </w:t>
      </w:r>
      <w:r w:rsidR="48ACF72F" w:rsidRPr="791B8135">
        <w:rPr>
          <w:rFonts w:asciiTheme="majorHAnsi" w:hAnsiTheme="majorHAnsi" w:cstheme="majorBidi"/>
          <w:sz w:val="22"/>
          <w:szCs w:val="22"/>
          <w:lang w:val="en-GB"/>
        </w:rPr>
        <w:t>and ULSFO accounts for 10</w:t>
      </w:r>
      <w:r w:rsidR="662E51D3" w:rsidRPr="791B8135">
        <w:rPr>
          <w:rFonts w:asciiTheme="majorHAnsi" w:hAnsiTheme="majorHAnsi" w:cstheme="majorBidi"/>
          <w:sz w:val="22"/>
          <w:szCs w:val="22"/>
          <w:lang w:val="en-GB"/>
        </w:rPr>
        <w:t>-</w:t>
      </w:r>
      <w:r w:rsidR="48ACF72F" w:rsidRPr="791B8135">
        <w:rPr>
          <w:rFonts w:asciiTheme="majorHAnsi" w:hAnsiTheme="majorHAnsi" w:cstheme="majorBidi"/>
          <w:sz w:val="22"/>
          <w:szCs w:val="22"/>
          <w:lang w:val="en-GB"/>
        </w:rPr>
        <w:t xml:space="preserve"> 15 %</w:t>
      </w:r>
      <w:r w:rsidR="662E51D3" w:rsidRPr="791B8135">
        <w:rPr>
          <w:rFonts w:asciiTheme="majorHAnsi" w:hAnsiTheme="majorHAnsi" w:cstheme="majorBidi"/>
          <w:sz w:val="22"/>
          <w:szCs w:val="22"/>
          <w:lang w:val="en-GB"/>
        </w:rPr>
        <w:t xml:space="preserve"> of the sales</w:t>
      </w:r>
      <w:r w:rsidR="00643BE2">
        <w:rPr>
          <w:rFonts w:asciiTheme="majorHAnsi" w:hAnsiTheme="majorHAnsi" w:cstheme="majorBidi"/>
          <w:sz w:val="22"/>
          <w:szCs w:val="22"/>
          <w:lang w:val="en-GB"/>
        </w:rPr>
        <w:t xml:space="preserve"> </w:t>
      </w:r>
      <w:r w:rsidR="00213D1A">
        <w:rPr>
          <w:rFonts w:asciiTheme="majorHAnsi" w:hAnsiTheme="majorHAnsi" w:cstheme="majorBidi"/>
          <w:sz w:val="22"/>
          <w:szCs w:val="22"/>
          <w:lang w:val="en-GB"/>
        </w:rPr>
        <w:fldChar w:fldCharType="begin" w:fldLock="1"/>
      </w:r>
      <w:r w:rsidR="0058663D">
        <w:rPr>
          <w:rFonts w:asciiTheme="majorHAnsi" w:hAnsiTheme="majorHAnsi" w:cstheme="majorBidi"/>
          <w:sz w:val="22"/>
          <w:szCs w:val="22"/>
          <w:lang w:val="en-GB"/>
        </w:rPr>
        <w:instrText>ADDIN CSL_CITATION {"citationItems":[{"id":"ITEM-1","itemData":{"URL":"https://www.portofrotterdam.com/sites/default/files/2021-08/bunker-sales-2018-2021.pdf","accessed":{"date-parts":[["2021","9","10"]]},"author":[{"dropping-particle":"","family":"Port of Rotterdam","given":"","non-dropping-particle":"","parse-names":false,"suffix":""}],"id":"ITEM-1","issued":{"date-parts":[["2021"]]},"title":"Port of Rotterdam Bunker Sales","type":"webpage"},"uris":["http://www.mendeley.com/documents/?uuid=c6679f6a-9a45-495c-bee3-96e875ed63dd"]}],"mendeley":{"formattedCitation":"(Port of Rotterdam, 2021)","plainTextFormattedCitation":"(Port of Rotterdam, 2021)","previouslyFormattedCitation":"(Port of Rotterdam, 2021)"},"properties":{"noteIndex":0},"schema":"https://github.com/citation-style-language/schema/raw/master/csl-citation.json"}</w:instrText>
      </w:r>
      <w:r w:rsidR="00213D1A">
        <w:rPr>
          <w:rFonts w:asciiTheme="majorHAnsi" w:hAnsiTheme="majorHAnsi" w:cstheme="majorBidi"/>
          <w:sz w:val="22"/>
          <w:szCs w:val="22"/>
          <w:lang w:val="en-GB"/>
        </w:rPr>
        <w:fldChar w:fldCharType="separate"/>
      </w:r>
      <w:r w:rsidR="00213D1A" w:rsidRPr="00213D1A">
        <w:rPr>
          <w:rFonts w:asciiTheme="majorHAnsi" w:hAnsiTheme="majorHAnsi" w:cstheme="majorBidi"/>
          <w:noProof/>
          <w:sz w:val="22"/>
          <w:szCs w:val="22"/>
          <w:lang w:val="en-GB"/>
        </w:rPr>
        <w:t>(Port of Rotterdam, 2021)</w:t>
      </w:r>
      <w:r w:rsidR="00213D1A">
        <w:rPr>
          <w:rFonts w:asciiTheme="majorHAnsi" w:hAnsiTheme="majorHAnsi" w:cstheme="majorBidi"/>
          <w:sz w:val="22"/>
          <w:szCs w:val="22"/>
          <w:lang w:val="en-GB"/>
        </w:rPr>
        <w:fldChar w:fldCharType="end"/>
      </w:r>
      <w:r w:rsidR="48ACF72F" w:rsidRPr="791B8135">
        <w:rPr>
          <w:rFonts w:asciiTheme="majorHAnsi" w:hAnsiTheme="majorHAnsi" w:cstheme="majorBidi"/>
          <w:sz w:val="22"/>
          <w:szCs w:val="22"/>
          <w:lang w:val="en-GB"/>
        </w:rPr>
        <w:t>.</w:t>
      </w:r>
      <w:r w:rsidR="1E484C32" w:rsidRPr="791B8135">
        <w:rPr>
          <w:rFonts w:asciiTheme="majorHAnsi" w:hAnsiTheme="majorHAnsi" w:cstheme="majorBidi"/>
          <w:sz w:val="22"/>
          <w:szCs w:val="22"/>
          <w:lang w:val="en-GB"/>
        </w:rPr>
        <w:t xml:space="preserve"> </w:t>
      </w:r>
    </w:p>
    <w:p w14:paraId="5A5CB396" w14:textId="00C56E3F" w:rsidR="65215FB1" w:rsidRPr="008D543C" w:rsidRDefault="68773E9F" w:rsidP="00DC3405">
      <w:pPr>
        <w:spacing w:after="120" w:line="360" w:lineRule="auto"/>
        <w:rPr>
          <w:rFonts w:asciiTheme="majorHAnsi" w:hAnsiTheme="majorHAnsi" w:cstheme="majorBidi"/>
          <w:sz w:val="22"/>
          <w:szCs w:val="22"/>
          <w:lang w:val="en-GB"/>
        </w:rPr>
      </w:pPr>
      <w:r w:rsidRPr="5937A937">
        <w:rPr>
          <w:rFonts w:asciiTheme="majorHAnsi" w:hAnsiTheme="majorHAnsi" w:cstheme="majorBidi"/>
          <w:sz w:val="22"/>
          <w:szCs w:val="22"/>
          <w:lang w:val="en-GB"/>
        </w:rPr>
        <w:t xml:space="preserve">Table </w:t>
      </w:r>
      <w:r w:rsidR="005A6766">
        <w:rPr>
          <w:rFonts w:asciiTheme="majorHAnsi" w:hAnsiTheme="majorHAnsi" w:cstheme="majorBidi"/>
          <w:sz w:val="22"/>
          <w:szCs w:val="22"/>
          <w:lang w:val="en-GB"/>
        </w:rPr>
        <w:t>2</w:t>
      </w:r>
      <w:r w:rsidRPr="5937A937">
        <w:rPr>
          <w:rFonts w:asciiTheme="majorHAnsi" w:hAnsiTheme="majorHAnsi" w:cstheme="majorBidi"/>
          <w:sz w:val="22"/>
          <w:szCs w:val="22"/>
          <w:lang w:val="en-GB"/>
        </w:rPr>
        <w:t xml:space="preserve"> </w:t>
      </w:r>
      <w:r w:rsidR="7E25AD6D" w:rsidRPr="5937A937">
        <w:rPr>
          <w:rFonts w:asciiTheme="majorHAnsi" w:hAnsiTheme="majorHAnsi" w:cstheme="majorBidi"/>
          <w:sz w:val="22"/>
          <w:szCs w:val="22"/>
          <w:lang w:val="en-GB"/>
        </w:rPr>
        <w:t>summarizes</w:t>
      </w:r>
      <w:r w:rsidRPr="5937A937">
        <w:rPr>
          <w:rFonts w:asciiTheme="majorHAnsi" w:hAnsiTheme="majorHAnsi" w:cstheme="majorBidi"/>
          <w:sz w:val="22"/>
          <w:szCs w:val="22"/>
          <w:lang w:val="en-GB"/>
        </w:rPr>
        <w:t xml:space="preserve"> the key parameters for </w:t>
      </w:r>
      <w:r w:rsidR="00E64032">
        <w:rPr>
          <w:rFonts w:asciiTheme="majorHAnsi" w:hAnsiTheme="majorHAnsi" w:cstheme="majorBidi"/>
          <w:sz w:val="22"/>
          <w:szCs w:val="22"/>
          <w:lang w:val="en-GB"/>
        </w:rPr>
        <w:t>RME</w:t>
      </w:r>
      <w:r w:rsidRPr="5937A937">
        <w:rPr>
          <w:rFonts w:asciiTheme="majorHAnsi" w:hAnsiTheme="majorHAnsi" w:cstheme="majorBidi"/>
          <w:sz w:val="22"/>
          <w:szCs w:val="22"/>
          <w:lang w:val="en-GB"/>
        </w:rPr>
        <w:t xml:space="preserve"> 180, </w:t>
      </w:r>
      <w:r w:rsidR="00E64032">
        <w:rPr>
          <w:rFonts w:asciiTheme="majorHAnsi" w:hAnsiTheme="majorHAnsi" w:cstheme="majorBidi"/>
          <w:sz w:val="22"/>
          <w:szCs w:val="22"/>
          <w:lang w:val="en-GB"/>
        </w:rPr>
        <w:t>RMG</w:t>
      </w:r>
      <w:r w:rsidRPr="5937A937">
        <w:rPr>
          <w:rFonts w:asciiTheme="majorHAnsi" w:hAnsiTheme="majorHAnsi" w:cstheme="majorBidi"/>
          <w:sz w:val="22"/>
          <w:szCs w:val="22"/>
          <w:lang w:val="en-GB"/>
        </w:rPr>
        <w:t xml:space="preserve"> 380 and MGO</w:t>
      </w:r>
      <w:r w:rsidR="09EAE9F0" w:rsidRPr="5937A937">
        <w:rPr>
          <w:rFonts w:asciiTheme="majorHAnsi" w:hAnsiTheme="majorHAnsi" w:cstheme="majorBidi"/>
          <w:sz w:val="22"/>
          <w:szCs w:val="22"/>
          <w:lang w:val="en-GB"/>
        </w:rPr>
        <w:t xml:space="preserve"> (DMA)</w:t>
      </w:r>
      <w:r w:rsidR="3F6E528B" w:rsidRPr="5937A937">
        <w:rPr>
          <w:rFonts w:asciiTheme="majorHAnsi" w:hAnsiTheme="majorHAnsi" w:cstheme="majorBidi"/>
          <w:sz w:val="22"/>
          <w:szCs w:val="22"/>
          <w:lang w:val="en-GB"/>
        </w:rPr>
        <w:t xml:space="preserve"> according </w:t>
      </w:r>
      <w:r w:rsidR="2D0AB0C1" w:rsidRPr="5937A937">
        <w:rPr>
          <w:rFonts w:asciiTheme="majorHAnsi" w:hAnsiTheme="majorHAnsi" w:cstheme="majorBidi"/>
          <w:sz w:val="22"/>
          <w:szCs w:val="22"/>
          <w:lang w:val="en-GB"/>
        </w:rPr>
        <w:t>to</w:t>
      </w:r>
      <w:r w:rsidR="3EA0CCDF" w:rsidRPr="5937A937">
        <w:rPr>
          <w:rFonts w:asciiTheme="majorHAnsi" w:hAnsiTheme="majorHAnsi" w:cstheme="majorBidi"/>
          <w:sz w:val="22"/>
          <w:szCs w:val="22"/>
          <w:lang w:val="en-GB"/>
        </w:rPr>
        <w:t xml:space="preserve"> ISO</w:t>
      </w:r>
      <w:r w:rsidR="6044C821" w:rsidRPr="5937A937">
        <w:rPr>
          <w:rFonts w:asciiTheme="majorHAnsi" w:hAnsiTheme="majorHAnsi" w:cstheme="majorBidi"/>
          <w:sz w:val="22"/>
          <w:szCs w:val="22"/>
          <w:lang w:val="en-GB"/>
        </w:rPr>
        <w:t xml:space="preserve"> </w:t>
      </w:r>
      <w:r w:rsidR="3EA0CCDF" w:rsidRPr="5937A937">
        <w:rPr>
          <w:rFonts w:asciiTheme="majorHAnsi" w:hAnsiTheme="majorHAnsi" w:cstheme="majorBidi"/>
          <w:sz w:val="22"/>
          <w:szCs w:val="22"/>
          <w:lang w:val="en-GB"/>
        </w:rPr>
        <w:t>8217</w:t>
      </w:r>
      <w:r w:rsidR="2D0AB0C1" w:rsidRPr="5937A937">
        <w:rPr>
          <w:rFonts w:asciiTheme="majorHAnsi" w:hAnsiTheme="majorHAnsi" w:cstheme="majorBidi"/>
          <w:sz w:val="22"/>
          <w:szCs w:val="22"/>
          <w:lang w:val="en-GB"/>
        </w:rPr>
        <w:t>.</w:t>
      </w:r>
    </w:p>
    <w:p w14:paraId="2EE71D25" w14:textId="596F3231" w:rsidR="008D543C" w:rsidRDefault="008D543C" w:rsidP="008D543C">
      <w:pPr>
        <w:pStyle w:val="Caption"/>
        <w:keepNext/>
      </w:pPr>
      <w:bookmarkStart w:id="22" w:name="_Toc85627888"/>
      <w:bookmarkStart w:id="23" w:name="_Toc85627894"/>
      <w:r>
        <w:t xml:space="preserve">Table </w:t>
      </w:r>
      <w:fldSimple w:instr=" SEQ Table \* ARABIC ">
        <w:r w:rsidR="008027AE">
          <w:rPr>
            <w:noProof/>
          </w:rPr>
          <w:t>2</w:t>
        </w:r>
      </w:fldSimple>
      <w:r>
        <w:t xml:space="preserve">. </w:t>
      </w:r>
      <w:r w:rsidR="008230C0">
        <w:t>M</w:t>
      </w:r>
      <w:r w:rsidRPr="0036016A">
        <w:t>arine gas oil (MGO) and marine diesel oil (MDO)</w:t>
      </w:r>
      <w:r w:rsidR="003F16EA">
        <w:t xml:space="preserve"> specifications.</w:t>
      </w:r>
      <w:bookmarkEnd w:id="22"/>
      <w:bookmarkEnd w:id="23"/>
    </w:p>
    <w:tbl>
      <w:tblPr>
        <w:tblStyle w:val="TableGrid"/>
        <w:tblW w:w="0" w:type="auto"/>
        <w:jc w:val="center"/>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6A0" w:firstRow="1" w:lastRow="0" w:firstColumn="1" w:lastColumn="0" w:noHBand="1" w:noVBand="1"/>
      </w:tblPr>
      <w:tblGrid>
        <w:gridCol w:w="2835"/>
        <w:gridCol w:w="1017"/>
        <w:gridCol w:w="1590"/>
        <w:gridCol w:w="1650"/>
        <w:gridCol w:w="1785"/>
      </w:tblGrid>
      <w:tr w:rsidR="65215FB1" w14:paraId="61D2DFD1" w14:textId="77777777" w:rsidTr="5937A937">
        <w:trPr>
          <w:jc w:val="center"/>
        </w:trPr>
        <w:tc>
          <w:tcPr>
            <w:tcW w:w="2835" w:type="dxa"/>
            <w:tcBorders>
              <w:top w:val="single" w:sz="4" w:space="0" w:color="000000"/>
              <w:bottom w:val="single" w:sz="4" w:space="0" w:color="000000"/>
            </w:tcBorders>
            <w:vAlign w:val="center"/>
          </w:tcPr>
          <w:p w14:paraId="2A6B3703" w14:textId="381474BA" w:rsidR="3A451002" w:rsidRPr="00AF0B9C" w:rsidRDefault="3A451002" w:rsidP="65215FB1">
            <w:pPr>
              <w:jc w:val="center"/>
              <w:rPr>
                <w:rFonts w:asciiTheme="minorHAnsi" w:hAnsiTheme="minorHAnsi" w:cstheme="minorHAnsi"/>
                <w:b/>
                <w:bCs/>
                <w:sz w:val="18"/>
                <w:szCs w:val="18"/>
                <w:lang w:val="en-GB"/>
              </w:rPr>
            </w:pPr>
            <w:r w:rsidRPr="00AF0B9C">
              <w:rPr>
                <w:rFonts w:asciiTheme="minorHAnsi" w:hAnsiTheme="minorHAnsi" w:cstheme="minorHAnsi"/>
                <w:b/>
                <w:bCs/>
                <w:sz w:val="18"/>
                <w:szCs w:val="18"/>
                <w:lang w:val="en-GB"/>
              </w:rPr>
              <w:t>Specification</w:t>
            </w:r>
          </w:p>
        </w:tc>
        <w:tc>
          <w:tcPr>
            <w:tcW w:w="1017" w:type="dxa"/>
            <w:tcBorders>
              <w:top w:val="single" w:sz="4" w:space="0" w:color="000000"/>
              <w:bottom w:val="single" w:sz="4" w:space="0" w:color="000000"/>
            </w:tcBorders>
            <w:vAlign w:val="center"/>
          </w:tcPr>
          <w:p w14:paraId="57FBA24E" w14:textId="6B3A86BC" w:rsidR="3A451002" w:rsidRPr="00AF0B9C" w:rsidRDefault="3A451002" w:rsidP="65215FB1">
            <w:pPr>
              <w:jc w:val="center"/>
              <w:rPr>
                <w:rFonts w:asciiTheme="minorHAnsi" w:hAnsiTheme="minorHAnsi" w:cstheme="minorHAnsi"/>
                <w:b/>
                <w:bCs/>
                <w:sz w:val="18"/>
                <w:szCs w:val="18"/>
                <w:lang w:val="en-GB"/>
              </w:rPr>
            </w:pPr>
            <w:r w:rsidRPr="00AF0B9C">
              <w:rPr>
                <w:rFonts w:asciiTheme="minorHAnsi" w:hAnsiTheme="minorHAnsi" w:cstheme="minorHAnsi"/>
                <w:b/>
                <w:bCs/>
                <w:sz w:val="18"/>
                <w:szCs w:val="18"/>
                <w:lang w:val="en-GB"/>
              </w:rPr>
              <w:t>Limit</w:t>
            </w:r>
          </w:p>
        </w:tc>
        <w:tc>
          <w:tcPr>
            <w:tcW w:w="1590" w:type="dxa"/>
            <w:tcBorders>
              <w:top w:val="single" w:sz="4" w:space="0" w:color="000000"/>
              <w:bottom w:val="single" w:sz="4" w:space="0" w:color="000000"/>
            </w:tcBorders>
            <w:vAlign w:val="center"/>
          </w:tcPr>
          <w:p w14:paraId="382CB88C" w14:textId="0505F46A" w:rsidR="3A451002" w:rsidRPr="00AF0B9C" w:rsidRDefault="3A451002" w:rsidP="65215FB1">
            <w:pPr>
              <w:jc w:val="center"/>
              <w:rPr>
                <w:rFonts w:asciiTheme="minorHAnsi" w:hAnsiTheme="minorHAnsi" w:cstheme="minorHAnsi"/>
                <w:b/>
                <w:bCs/>
                <w:sz w:val="18"/>
                <w:szCs w:val="18"/>
                <w:lang w:val="en-GB"/>
              </w:rPr>
            </w:pPr>
            <w:r w:rsidRPr="00AF0B9C">
              <w:rPr>
                <w:rFonts w:asciiTheme="minorHAnsi" w:hAnsiTheme="minorHAnsi" w:cstheme="minorHAnsi"/>
                <w:b/>
                <w:bCs/>
                <w:sz w:val="18"/>
                <w:szCs w:val="18"/>
                <w:lang w:val="en-GB"/>
              </w:rPr>
              <w:t>MGO (DMA)</w:t>
            </w:r>
          </w:p>
        </w:tc>
        <w:tc>
          <w:tcPr>
            <w:tcW w:w="1650" w:type="dxa"/>
            <w:tcBorders>
              <w:top w:val="single" w:sz="4" w:space="0" w:color="000000"/>
              <w:bottom w:val="single" w:sz="4" w:space="0" w:color="000000"/>
            </w:tcBorders>
            <w:vAlign w:val="center"/>
          </w:tcPr>
          <w:p w14:paraId="690F360D" w14:textId="1758550E" w:rsidR="3A451002" w:rsidRPr="00AF0B9C" w:rsidRDefault="00A4799E" w:rsidP="65215FB1">
            <w:pPr>
              <w:jc w:val="center"/>
              <w:rPr>
                <w:rFonts w:asciiTheme="minorHAnsi" w:hAnsiTheme="minorHAnsi" w:cstheme="minorHAnsi"/>
                <w:b/>
                <w:bCs/>
                <w:sz w:val="18"/>
                <w:szCs w:val="18"/>
                <w:lang w:val="en-GB"/>
              </w:rPr>
            </w:pPr>
            <w:r>
              <w:rPr>
                <w:rFonts w:asciiTheme="minorHAnsi" w:hAnsiTheme="minorHAnsi" w:cstheme="minorHAnsi"/>
                <w:b/>
                <w:bCs/>
                <w:sz w:val="18"/>
                <w:szCs w:val="18"/>
                <w:lang w:val="en-GB"/>
              </w:rPr>
              <w:t>RME</w:t>
            </w:r>
            <w:r w:rsidR="009E392F">
              <w:rPr>
                <w:rFonts w:asciiTheme="minorHAnsi" w:hAnsiTheme="minorHAnsi" w:cstheme="minorHAnsi"/>
                <w:b/>
                <w:bCs/>
                <w:sz w:val="18"/>
                <w:szCs w:val="18"/>
                <w:lang w:val="en-GB"/>
              </w:rPr>
              <w:t xml:space="preserve"> 180</w:t>
            </w:r>
          </w:p>
        </w:tc>
        <w:tc>
          <w:tcPr>
            <w:tcW w:w="1785" w:type="dxa"/>
            <w:tcBorders>
              <w:top w:val="single" w:sz="4" w:space="0" w:color="000000"/>
              <w:bottom w:val="single" w:sz="4" w:space="0" w:color="000000"/>
            </w:tcBorders>
            <w:vAlign w:val="center"/>
          </w:tcPr>
          <w:p w14:paraId="0706CBAD" w14:textId="32C3B7E7" w:rsidR="3A451002" w:rsidRPr="00AF0B9C" w:rsidRDefault="009E392F" w:rsidP="65215FB1">
            <w:pPr>
              <w:jc w:val="center"/>
              <w:rPr>
                <w:rFonts w:asciiTheme="minorHAnsi" w:hAnsiTheme="minorHAnsi" w:cstheme="minorHAnsi"/>
                <w:b/>
                <w:bCs/>
                <w:sz w:val="18"/>
                <w:szCs w:val="18"/>
                <w:lang w:val="en-GB"/>
              </w:rPr>
            </w:pPr>
            <w:r>
              <w:rPr>
                <w:rFonts w:asciiTheme="minorHAnsi" w:hAnsiTheme="minorHAnsi" w:cstheme="minorHAnsi"/>
                <w:b/>
                <w:bCs/>
                <w:sz w:val="18"/>
                <w:szCs w:val="18"/>
                <w:lang w:val="en-GB"/>
              </w:rPr>
              <w:t>RMG</w:t>
            </w:r>
            <w:r w:rsidR="3A451002" w:rsidRPr="00AF0B9C">
              <w:rPr>
                <w:rFonts w:asciiTheme="minorHAnsi" w:hAnsiTheme="minorHAnsi" w:cstheme="minorHAnsi"/>
                <w:b/>
                <w:bCs/>
                <w:sz w:val="18"/>
                <w:szCs w:val="18"/>
                <w:lang w:val="en-GB"/>
              </w:rPr>
              <w:t xml:space="preserve"> 380</w:t>
            </w:r>
          </w:p>
        </w:tc>
      </w:tr>
      <w:tr w:rsidR="65215FB1" w14:paraId="61AC3F3E" w14:textId="77777777" w:rsidTr="5937A937">
        <w:trPr>
          <w:jc w:val="center"/>
        </w:trPr>
        <w:tc>
          <w:tcPr>
            <w:tcW w:w="2835" w:type="dxa"/>
            <w:tcBorders>
              <w:top w:val="single" w:sz="4" w:space="0" w:color="000000"/>
            </w:tcBorders>
            <w:vAlign w:val="center"/>
          </w:tcPr>
          <w:p w14:paraId="5AAAAC69" w14:textId="75FD67EB"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Kinematic viscosity</w:t>
            </w:r>
            <w:r w:rsidR="597FFD73" w:rsidRPr="00AF0B9C">
              <w:rPr>
                <w:rFonts w:asciiTheme="minorHAnsi" w:hAnsiTheme="minorHAnsi" w:cstheme="minorHAnsi"/>
                <w:sz w:val="18"/>
                <w:szCs w:val="18"/>
                <w:lang w:val="en-GB"/>
              </w:rPr>
              <w:t xml:space="preserve"> </w:t>
            </w:r>
            <w:r w:rsidRPr="00AF0B9C">
              <w:rPr>
                <w:rFonts w:asciiTheme="minorHAnsi" w:hAnsiTheme="minorHAnsi" w:cstheme="minorHAnsi"/>
                <w:sz w:val="18"/>
                <w:szCs w:val="18"/>
                <w:lang w:val="en-GB"/>
              </w:rPr>
              <w:t>(centistoke)</w:t>
            </w:r>
          </w:p>
        </w:tc>
        <w:tc>
          <w:tcPr>
            <w:tcW w:w="1017" w:type="dxa"/>
            <w:tcBorders>
              <w:top w:val="single" w:sz="4" w:space="0" w:color="000000"/>
            </w:tcBorders>
            <w:vAlign w:val="center"/>
          </w:tcPr>
          <w:p w14:paraId="1FFBB685" w14:textId="72688572" w:rsidR="3A451002" w:rsidRPr="00AF0B9C" w:rsidRDefault="3A451002" w:rsidP="65215FB1">
            <w:pPr>
              <w:spacing w:after="120"/>
              <w:jc w:val="center"/>
              <w:rPr>
                <w:rFonts w:asciiTheme="minorHAnsi" w:hAnsiTheme="minorHAnsi" w:cstheme="minorHAnsi"/>
                <w:sz w:val="18"/>
                <w:szCs w:val="18"/>
              </w:rPr>
            </w:pPr>
            <w:r w:rsidRPr="00AF0B9C">
              <w:rPr>
                <w:rFonts w:asciiTheme="minorHAnsi" w:hAnsiTheme="minorHAnsi" w:cstheme="minorHAnsi"/>
                <w:sz w:val="18"/>
                <w:szCs w:val="18"/>
                <w:lang w:val="en-GB"/>
              </w:rPr>
              <w:t>Min - Max</w:t>
            </w:r>
          </w:p>
        </w:tc>
        <w:tc>
          <w:tcPr>
            <w:tcW w:w="1590" w:type="dxa"/>
            <w:tcBorders>
              <w:top w:val="single" w:sz="4" w:space="0" w:color="000000"/>
            </w:tcBorders>
            <w:vAlign w:val="center"/>
          </w:tcPr>
          <w:p w14:paraId="7B7B677C" w14:textId="03107454"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2.00 - 6.00</w:t>
            </w:r>
            <w:r w:rsidR="5B226DE2" w:rsidRPr="00AF0B9C">
              <w:rPr>
                <w:rFonts w:asciiTheme="minorHAnsi" w:hAnsiTheme="minorHAnsi" w:cstheme="minorHAnsi"/>
                <w:sz w:val="18"/>
                <w:szCs w:val="18"/>
                <w:lang w:val="en-GB"/>
              </w:rPr>
              <w:t xml:space="preserve"> at 40 °C</w:t>
            </w:r>
          </w:p>
        </w:tc>
        <w:tc>
          <w:tcPr>
            <w:tcW w:w="1650" w:type="dxa"/>
            <w:tcBorders>
              <w:top w:val="single" w:sz="4" w:space="0" w:color="000000"/>
            </w:tcBorders>
            <w:vAlign w:val="center"/>
          </w:tcPr>
          <w:p w14:paraId="551FA663" w14:textId="1FC5EDA7" w:rsidR="10DBFF80" w:rsidRPr="00AF0B9C" w:rsidRDefault="10DBFF80"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180</w:t>
            </w:r>
            <w:r w:rsidR="1BAF401F" w:rsidRPr="00AF0B9C">
              <w:rPr>
                <w:rFonts w:asciiTheme="minorHAnsi" w:hAnsiTheme="minorHAnsi" w:cstheme="minorHAnsi"/>
                <w:sz w:val="18"/>
                <w:szCs w:val="18"/>
                <w:lang w:val="en-GB"/>
              </w:rPr>
              <w:t xml:space="preserve"> at </w:t>
            </w:r>
            <w:r w:rsidR="2A2FDF7C" w:rsidRPr="00AF0B9C">
              <w:rPr>
                <w:rFonts w:asciiTheme="minorHAnsi" w:hAnsiTheme="minorHAnsi" w:cstheme="minorHAnsi"/>
                <w:sz w:val="18"/>
                <w:szCs w:val="18"/>
                <w:lang w:val="en-GB"/>
              </w:rPr>
              <w:t>5</w:t>
            </w:r>
            <w:r w:rsidR="1BAF401F" w:rsidRPr="00AF0B9C">
              <w:rPr>
                <w:rFonts w:asciiTheme="minorHAnsi" w:hAnsiTheme="minorHAnsi" w:cstheme="minorHAnsi"/>
                <w:sz w:val="18"/>
                <w:szCs w:val="18"/>
                <w:lang w:val="en-GB"/>
              </w:rPr>
              <w:t>0 °C</w:t>
            </w:r>
          </w:p>
        </w:tc>
        <w:tc>
          <w:tcPr>
            <w:tcW w:w="1785" w:type="dxa"/>
            <w:tcBorders>
              <w:top w:val="single" w:sz="4" w:space="0" w:color="000000"/>
            </w:tcBorders>
            <w:vAlign w:val="center"/>
          </w:tcPr>
          <w:p w14:paraId="2176961E" w14:textId="7AA5B75F" w:rsidR="10DBFF80" w:rsidRPr="00AF0B9C" w:rsidRDefault="10DBFF80"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380</w:t>
            </w:r>
            <w:r w:rsidR="1180FFA4" w:rsidRPr="00AF0B9C">
              <w:rPr>
                <w:rFonts w:asciiTheme="minorHAnsi" w:hAnsiTheme="minorHAnsi" w:cstheme="minorHAnsi"/>
                <w:sz w:val="18"/>
                <w:szCs w:val="18"/>
                <w:lang w:val="en-GB"/>
              </w:rPr>
              <w:t xml:space="preserve"> at 50 °C</w:t>
            </w:r>
          </w:p>
        </w:tc>
      </w:tr>
      <w:tr w:rsidR="65215FB1" w14:paraId="07A51610" w14:textId="77777777" w:rsidTr="5937A937">
        <w:trPr>
          <w:jc w:val="center"/>
        </w:trPr>
        <w:tc>
          <w:tcPr>
            <w:tcW w:w="2835" w:type="dxa"/>
            <w:vAlign w:val="center"/>
          </w:tcPr>
          <w:p w14:paraId="7CBF8D11" w14:textId="51BCCFAB" w:rsidR="3A451002" w:rsidRPr="00AF0B9C" w:rsidRDefault="35D90D98" w:rsidP="5937A937">
            <w:pPr>
              <w:spacing w:after="120"/>
              <w:jc w:val="center"/>
              <w:rPr>
                <w:rFonts w:asciiTheme="minorHAnsi" w:hAnsiTheme="minorHAnsi" w:cstheme="minorBidi"/>
                <w:sz w:val="18"/>
                <w:szCs w:val="18"/>
                <w:lang w:val="en-GB"/>
              </w:rPr>
            </w:pPr>
            <w:r w:rsidRPr="5937A937">
              <w:rPr>
                <w:rFonts w:asciiTheme="minorHAnsi" w:hAnsiTheme="minorHAnsi" w:cstheme="minorBidi"/>
                <w:sz w:val="18"/>
                <w:szCs w:val="18"/>
                <w:lang w:val="en-GB"/>
              </w:rPr>
              <w:t>Density at 15 °C (kg/m</w:t>
            </w:r>
            <w:r w:rsidRPr="5937A937">
              <w:rPr>
                <w:rFonts w:asciiTheme="minorHAnsi" w:hAnsiTheme="minorHAnsi" w:cstheme="minorBidi"/>
                <w:sz w:val="18"/>
                <w:szCs w:val="18"/>
                <w:vertAlign w:val="superscript"/>
                <w:lang w:val="en-GB"/>
              </w:rPr>
              <w:t>3</w:t>
            </w:r>
            <w:r w:rsidRPr="5937A937">
              <w:rPr>
                <w:rFonts w:asciiTheme="minorHAnsi" w:hAnsiTheme="minorHAnsi" w:cstheme="minorBidi"/>
                <w:sz w:val="18"/>
                <w:szCs w:val="18"/>
                <w:lang w:val="en-GB"/>
              </w:rPr>
              <w:t>)</w:t>
            </w:r>
          </w:p>
        </w:tc>
        <w:tc>
          <w:tcPr>
            <w:tcW w:w="1017" w:type="dxa"/>
            <w:vAlign w:val="center"/>
          </w:tcPr>
          <w:p w14:paraId="4A59BE2F" w14:textId="1B040CBC"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Max</w:t>
            </w:r>
          </w:p>
        </w:tc>
        <w:tc>
          <w:tcPr>
            <w:tcW w:w="1590" w:type="dxa"/>
            <w:vAlign w:val="center"/>
          </w:tcPr>
          <w:p w14:paraId="5FE124D2" w14:textId="2DE7FB36"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890</w:t>
            </w:r>
          </w:p>
        </w:tc>
        <w:tc>
          <w:tcPr>
            <w:tcW w:w="1650" w:type="dxa"/>
            <w:vAlign w:val="center"/>
          </w:tcPr>
          <w:p w14:paraId="3B32BE5D" w14:textId="5E5BFBB0" w:rsidR="320DBF09" w:rsidRPr="00AF0B9C" w:rsidRDefault="320DBF09"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991</w:t>
            </w:r>
          </w:p>
        </w:tc>
        <w:tc>
          <w:tcPr>
            <w:tcW w:w="1785" w:type="dxa"/>
            <w:vAlign w:val="center"/>
          </w:tcPr>
          <w:p w14:paraId="0615C7C6" w14:textId="74366A5E" w:rsidR="320DBF09" w:rsidRPr="00AF0B9C" w:rsidRDefault="320DBF09"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991</w:t>
            </w:r>
          </w:p>
        </w:tc>
      </w:tr>
      <w:tr w:rsidR="65215FB1" w14:paraId="25D71388" w14:textId="77777777" w:rsidTr="5937A937">
        <w:trPr>
          <w:jc w:val="center"/>
        </w:trPr>
        <w:tc>
          <w:tcPr>
            <w:tcW w:w="2835" w:type="dxa"/>
            <w:vAlign w:val="center"/>
          </w:tcPr>
          <w:p w14:paraId="32E4FC20" w14:textId="510D8F93"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Cetane number</w:t>
            </w:r>
          </w:p>
        </w:tc>
        <w:tc>
          <w:tcPr>
            <w:tcW w:w="1017" w:type="dxa"/>
            <w:vAlign w:val="center"/>
          </w:tcPr>
          <w:p w14:paraId="7A0BC19E" w14:textId="57192793"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Min</w:t>
            </w:r>
          </w:p>
        </w:tc>
        <w:tc>
          <w:tcPr>
            <w:tcW w:w="1590" w:type="dxa"/>
            <w:vAlign w:val="center"/>
          </w:tcPr>
          <w:p w14:paraId="586F0021" w14:textId="2509C829"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40</w:t>
            </w:r>
          </w:p>
        </w:tc>
        <w:tc>
          <w:tcPr>
            <w:tcW w:w="1650" w:type="dxa"/>
            <w:vAlign w:val="center"/>
          </w:tcPr>
          <w:p w14:paraId="002D8F45" w14:textId="3CCB4EBB" w:rsidR="4589E750" w:rsidRPr="00AF0B9C" w:rsidRDefault="4589E750"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w:t>
            </w:r>
          </w:p>
        </w:tc>
        <w:tc>
          <w:tcPr>
            <w:tcW w:w="1785" w:type="dxa"/>
            <w:vAlign w:val="center"/>
          </w:tcPr>
          <w:p w14:paraId="1C520588" w14:textId="73A9E71A" w:rsidR="4589E750" w:rsidRPr="00AF0B9C" w:rsidRDefault="4589E750"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w:t>
            </w:r>
          </w:p>
        </w:tc>
      </w:tr>
      <w:tr w:rsidR="65215FB1" w14:paraId="72C6C7A1" w14:textId="77777777" w:rsidTr="5937A937">
        <w:trPr>
          <w:jc w:val="center"/>
        </w:trPr>
        <w:tc>
          <w:tcPr>
            <w:tcW w:w="2835" w:type="dxa"/>
            <w:vAlign w:val="center"/>
          </w:tcPr>
          <w:p w14:paraId="3A10C04D" w14:textId="328ECB24"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Sulphur (% w/w)</w:t>
            </w:r>
          </w:p>
        </w:tc>
        <w:tc>
          <w:tcPr>
            <w:tcW w:w="1017" w:type="dxa"/>
            <w:vAlign w:val="center"/>
          </w:tcPr>
          <w:p w14:paraId="0F3E1653" w14:textId="6488162E"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Max</w:t>
            </w:r>
          </w:p>
        </w:tc>
        <w:tc>
          <w:tcPr>
            <w:tcW w:w="1590" w:type="dxa"/>
            <w:vAlign w:val="center"/>
          </w:tcPr>
          <w:p w14:paraId="443668E2" w14:textId="56E1C160"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1.5</w:t>
            </w:r>
          </w:p>
        </w:tc>
        <w:tc>
          <w:tcPr>
            <w:tcW w:w="3435" w:type="dxa"/>
            <w:gridSpan w:val="2"/>
            <w:vAlign w:val="center"/>
          </w:tcPr>
          <w:p w14:paraId="026C5B93" w14:textId="34D0C783" w:rsidR="31373AE7" w:rsidRPr="00AF0B9C" w:rsidRDefault="31373AE7"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3.5 %</w:t>
            </w:r>
            <w:r w:rsidR="007D04E3">
              <w:rPr>
                <w:rFonts w:asciiTheme="minorHAnsi" w:hAnsiTheme="minorHAnsi" w:cstheme="minorHAnsi"/>
                <w:sz w:val="18"/>
                <w:szCs w:val="18"/>
                <w:vertAlign w:val="superscript"/>
                <w:lang w:val="en-GB"/>
              </w:rPr>
              <w:t>*</w:t>
            </w:r>
          </w:p>
        </w:tc>
      </w:tr>
      <w:tr w:rsidR="65215FB1" w14:paraId="73E7114A" w14:textId="77777777" w:rsidTr="5937A937">
        <w:trPr>
          <w:jc w:val="center"/>
        </w:trPr>
        <w:tc>
          <w:tcPr>
            <w:tcW w:w="2835" w:type="dxa"/>
            <w:vAlign w:val="center"/>
          </w:tcPr>
          <w:p w14:paraId="0C9F6C3C" w14:textId="3F62E667"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Flash Point (°C)</w:t>
            </w:r>
          </w:p>
        </w:tc>
        <w:tc>
          <w:tcPr>
            <w:tcW w:w="1017" w:type="dxa"/>
            <w:vAlign w:val="center"/>
          </w:tcPr>
          <w:p w14:paraId="4B9296A9" w14:textId="4132AAF9"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Min</w:t>
            </w:r>
          </w:p>
        </w:tc>
        <w:tc>
          <w:tcPr>
            <w:tcW w:w="1590" w:type="dxa"/>
            <w:vAlign w:val="center"/>
          </w:tcPr>
          <w:p w14:paraId="72D4E06B" w14:textId="3866C99C"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60</w:t>
            </w:r>
          </w:p>
        </w:tc>
        <w:tc>
          <w:tcPr>
            <w:tcW w:w="1650" w:type="dxa"/>
            <w:vAlign w:val="center"/>
          </w:tcPr>
          <w:p w14:paraId="48166DE3" w14:textId="64B3A2EA" w:rsidR="5E031330" w:rsidRPr="00AF0B9C" w:rsidRDefault="5E031330"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60</w:t>
            </w:r>
          </w:p>
        </w:tc>
        <w:tc>
          <w:tcPr>
            <w:tcW w:w="1785" w:type="dxa"/>
            <w:vAlign w:val="center"/>
          </w:tcPr>
          <w:p w14:paraId="2B113D24" w14:textId="1A40052A" w:rsidR="5E031330" w:rsidRPr="00AF0B9C" w:rsidRDefault="5E031330"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60</w:t>
            </w:r>
          </w:p>
        </w:tc>
      </w:tr>
      <w:tr w:rsidR="65215FB1" w14:paraId="4410108A" w14:textId="77777777" w:rsidTr="5937A937">
        <w:trPr>
          <w:jc w:val="center"/>
        </w:trPr>
        <w:tc>
          <w:tcPr>
            <w:tcW w:w="2835" w:type="dxa"/>
            <w:vAlign w:val="center"/>
          </w:tcPr>
          <w:p w14:paraId="3889BEB7" w14:textId="17913A6E"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Acid Number (mg KOH/g)</w:t>
            </w:r>
          </w:p>
        </w:tc>
        <w:tc>
          <w:tcPr>
            <w:tcW w:w="1017" w:type="dxa"/>
            <w:vAlign w:val="center"/>
          </w:tcPr>
          <w:p w14:paraId="1B78FA12" w14:textId="39DA8771"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Max</w:t>
            </w:r>
          </w:p>
        </w:tc>
        <w:tc>
          <w:tcPr>
            <w:tcW w:w="1590" w:type="dxa"/>
            <w:vAlign w:val="center"/>
          </w:tcPr>
          <w:p w14:paraId="67B9B388" w14:textId="693829CA"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0.5</w:t>
            </w:r>
          </w:p>
        </w:tc>
        <w:tc>
          <w:tcPr>
            <w:tcW w:w="1650" w:type="dxa"/>
            <w:vAlign w:val="center"/>
          </w:tcPr>
          <w:p w14:paraId="7F4EAF07" w14:textId="40FC5370" w:rsidR="2050195E" w:rsidRPr="00AF0B9C" w:rsidRDefault="2050195E"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2.5</w:t>
            </w:r>
          </w:p>
        </w:tc>
        <w:tc>
          <w:tcPr>
            <w:tcW w:w="1785" w:type="dxa"/>
            <w:vAlign w:val="center"/>
          </w:tcPr>
          <w:p w14:paraId="7C49E1C9" w14:textId="6FF1DBCD" w:rsidR="2050195E" w:rsidRPr="00AF0B9C" w:rsidRDefault="2050195E"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2.5</w:t>
            </w:r>
          </w:p>
        </w:tc>
      </w:tr>
      <w:tr w:rsidR="65215FB1" w14:paraId="01FB1A6D" w14:textId="77777777" w:rsidTr="5937A937">
        <w:trPr>
          <w:jc w:val="center"/>
        </w:trPr>
        <w:tc>
          <w:tcPr>
            <w:tcW w:w="2835" w:type="dxa"/>
            <w:vAlign w:val="center"/>
          </w:tcPr>
          <w:p w14:paraId="0ED2AE1C" w14:textId="14FBCA8E" w:rsidR="3A451002" w:rsidRPr="00AF0B9C" w:rsidRDefault="3A451002" w:rsidP="65215FB1">
            <w:pPr>
              <w:spacing w:after="120"/>
              <w:jc w:val="center"/>
              <w:rPr>
                <w:rFonts w:asciiTheme="minorHAnsi" w:hAnsiTheme="minorHAnsi" w:cstheme="minorHAnsi"/>
                <w:sz w:val="18"/>
                <w:szCs w:val="18"/>
              </w:rPr>
            </w:pPr>
            <w:r w:rsidRPr="00AF0B9C">
              <w:rPr>
                <w:rFonts w:asciiTheme="minorHAnsi" w:hAnsiTheme="minorHAnsi" w:cstheme="minorHAnsi"/>
                <w:sz w:val="18"/>
                <w:szCs w:val="18"/>
                <w:lang w:val="en-GB"/>
              </w:rPr>
              <w:t>Oxygen Stability (g/m</w:t>
            </w:r>
            <w:r w:rsidRPr="00AF0B9C">
              <w:rPr>
                <w:rFonts w:asciiTheme="minorHAnsi" w:hAnsiTheme="minorHAnsi" w:cstheme="minorHAnsi"/>
                <w:sz w:val="18"/>
                <w:szCs w:val="18"/>
                <w:vertAlign w:val="superscript"/>
                <w:lang w:val="en-GB"/>
              </w:rPr>
              <w:t>3</w:t>
            </w:r>
            <w:r w:rsidRPr="00AF0B9C">
              <w:rPr>
                <w:rFonts w:asciiTheme="minorHAnsi" w:hAnsiTheme="minorHAnsi" w:cstheme="minorHAnsi"/>
                <w:sz w:val="18"/>
                <w:szCs w:val="18"/>
                <w:lang w:val="en-GB"/>
              </w:rPr>
              <w:t>)</w:t>
            </w:r>
          </w:p>
        </w:tc>
        <w:tc>
          <w:tcPr>
            <w:tcW w:w="1017" w:type="dxa"/>
            <w:vAlign w:val="center"/>
          </w:tcPr>
          <w:p w14:paraId="739F9402" w14:textId="1D83CBDE"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Max</w:t>
            </w:r>
          </w:p>
        </w:tc>
        <w:tc>
          <w:tcPr>
            <w:tcW w:w="1590" w:type="dxa"/>
            <w:vAlign w:val="center"/>
          </w:tcPr>
          <w:p w14:paraId="7FAE1D05" w14:textId="0712E7B4"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25</w:t>
            </w:r>
          </w:p>
        </w:tc>
        <w:tc>
          <w:tcPr>
            <w:tcW w:w="1650" w:type="dxa"/>
            <w:vAlign w:val="center"/>
          </w:tcPr>
          <w:p w14:paraId="5C0AF7A0" w14:textId="2CC764C7" w:rsidR="5DC31B48" w:rsidRPr="00AF0B9C" w:rsidRDefault="5DC31B48" w:rsidP="65215FB1">
            <w:pPr>
              <w:spacing w:after="120"/>
              <w:jc w:val="center"/>
              <w:rPr>
                <w:rFonts w:asciiTheme="minorHAnsi" w:hAnsiTheme="minorHAnsi" w:cstheme="minorHAnsi"/>
                <w:sz w:val="18"/>
                <w:szCs w:val="18"/>
              </w:rPr>
            </w:pPr>
            <w:r w:rsidRPr="00AF0B9C">
              <w:rPr>
                <w:rFonts w:asciiTheme="minorHAnsi" w:hAnsiTheme="minorHAnsi" w:cstheme="minorHAnsi"/>
                <w:sz w:val="18"/>
                <w:szCs w:val="18"/>
                <w:lang w:val="en-GB"/>
              </w:rPr>
              <w:t>-</w:t>
            </w:r>
          </w:p>
        </w:tc>
        <w:tc>
          <w:tcPr>
            <w:tcW w:w="1785" w:type="dxa"/>
            <w:vAlign w:val="center"/>
          </w:tcPr>
          <w:p w14:paraId="7377DCA1" w14:textId="77C4C406" w:rsidR="2F97306C" w:rsidRPr="00AF0B9C" w:rsidRDefault="2F97306C" w:rsidP="65215FB1">
            <w:pPr>
              <w:spacing w:after="120"/>
              <w:jc w:val="center"/>
              <w:rPr>
                <w:rFonts w:asciiTheme="minorHAnsi" w:hAnsiTheme="minorHAnsi" w:cstheme="minorHAnsi"/>
                <w:sz w:val="18"/>
                <w:szCs w:val="18"/>
              </w:rPr>
            </w:pPr>
            <w:r w:rsidRPr="00AF0B9C">
              <w:rPr>
                <w:rFonts w:asciiTheme="minorHAnsi" w:hAnsiTheme="minorHAnsi" w:cstheme="minorHAnsi"/>
                <w:sz w:val="18"/>
                <w:szCs w:val="18"/>
                <w:lang w:val="en-GB"/>
              </w:rPr>
              <w:t>-</w:t>
            </w:r>
          </w:p>
        </w:tc>
      </w:tr>
      <w:tr w:rsidR="65215FB1" w14:paraId="4D3F6912" w14:textId="77777777" w:rsidTr="5937A937">
        <w:trPr>
          <w:jc w:val="center"/>
        </w:trPr>
        <w:tc>
          <w:tcPr>
            <w:tcW w:w="2835" w:type="dxa"/>
            <w:vAlign w:val="center"/>
          </w:tcPr>
          <w:p w14:paraId="763390B2" w14:textId="487DC5EF"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Lubricity</w:t>
            </w:r>
            <w:r w:rsidR="7368D9D7" w:rsidRPr="00AF0B9C">
              <w:rPr>
                <w:rFonts w:asciiTheme="minorHAnsi" w:hAnsiTheme="minorHAnsi" w:cstheme="minorHAnsi"/>
                <w:sz w:val="18"/>
                <w:szCs w:val="18"/>
                <w:lang w:val="en-GB"/>
              </w:rPr>
              <w:t xml:space="preserve"> (µm)</w:t>
            </w:r>
          </w:p>
        </w:tc>
        <w:tc>
          <w:tcPr>
            <w:tcW w:w="1017" w:type="dxa"/>
            <w:vAlign w:val="center"/>
          </w:tcPr>
          <w:p w14:paraId="22029C4F" w14:textId="09863CFD" w:rsidR="7368D9D7" w:rsidRPr="00AF0B9C" w:rsidRDefault="7368D9D7"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Max</w:t>
            </w:r>
          </w:p>
        </w:tc>
        <w:tc>
          <w:tcPr>
            <w:tcW w:w="1590" w:type="dxa"/>
            <w:vAlign w:val="center"/>
          </w:tcPr>
          <w:p w14:paraId="1F345096" w14:textId="4255E2F4" w:rsidR="7368D9D7" w:rsidRPr="00AF0B9C" w:rsidRDefault="7368D9D7"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520</w:t>
            </w:r>
          </w:p>
        </w:tc>
        <w:tc>
          <w:tcPr>
            <w:tcW w:w="1650" w:type="dxa"/>
            <w:vAlign w:val="center"/>
          </w:tcPr>
          <w:p w14:paraId="5E224DC6" w14:textId="0F025693" w:rsidR="2FDC57BE" w:rsidRPr="00AF0B9C" w:rsidRDefault="2FDC57BE" w:rsidP="65215FB1">
            <w:pPr>
              <w:spacing w:after="120"/>
              <w:jc w:val="center"/>
              <w:rPr>
                <w:rFonts w:asciiTheme="minorHAnsi" w:hAnsiTheme="minorHAnsi" w:cstheme="minorHAnsi"/>
                <w:sz w:val="18"/>
                <w:szCs w:val="18"/>
              </w:rPr>
            </w:pPr>
            <w:r w:rsidRPr="00AF0B9C">
              <w:rPr>
                <w:rFonts w:asciiTheme="minorHAnsi" w:hAnsiTheme="minorHAnsi" w:cstheme="minorHAnsi"/>
                <w:sz w:val="18"/>
                <w:szCs w:val="18"/>
                <w:lang w:val="en-GB"/>
              </w:rPr>
              <w:t>-</w:t>
            </w:r>
          </w:p>
        </w:tc>
        <w:tc>
          <w:tcPr>
            <w:tcW w:w="1785" w:type="dxa"/>
            <w:vAlign w:val="center"/>
          </w:tcPr>
          <w:p w14:paraId="119B6EA1" w14:textId="0E92C5A7" w:rsidR="2FDC57BE" w:rsidRPr="00AF0B9C" w:rsidRDefault="2FDC57BE" w:rsidP="65215FB1">
            <w:pPr>
              <w:spacing w:after="120"/>
              <w:jc w:val="center"/>
              <w:rPr>
                <w:rFonts w:asciiTheme="minorHAnsi" w:hAnsiTheme="minorHAnsi" w:cstheme="minorHAnsi"/>
                <w:sz w:val="18"/>
                <w:szCs w:val="18"/>
              </w:rPr>
            </w:pPr>
            <w:r w:rsidRPr="00AF0B9C">
              <w:rPr>
                <w:rFonts w:asciiTheme="minorHAnsi" w:hAnsiTheme="minorHAnsi" w:cstheme="minorHAnsi"/>
                <w:sz w:val="18"/>
                <w:szCs w:val="18"/>
                <w:lang w:val="en-GB"/>
              </w:rPr>
              <w:t>-</w:t>
            </w:r>
          </w:p>
        </w:tc>
      </w:tr>
      <w:tr w:rsidR="65215FB1" w14:paraId="270A8171" w14:textId="77777777" w:rsidTr="5937A937">
        <w:trPr>
          <w:jc w:val="center"/>
        </w:trPr>
        <w:tc>
          <w:tcPr>
            <w:tcW w:w="2835" w:type="dxa"/>
            <w:tcBorders>
              <w:bottom w:val="nil"/>
            </w:tcBorders>
            <w:vAlign w:val="center"/>
          </w:tcPr>
          <w:p w14:paraId="77722A71" w14:textId="41AE304A"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Pour Point</w:t>
            </w:r>
            <w:r w:rsidR="2C3178F8" w:rsidRPr="00AF0B9C">
              <w:rPr>
                <w:rFonts w:asciiTheme="minorHAnsi" w:hAnsiTheme="minorHAnsi" w:cstheme="minorHAnsi"/>
                <w:sz w:val="18"/>
                <w:szCs w:val="18"/>
                <w:lang w:val="en-GB"/>
              </w:rPr>
              <w:t xml:space="preserve"> (°C)</w:t>
            </w:r>
          </w:p>
        </w:tc>
        <w:tc>
          <w:tcPr>
            <w:tcW w:w="1017" w:type="dxa"/>
            <w:tcBorders>
              <w:bottom w:val="nil"/>
            </w:tcBorders>
            <w:vAlign w:val="center"/>
          </w:tcPr>
          <w:p w14:paraId="7187412E" w14:textId="701674E5" w:rsidR="2C3178F8" w:rsidRPr="00AF0B9C" w:rsidRDefault="2C3178F8"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Max</w:t>
            </w:r>
          </w:p>
        </w:tc>
        <w:tc>
          <w:tcPr>
            <w:tcW w:w="1590" w:type="dxa"/>
            <w:tcBorders>
              <w:bottom w:val="nil"/>
            </w:tcBorders>
            <w:vAlign w:val="center"/>
          </w:tcPr>
          <w:p w14:paraId="17939623" w14:textId="12A81A8C" w:rsidR="2C3178F8" w:rsidRPr="00AF0B9C" w:rsidRDefault="2C3178F8"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-6 to 0</w:t>
            </w:r>
          </w:p>
        </w:tc>
        <w:tc>
          <w:tcPr>
            <w:tcW w:w="1650" w:type="dxa"/>
            <w:tcBorders>
              <w:bottom w:val="nil"/>
            </w:tcBorders>
            <w:vAlign w:val="center"/>
          </w:tcPr>
          <w:p w14:paraId="3327DEAB" w14:textId="48D05AD8" w:rsidR="56428022" w:rsidRPr="00AF0B9C" w:rsidRDefault="5642802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30</w:t>
            </w:r>
          </w:p>
        </w:tc>
        <w:tc>
          <w:tcPr>
            <w:tcW w:w="1785" w:type="dxa"/>
            <w:tcBorders>
              <w:bottom w:val="nil"/>
            </w:tcBorders>
            <w:vAlign w:val="center"/>
          </w:tcPr>
          <w:p w14:paraId="318E122B" w14:textId="03AD50FB" w:rsidR="56428022" w:rsidRPr="00AF0B9C" w:rsidRDefault="5642802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30</w:t>
            </w:r>
          </w:p>
        </w:tc>
      </w:tr>
      <w:tr w:rsidR="65215FB1" w14:paraId="75BA7A9F" w14:textId="77777777" w:rsidTr="5937A937">
        <w:trPr>
          <w:jc w:val="center"/>
        </w:trPr>
        <w:tc>
          <w:tcPr>
            <w:tcW w:w="2835" w:type="dxa"/>
            <w:tcBorders>
              <w:top w:val="nil"/>
              <w:left w:val="nil"/>
              <w:bottom w:val="single" w:sz="4" w:space="0" w:color="auto"/>
              <w:right w:val="nil"/>
            </w:tcBorders>
            <w:vAlign w:val="center"/>
          </w:tcPr>
          <w:p w14:paraId="70598BE5" w14:textId="648F03EE" w:rsidR="1C7D329A" w:rsidRPr="00AF0B9C" w:rsidRDefault="1C7D329A"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Carbon Residue – micro method (% w/w)</w:t>
            </w:r>
          </w:p>
        </w:tc>
        <w:tc>
          <w:tcPr>
            <w:tcW w:w="1017" w:type="dxa"/>
            <w:tcBorders>
              <w:top w:val="nil"/>
              <w:left w:val="nil"/>
              <w:bottom w:val="single" w:sz="4" w:space="0" w:color="auto"/>
              <w:right w:val="nil"/>
            </w:tcBorders>
            <w:vAlign w:val="center"/>
          </w:tcPr>
          <w:p w14:paraId="53046BEA" w14:textId="5766020E" w:rsidR="1C7D329A" w:rsidRPr="00AF0B9C" w:rsidRDefault="1C7D329A"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Max</w:t>
            </w:r>
          </w:p>
        </w:tc>
        <w:tc>
          <w:tcPr>
            <w:tcW w:w="1590" w:type="dxa"/>
            <w:tcBorders>
              <w:top w:val="nil"/>
              <w:left w:val="nil"/>
              <w:bottom w:val="single" w:sz="4" w:space="0" w:color="auto"/>
              <w:right w:val="nil"/>
            </w:tcBorders>
            <w:vAlign w:val="center"/>
          </w:tcPr>
          <w:p w14:paraId="4C92333B" w14:textId="0B1ABC7D" w:rsidR="1C7D329A" w:rsidRPr="00AF0B9C" w:rsidRDefault="1C7D329A"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0.3</w:t>
            </w:r>
          </w:p>
        </w:tc>
        <w:tc>
          <w:tcPr>
            <w:tcW w:w="1650" w:type="dxa"/>
            <w:tcBorders>
              <w:top w:val="nil"/>
              <w:left w:val="nil"/>
              <w:bottom w:val="single" w:sz="4" w:space="0" w:color="auto"/>
              <w:right w:val="nil"/>
            </w:tcBorders>
            <w:vAlign w:val="center"/>
          </w:tcPr>
          <w:p w14:paraId="4A1C89AB" w14:textId="7074F753" w:rsidR="1C7D329A" w:rsidRPr="00AF0B9C" w:rsidRDefault="1C7D329A"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18</w:t>
            </w:r>
          </w:p>
        </w:tc>
        <w:tc>
          <w:tcPr>
            <w:tcW w:w="1785" w:type="dxa"/>
            <w:tcBorders>
              <w:top w:val="nil"/>
              <w:left w:val="nil"/>
              <w:bottom w:val="single" w:sz="4" w:space="0" w:color="auto"/>
              <w:right w:val="nil"/>
            </w:tcBorders>
            <w:vAlign w:val="center"/>
          </w:tcPr>
          <w:p w14:paraId="1B59DC3C" w14:textId="45107799" w:rsidR="1C7D329A" w:rsidRPr="00AF0B9C" w:rsidRDefault="1C7D329A"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18</w:t>
            </w:r>
          </w:p>
        </w:tc>
      </w:tr>
      <w:tr w:rsidR="008D543C" w14:paraId="79B35681" w14:textId="77777777" w:rsidTr="5937A937">
        <w:trPr>
          <w:jc w:val="center"/>
        </w:trPr>
        <w:tc>
          <w:tcPr>
            <w:tcW w:w="8877" w:type="dxa"/>
            <w:gridSpan w:val="5"/>
            <w:tcBorders>
              <w:top w:val="single" w:sz="4" w:space="0" w:color="auto"/>
              <w:left w:val="nil"/>
              <w:bottom w:val="nil"/>
              <w:right w:val="nil"/>
            </w:tcBorders>
            <w:vAlign w:val="center"/>
          </w:tcPr>
          <w:p w14:paraId="039B5909" w14:textId="7ABCB74C" w:rsidR="008D543C" w:rsidRPr="00AF0B9C" w:rsidRDefault="007D04E3" w:rsidP="007D04E3">
            <w:pPr>
              <w:spacing w:after="120"/>
              <w:jc w:val="left"/>
              <w:rPr>
                <w:rFonts w:asciiTheme="minorHAnsi" w:hAnsiTheme="minorHAnsi" w:cstheme="minorHAnsi"/>
                <w:sz w:val="18"/>
                <w:szCs w:val="18"/>
                <w:lang w:val="en-GB"/>
              </w:rPr>
            </w:pPr>
            <w:r>
              <w:rPr>
                <w:rFonts w:asciiTheme="minorHAnsi" w:hAnsiTheme="minorHAnsi" w:cstheme="minorHAnsi"/>
                <w:sz w:val="18"/>
                <w:szCs w:val="18"/>
                <w:lang w:val="en-GB"/>
              </w:rPr>
              <w:t>*</w:t>
            </w:r>
            <w:r w:rsidRPr="00AF0B9C">
              <w:rPr>
                <w:rFonts w:asciiTheme="minorHAnsi" w:hAnsiTheme="minorHAnsi" w:cstheme="minorHAnsi"/>
                <w:sz w:val="18"/>
                <w:szCs w:val="18"/>
                <w:lang w:val="en-GB"/>
              </w:rPr>
              <w:t xml:space="preserve"> </w:t>
            </w:r>
            <w:r>
              <w:rPr>
                <w:rFonts w:asciiTheme="minorHAnsi" w:hAnsiTheme="minorHAnsi" w:cstheme="minorHAnsi"/>
                <w:sz w:val="18"/>
                <w:szCs w:val="18"/>
                <w:lang w:val="en-GB"/>
              </w:rPr>
              <w:t>O</w:t>
            </w:r>
            <w:r w:rsidRPr="00AF0B9C">
              <w:rPr>
                <w:rFonts w:asciiTheme="minorHAnsi" w:hAnsiTheme="minorHAnsi" w:cstheme="minorHAnsi"/>
                <w:sz w:val="18"/>
                <w:szCs w:val="18"/>
                <w:lang w:val="en-GB"/>
              </w:rPr>
              <w:t>r as required in ECA zone</w:t>
            </w:r>
          </w:p>
        </w:tc>
      </w:tr>
    </w:tbl>
    <w:p w14:paraId="5740E9AA" w14:textId="3DE256E2" w:rsidR="65215FB1" w:rsidRDefault="65215FB1" w:rsidP="65215FB1">
      <w:pPr>
        <w:spacing w:line="360" w:lineRule="auto"/>
        <w:ind w:firstLine="720"/>
        <w:rPr>
          <w:rFonts w:ascii="Times New Roman" w:hAnsi="Times New Roman"/>
          <w:sz w:val="22"/>
          <w:szCs w:val="22"/>
          <w:lang w:val="en-GB"/>
        </w:rPr>
      </w:pPr>
    </w:p>
    <w:p w14:paraId="5473E7E8" w14:textId="44108BEE" w:rsidR="00BA28AF" w:rsidRDefault="00BA28AF" w:rsidP="002F7E75">
      <w:pPr>
        <w:pStyle w:val="Heading2"/>
      </w:pPr>
      <w:bookmarkStart w:id="24" w:name="_Toc85627864"/>
      <w:r>
        <w:t>Alternative Fuels</w:t>
      </w:r>
      <w:bookmarkEnd w:id="24"/>
    </w:p>
    <w:p w14:paraId="1FA2A874" w14:textId="29BACD07" w:rsidR="00BA28AF" w:rsidRPr="000D7D19" w:rsidRDefault="6170CE0A" w:rsidP="791B8135">
      <w:pPr>
        <w:spacing w:after="120" w:line="360" w:lineRule="auto"/>
        <w:ind w:firstLine="720"/>
        <w:rPr>
          <w:rFonts w:asciiTheme="majorHAnsi" w:hAnsiTheme="majorHAnsi" w:cstheme="majorBidi"/>
          <w:sz w:val="22"/>
          <w:szCs w:val="22"/>
          <w:lang w:val="en-GB"/>
        </w:rPr>
      </w:pPr>
      <w:r w:rsidRPr="5937A937">
        <w:rPr>
          <w:rFonts w:asciiTheme="majorHAnsi" w:hAnsiTheme="majorHAnsi" w:cstheme="majorBidi"/>
          <w:sz w:val="22"/>
          <w:szCs w:val="22"/>
          <w:lang w:val="en-GB"/>
        </w:rPr>
        <w:t>The discussion about</w:t>
      </w:r>
      <w:r w:rsidR="182BA598" w:rsidRPr="5937A937">
        <w:rPr>
          <w:rFonts w:asciiTheme="majorHAnsi" w:hAnsiTheme="majorHAnsi" w:cstheme="majorBidi"/>
          <w:sz w:val="22"/>
          <w:szCs w:val="22"/>
          <w:lang w:val="en-GB"/>
        </w:rPr>
        <w:t xml:space="preserve"> decarbonization </w:t>
      </w:r>
      <w:r w:rsidR="7EA680AF" w:rsidRPr="5937A937">
        <w:rPr>
          <w:rFonts w:asciiTheme="majorHAnsi" w:hAnsiTheme="majorHAnsi" w:cstheme="majorBidi"/>
          <w:sz w:val="22"/>
          <w:szCs w:val="22"/>
          <w:lang w:val="en-GB"/>
        </w:rPr>
        <w:t>put on</w:t>
      </w:r>
      <w:r w:rsidR="182BA598" w:rsidRPr="5937A937">
        <w:rPr>
          <w:rFonts w:asciiTheme="majorHAnsi" w:hAnsiTheme="majorHAnsi" w:cstheme="majorBidi"/>
          <w:sz w:val="22"/>
          <w:szCs w:val="22"/>
          <w:lang w:val="en-GB"/>
        </w:rPr>
        <w:t xml:space="preserve"> d</w:t>
      </w:r>
      <w:r w:rsidR="4783DE98" w:rsidRPr="5937A937">
        <w:rPr>
          <w:rFonts w:asciiTheme="majorHAnsi" w:hAnsiTheme="majorHAnsi" w:cstheme="majorBidi"/>
          <w:sz w:val="22"/>
          <w:szCs w:val="22"/>
          <w:lang w:val="en-GB"/>
        </w:rPr>
        <w:t xml:space="preserve">ebate </w:t>
      </w:r>
      <w:r w:rsidR="182BA598" w:rsidRPr="5937A937">
        <w:rPr>
          <w:rFonts w:asciiTheme="majorHAnsi" w:hAnsiTheme="majorHAnsi" w:cstheme="majorBidi"/>
          <w:sz w:val="22"/>
          <w:szCs w:val="22"/>
          <w:lang w:val="en-GB"/>
        </w:rPr>
        <w:t xml:space="preserve">the use of alternative energy carriers </w:t>
      </w:r>
      <w:r w:rsidR="4E441BDB" w:rsidRPr="5937A937">
        <w:rPr>
          <w:rFonts w:asciiTheme="majorHAnsi" w:hAnsiTheme="majorHAnsi" w:cstheme="majorBidi"/>
          <w:sz w:val="22"/>
          <w:szCs w:val="22"/>
          <w:lang w:val="en-GB"/>
        </w:rPr>
        <w:t>for</w:t>
      </w:r>
      <w:r w:rsidR="182BA598" w:rsidRPr="5937A937">
        <w:rPr>
          <w:rFonts w:asciiTheme="majorHAnsi" w:hAnsiTheme="majorHAnsi" w:cstheme="majorBidi"/>
          <w:sz w:val="22"/>
          <w:szCs w:val="22"/>
          <w:lang w:val="en-GB"/>
        </w:rPr>
        <w:t xml:space="preserve"> marine use. Among them</w:t>
      </w:r>
      <w:r w:rsidR="4E441BDB" w:rsidRPr="5937A937">
        <w:rPr>
          <w:rFonts w:asciiTheme="majorHAnsi" w:hAnsiTheme="majorHAnsi" w:cstheme="majorBidi"/>
          <w:sz w:val="22"/>
          <w:szCs w:val="22"/>
          <w:lang w:val="en-GB"/>
        </w:rPr>
        <w:t xml:space="preserve"> </w:t>
      </w:r>
      <w:r w:rsidR="182BA598" w:rsidRPr="5937A937">
        <w:rPr>
          <w:rFonts w:asciiTheme="majorHAnsi" w:hAnsiTheme="majorHAnsi" w:cstheme="majorBidi"/>
          <w:sz w:val="22"/>
          <w:szCs w:val="22"/>
          <w:lang w:val="en-GB"/>
        </w:rPr>
        <w:t>LNG</w:t>
      </w:r>
      <w:r w:rsidR="4A503B74" w:rsidRPr="5937A937">
        <w:rPr>
          <w:rFonts w:asciiTheme="majorHAnsi" w:hAnsiTheme="majorHAnsi" w:cstheme="majorBidi"/>
          <w:sz w:val="22"/>
          <w:szCs w:val="22"/>
          <w:lang w:val="en-GB"/>
        </w:rPr>
        <w:t xml:space="preserve">, </w:t>
      </w:r>
      <w:r w:rsidR="4BEFFF09" w:rsidRPr="5937A937">
        <w:rPr>
          <w:rFonts w:asciiTheme="majorHAnsi" w:hAnsiTheme="majorHAnsi" w:cstheme="majorBidi"/>
          <w:sz w:val="22"/>
          <w:szCs w:val="22"/>
          <w:lang w:val="en-GB"/>
        </w:rPr>
        <w:t>LPG</w:t>
      </w:r>
      <w:r w:rsidR="13544EB1" w:rsidRPr="5937A937">
        <w:rPr>
          <w:rFonts w:asciiTheme="majorHAnsi" w:hAnsiTheme="majorHAnsi" w:cstheme="majorBidi"/>
          <w:sz w:val="22"/>
          <w:szCs w:val="22"/>
          <w:lang w:val="en-GB"/>
        </w:rPr>
        <w:t>,</w:t>
      </w:r>
      <w:r w:rsidR="4BEFFF09" w:rsidRPr="5937A937">
        <w:rPr>
          <w:rFonts w:asciiTheme="majorHAnsi" w:hAnsiTheme="majorHAnsi" w:cstheme="majorBidi"/>
          <w:sz w:val="22"/>
          <w:szCs w:val="22"/>
          <w:lang w:val="en-GB"/>
        </w:rPr>
        <w:t xml:space="preserve"> </w:t>
      </w:r>
      <w:r w:rsidR="4A503B74" w:rsidRPr="5937A937">
        <w:rPr>
          <w:rFonts w:asciiTheme="majorHAnsi" w:hAnsiTheme="majorHAnsi" w:cstheme="majorBidi"/>
          <w:sz w:val="22"/>
          <w:szCs w:val="22"/>
          <w:lang w:val="en-GB"/>
        </w:rPr>
        <w:t xml:space="preserve">ammonia, hydrogen, </w:t>
      </w:r>
      <w:proofErr w:type="gramStart"/>
      <w:r w:rsidR="4A503B74" w:rsidRPr="5937A937">
        <w:rPr>
          <w:rFonts w:asciiTheme="majorHAnsi" w:hAnsiTheme="majorHAnsi" w:cstheme="majorBidi"/>
          <w:sz w:val="22"/>
          <w:szCs w:val="22"/>
          <w:lang w:val="en-GB"/>
        </w:rPr>
        <w:t>methanol</w:t>
      </w:r>
      <w:proofErr w:type="gramEnd"/>
      <w:r w:rsidR="4A503B74" w:rsidRPr="5937A937">
        <w:rPr>
          <w:rFonts w:asciiTheme="majorHAnsi" w:hAnsiTheme="majorHAnsi" w:cstheme="majorBidi"/>
          <w:sz w:val="22"/>
          <w:szCs w:val="22"/>
          <w:lang w:val="en-GB"/>
        </w:rPr>
        <w:t xml:space="preserve"> and biofuels</w:t>
      </w:r>
      <w:r w:rsidR="4E441BDB" w:rsidRPr="5937A937">
        <w:rPr>
          <w:rFonts w:asciiTheme="majorHAnsi" w:hAnsiTheme="majorHAnsi" w:cstheme="majorBidi"/>
          <w:sz w:val="22"/>
          <w:szCs w:val="22"/>
          <w:lang w:val="en-GB"/>
        </w:rPr>
        <w:t xml:space="preserve"> can be listed. Below </w:t>
      </w:r>
      <w:r w:rsidR="45B1FDBB" w:rsidRPr="5937A937">
        <w:rPr>
          <w:rFonts w:asciiTheme="majorHAnsi" w:hAnsiTheme="majorHAnsi" w:cstheme="majorBidi"/>
          <w:sz w:val="22"/>
          <w:szCs w:val="22"/>
          <w:lang w:val="en-GB"/>
        </w:rPr>
        <w:t>those fuels are</w:t>
      </w:r>
      <w:r w:rsidR="678508D7" w:rsidRPr="5937A937">
        <w:rPr>
          <w:rFonts w:asciiTheme="majorHAnsi" w:hAnsiTheme="majorHAnsi" w:cstheme="majorBidi"/>
          <w:sz w:val="22"/>
          <w:szCs w:val="22"/>
          <w:lang w:val="en-GB"/>
        </w:rPr>
        <w:t xml:space="preserve"> further discussed.</w:t>
      </w:r>
    </w:p>
    <w:p w14:paraId="4B7BC9E4" w14:textId="73202786" w:rsidR="00020333" w:rsidRDefault="007659BF" w:rsidP="00020333">
      <w:pPr>
        <w:spacing w:after="120" w:line="360" w:lineRule="auto"/>
        <w:rPr>
          <w:rFonts w:asciiTheme="majorHAnsi" w:hAnsiTheme="majorHAnsi" w:cstheme="majorBidi"/>
          <w:sz w:val="22"/>
          <w:szCs w:val="22"/>
          <w:lang w:val="en-GB"/>
        </w:rPr>
      </w:pPr>
      <w:r w:rsidRPr="000D7D19">
        <w:rPr>
          <w:rFonts w:asciiTheme="majorHAnsi" w:hAnsiTheme="majorHAnsi" w:cstheme="majorHAnsi"/>
          <w:sz w:val="22"/>
          <w:szCs w:val="22"/>
          <w:lang w:val="en-GB"/>
        </w:rPr>
        <w:tab/>
      </w:r>
      <w:r w:rsidR="43ED38DE" w:rsidRPr="791B8135">
        <w:rPr>
          <w:rFonts w:asciiTheme="majorHAnsi" w:hAnsiTheme="majorHAnsi" w:cstheme="majorBidi"/>
          <w:b/>
          <w:bCs/>
          <w:sz w:val="22"/>
          <w:szCs w:val="22"/>
          <w:lang w:val="en-GB"/>
        </w:rPr>
        <w:t>LNG</w:t>
      </w:r>
      <w:r w:rsidR="43ED38DE" w:rsidRPr="791B8135">
        <w:rPr>
          <w:rFonts w:asciiTheme="majorHAnsi" w:hAnsiTheme="majorHAnsi" w:cstheme="majorBidi"/>
          <w:sz w:val="22"/>
          <w:szCs w:val="22"/>
          <w:lang w:val="en-GB"/>
        </w:rPr>
        <w:t xml:space="preserve"> has been discussed as an </w:t>
      </w:r>
      <w:r w:rsidR="15425B57" w:rsidRPr="791B8135">
        <w:rPr>
          <w:rFonts w:asciiTheme="majorHAnsi" w:hAnsiTheme="majorHAnsi" w:cstheme="majorBidi"/>
          <w:sz w:val="22"/>
          <w:szCs w:val="22"/>
          <w:lang w:val="en-GB"/>
        </w:rPr>
        <w:t>early</w:t>
      </w:r>
      <w:r w:rsidR="43ED38DE" w:rsidRPr="791B8135">
        <w:rPr>
          <w:rFonts w:asciiTheme="majorHAnsi" w:hAnsiTheme="majorHAnsi" w:cstheme="majorBidi"/>
          <w:sz w:val="22"/>
          <w:szCs w:val="22"/>
          <w:lang w:val="en-GB"/>
        </w:rPr>
        <w:t xml:space="preserve"> alternative</w:t>
      </w:r>
      <w:r w:rsidR="15425B57" w:rsidRPr="791B8135">
        <w:rPr>
          <w:rFonts w:asciiTheme="majorHAnsi" w:hAnsiTheme="majorHAnsi" w:cstheme="majorBidi"/>
          <w:sz w:val="22"/>
          <w:szCs w:val="22"/>
          <w:lang w:val="en-GB"/>
        </w:rPr>
        <w:t xml:space="preserve"> to reduce </w:t>
      </w:r>
      <w:r w:rsidR="69F8775C" w:rsidRPr="791B8135">
        <w:rPr>
          <w:rFonts w:asciiTheme="majorHAnsi" w:hAnsiTheme="majorHAnsi" w:cstheme="majorBidi"/>
          <w:sz w:val="22"/>
          <w:szCs w:val="22"/>
          <w:lang w:val="en-GB"/>
        </w:rPr>
        <w:t xml:space="preserve">direct </w:t>
      </w:r>
      <w:r w:rsidR="15425B57" w:rsidRPr="791B8135">
        <w:rPr>
          <w:rFonts w:asciiTheme="majorHAnsi" w:hAnsiTheme="majorHAnsi" w:cstheme="majorBidi"/>
          <w:sz w:val="22"/>
          <w:szCs w:val="22"/>
          <w:lang w:val="en-GB"/>
        </w:rPr>
        <w:t>emissions</w:t>
      </w:r>
      <w:r w:rsidR="69F8775C" w:rsidRPr="791B8135">
        <w:rPr>
          <w:rFonts w:asciiTheme="majorHAnsi" w:hAnsiTheme="majorHAnsi" w:cstheme="majorBidi"/>
          <w:sz w:val="22"/>
          <w:szCs w:val="22"/>
          <w:lang w:val="en-GB"/>
        </w:rPr>
        <w:t xml:space="preserve"> from engines</w:t>
      </w:r>
      <w:r w:rsidR="15425B57" w:rsidRPr="791B8135">
        <w:rPr>
          <w:rFonts w:asciiTheme="majorHAnsi" w:hAnsiTheme="majorHAnsi" w:cstheme="majorBidi"/>
          <w:sz w:val="22"/>
          <w:szCs w:val="22"/>
          <w:lang w:val="en-GB"/>
        </w:rPr>
        <w:t xml:space="preserve">, </w:t>
      </w:r>
      <w:proofErr w:type="spellStart"/>
      <w:r w:rsidR="15425B57" w:rsidRPr="791B8135">
        <w:rPr>
          <w:rFonts w:asciiTheme="majorHAnsi" w:hAnsiTheme="majorHAnsi" w:cstheme="majorBidi"/>
          <w:sz w:val="22"/>
          <w:szCs w:val="22"/>
          <w:lang w:val="en-GB"/>
        </w:rPr>
        <w:t>e.g</w:t>
      </w:r>
      <w:proofErr w:type="spellEnd"/>
      <w:r w:rsidR="15425B57" w:rsidRPr="791B8135">
        <w:rPr>
          <w:rFonts w:asciiTheme="majorHAnsi" w:hAnsiTheme="majorHAnsi" w:cstheme="majorBidi"/>
          <w:sz w:val="22"/>
          <w:szCs w:val="22"/>
          <w:lang w:val="en-GB"/>
        </w:rPr>
        <w:t xml:space="preserve">, </w:t>
      </w:r>
      <w:proofErr w:type="spellStart"/>
      <w:r w:rsidR="15425B57" w:rsidRPr="791B8135">
        <w:rPr>
          <w:rFonts w:asciiTheme="majorHAnsi" w:hAnsiTheme="majorHAnsi" w:cstheme="majorBidi"/>
          <w:sz w:val="22"/>
          <w:szCs w:val="22"/>
          <w:lang w:val="en-GB"/>
        </w:rPr>
        <w:t>C</w:t>
      </w:r>
      <w:r w:rsidR="69F8775C" w:rsidRPr="791B8135">
        <w:rPr>
          <w:rFonts w:asciiTheme="majorHAnsi" w:hAnsiTheme="majorHAnsi" w:cstheme="majorBidi"/>
          <w:sz w:val="22"/>
          <w:szCs w:val="22"/>
          <w:lang w:val="en-GB"/>
        </w:rPr>
        <w:t>O</w:t>
      </w:r>
      <w:r w:rsidR="15425B57" w:rsidRPr="791B8135">
        <w:rPr>
          <w:rFonts w:asciiTheme="majorHAnsi" w:hAnsiTheme="majorHAnsi" w:cstheme="majorBidi"/>
          <w:sz w:val="22"/>
          <w:szCs w:val="22"/>
          <w:lang w:val="en-GB"/>
        </w:rPr>
        <w:t>x</w:t>
      </w:r>
      <w:proofErr w:type="spellEnd"/>
      <w:r w:rsidR="15425B57" w:rsidRPr="791B8135">
        <w:rPr>
          <w:rFonts w:asciiTheme="majorHAnsi" w:hAnsiTheme="majorHAnsi" w:cstheme="majorBidi"/>
          <w:sz w:val="22"/>
          <w:szCs w:val="22"/>
          <w:lang w:val="en-GB"/>
        </w:rPr>
        <w:t xml:space="preserve">, NOx, </w:t>
      </w:r>
      <w:proofErr w:type="spellStart"/>
      <w:r w:rsidR="15425B57" w:rsidRPr="791B8135">
        <w:rPr>
          <w:rFonts w:asciiTheme="majorHAnsi" w:hAnsiTheme="majorHAnsi" w:cstheme="majorBidi"/>
          <w:sz w:val="22"/>
          <w:szCs w:val="22"/>
          <w:lang w:val="en-GB"/>
        </w:rPr>
        <w:t>S</w:t>
      </w:r>
      <w:r w:rsidR="005B4BC3" w:rsidRPr="791B8135">
        <w:rPr>
          <w:rFonts w:asciiTheme="majorHAnsi" w:hAnsiTheme="majorHAnsi" w:cstheme="majorBidi"/>
          <w:sz w:val="22"/>
          <w:szCs w:val="22"/>
          <w:lang w:val="en-GB"/>
        </w:rPr>
        <w:t>O</w:t>
      </w:r>
      <w:r w:rsidR="15425B57" w:rsidRPr="791B8135">
        <w:rPr>
          <w:rFonts w:asciiTheme="majorHAnsi" w:hAnsiTheme="majorHAnsi" w:cstheme="majorBidi"/>
          <w:sz w:val="22"/>
          <w:szCs w:val="22"/>
          <w:lang w:val="en-GB"/>
        </w:rPr>
        <w:t>x</w:t>
      </w:r>
      <w:proofErr w:type="spellEnd"/>
      <w:r w:rsidR="74DE1A68" w:rsidRPr="791B8135">
        <w:rPr>
          <w:rFonts w:asciiTheme="majorHAnsi" w:hAnsiTheme="majorHAnsi" w:cstheme="majorBidi"/>
          <w:sz w:val="22"/>
          <w:szCs w:val="22"/>
          <w:lang w:val="en-GB"/>
        </w:rPr>
        <w:t>. P</w:t>
      </w:r>
      <w:r w:rsidR="15425B57" w:rsidRPr="791B8135">
        <w:rPr>
          <w:rFonts w:asciiTheme="majorHAnsi" w:hAnsiTheme="majorHAnsi" w:cstheme="majorBidi"/>
          <w:sz w:val="22"/>
          <w:szCs w:val="22"/>
          <w:lang w:val="en-GB"/>
        </w:rPr>
        <w:t xml:space="preserve">roduct, transport infrastructure and engine technology are readily available. </w:t>
      </w:r>
      <w:r w:rsidR="69F8775C" w:rsidRPr="791B8135">
        <w:rPr>
          <w:rFonts w:asciiTheme="majorHAnsi" w:hAnsiTheme="majorHAnsi" w:cstheme="majorBidi"/>
          <w:sz w:val="22"/>
          <w:szCs w:val="22"/>
          <w:lang w:val="en-GB"/>
        </w:rPr>
        <w:t>LNG consist</w:t>
      </w:r>
      <w:r w:rsidR="23EA0443" w:rsidRPr="791B8135">
        <w:rPr>
          <w:rFonts w:asciiTheme="majorHAnsi" w:hAnsiTheme="majorHAnsi" w:cstheme="majorBidi"/>
          <w:sz w:val="22"/>
          <w:szCs w:val="22"/>
          <w:lang w:val="en-GB"/>
        </w:rPr>
        <w:t>s</w:t>
      </w:r>
      <w:r w:rsidR="69F8775C" w:rsidRPr="791B8135">
        <w:rPr>
          <w:rFonts w:asciiTheme="majorHAnsi" w:hAnsiTheme="majorHAnsi" w:cstheme="majorBidi"/>
          <w:sz w:val="22"/>
          <w:szCs w:val="22"/>
          <w:lang w:val="en-GB"/>
        </w:rPr>
        <w:t xml:space="preserve"> of methane in its majority, </w:t>
      </w:r>
      <w:r w:rsidR="30BA3EB9" w:rsidRPr="791B8135">
        <w:rPr>
          <w:rFonts w:asciiTheme="majorHAnsi" w:hAnsiTheme="majorHAnsi" w:cstheme="majorBidi"/>
          <w:sz w:val="22"/>
          <w:szCs w:val="22"/>
          <w:lang w:val="en-GB"/>
        </w:rPr>
        <w:t>with a small fraction</w:t>
      </w:r>
      <w:r w:rsidR="69F8775C" w:rsidRPr="791B8135">
        <w:rPr>
          <w:rFonts w:asciiTheme="majorHAnsi" w:hAnsiTheme="majorHAnsi" w:cstheme="majorBidi"/>
          <w:sz w:val="22"/>
          <w:szCs w:val="22"/>
          <w:lang w:val="en-GB"/>
        </w:rPr>
        <w:t xml:space="preserve"> of nitrogen, ethane, </w:t>
      </w:r>
      <w:proofErr w:type="gramStart"/>
      <w:r w:rsidR="69F8775C" w:rsidRPr="791B8135">
        <w:rPr>
          <w:rFonts w:asciiTheme="majorHAnsi" w:hAnsiTheme="majorHAnsi" w:cstheme="majorBidi"/>
          <w:sz w:val="22"/>
          <w:szCs w:val="22"/>
          <w:lang w:val="en-GB"/>
        </w:rPr>
        <w:t>propane</w:t>
      </w:r>
      <w:proofErr w:type="gramEnd"/>
      <w:r w:rsidR="69F8775C" w:rsidRPr="791B8135">
        <w:rPr>
          <w:rFonts w:asciiTheme="majorHAnsi" w:hAnsiTheme="majorHAnsi" w:cstheme="majorBidi"/>
          <w:sz w:val="22"/>
          <w:szCs w:val="22"/>
          <w:lang w:val="en-GB"/>
        </w:rPr>
        <w:t xml:space="preserve"> and butane. </w:t>
      </w:r>
      <w:r w:rsidR="52C01F03" w:rsidRPr="791B8135">
        <w:rPr>
          <w:rFonts w:asciiTheme="majorHAnsi" w:hAnsiTheme="majorHAnsi" w:cstheme="majorBidi"/>
          <w:sz w:val="22"/>
          <w:szCs w:val="22"/>
          <w:lang w:val="en-GB"/>
        </w:rPr>
        <w:t xml:space="preserve"> </w:t>
      </w:r>
      <w:r w:rsidR="00963F36">
        <w:rPr>
          <w:rStyle w:val="normaltextrun"/>
          <w:rFonts w:cs="Calibri"/>
          <w:color w:val="1F1F1F"/>
          <w:sz w:val="22"/>
          <w:szCs w:val="22"/>
          <w:shd w:val="clear" w:color="auto" w:fill="FFFFFF"/>
          <w:lang w:val="en-GB"/>
        </w:rPr>
        <w:t>When cooled down to -160 ˚C, the gas is liquefied and reduces its volume, occupying 1/600</w:t>
      </w:r>
      <w:r w:rsidR="00963F36">
        <w:rPr>
          <w:rStyle w:val="normaltextrun"/>
          <w:rFonts w:cs="Calibri"/>
          <w:color w:val="1F1F1F"/>
          <w:sz w:val="17"/>
          <w:szCs w:val="17"/>
          <w:shd w:val="clear" w:color="auto" w:fill="FFFFFF"/>
          <w:vertAlign w:val="superscript"/>
          <w:lang w:val="en-GB"/>
        </w:rPr>
        <w:t>th</w:t>
      </w:r>
      <w:r w:rsidR="00963F36">
        <w:rPr>
          <w:rStyle w:val="normaltextrun"/>
          <w:rFonts w:cs="Calibri"/>
          <w:color w:val="1F1F1F"/>
          <w:sz w:val="22"/>
          <w:szCs w:val="22"/>
          <w:shd w:val="clear" w:color="auto" w:fill="FFFFFF"/>
          <w:lang w:val="en-GB"/>
        </w:rPr>
        <w:t> of its original space</w:t>
      </w:r>
      <w:r w:rsidR="69F8775C" w:rsidRPr="791B8135">
        <w:rPr>
          <w:rFonts w:asciiTheme="majorHAnsi" w:hAnsiTheme="majorHAnsi" w:cstheme="majorBidi"/>
          <w:sz w:val="22"/>
          <w:szCs w:val="22"/>
          <w:lang w:val="en-GB"/>
        </w:rPr>
        <w:t xml:space="preserve">. The liquefaction process usually </w:t>
      </w:r>
      <w:r w:rsidR="00121EAE">
        <w:rPr>
          <w:rFonts w:asciiTheme="majorHAnsi" w:hAnsiTheme="majorHAnsi" w:cstheme="majorBidi"/>
          <w:sz w:val="22"/>
          <w:szCs w:val="22"/>
          <w:lang w:val="en-GB"/>
        </w:rPr>
        <w:t>consumes</w:t>
      </w:r>
      <w:r w:rsidR="69F8775C" w:rsidRPr="791B8135">
        <w:rPr>
          <w:rFonts w:asciiTheme="majorHAnsi" w:hAnsiTheme="majorHAnsi" w:cstheme="majorBidi"/>
          <w:sz w:val="22"/>
          <w:szCs w:val="22"/>
          <w:lang w:val="en-GB"/>
        </w:rPr>
        <w:t xml:space="preserve"> </w:t>
      </w:r>
      <w:r w:rsidR="40CF2A36" w:rsidRPr="791B8135">
        <w:rPr>
          <w:rFonts w:asciiTheme="majorHAnsi" w:hAnsiTheme="majorHAnsi" w:cstheme="majorBidi"/>
          <w:sz w:val="22"/>
          <w:szCs w:val="22"/>
          <w:lang w:val="en-GB"/>
        </w:rPr>
        <w:t xml:space="preserve">8% to </w:t>
      </w:r>
      <w:r w:rsidR="69F8775C" w:rsidRPr="791B8135">
        <w:rPr>
          <w:rFonts w:asciiTheme="majorHAnsi" w:hAnsiTheme="majorHAnsi" w:cstheme="majorBidi"/>
          <w:sz w:val="22"/>
          <w:szCs w:val="22"/>
          <w:lang w:val="en-GB"/>
        </w:rPr>
        <w:t>25% of the</w:t>
      </w:r>
      <w:r w:rsidR="56F8E294" w:rsidRPr="791B8135">
        <w:rPr>
          <w:rFonts w:asciiTheme="majorHAnsi" w:hAnsiTheme="majorHAnsi" w:cstheme="majorBidi"/>
          <w:sz w:val="22"/>
          <w:szCs w:val="22"/>
          <w:lang w:val="en-GB"/>
        </w:rPr>
        <w:t xml:space="preserve"> </w:t>
      </w:r>
      <w:r w:rsidR="69F8775C" w:rsidRPr="791B8135">
        <w:rPr>
          <w:rFonts w:asciiTheme="majorHAnsi" w:hAnsiTheme="majorHAnsi" w:cstheme="majorBidi"/>
          <w:sz w:val="22"/>
          <w:szCs w:val="22"/>
          <w:lang w:val="en-GB"/>
        </w:rPr>
        <w:t xml:space="preserve">energy </w:t>
      </w:r>
      <w:r w:rsidR="00121EAE">
        <w:rPr>
          <w:rFonts w:asciiTheme="majorHAnsi" w:hAnsiTheme="majorHAnsi" w:cstheme="majorBidi"/>
          <w:sz w:val="22"/>
          <w:szCs w:val="22"/>
          <w:lang w:val="en-GB"/>
        </w:rPr>
        <w:t xml:space="preserve"> used to produce </w:t>
      </w:r>
      <w:r w:rsidR="69F8775C" w:rsidRPr="791B8135">
        <w:rPr>
          <w:rFonts w:asciiTheme="majorHAnsi" w:hAnsiTheme="majorHAnsi" w:cstheme="majorBidi"/>
          <w:sz w:val="22"/>
          <w:szCs w:val="22"/>
          <w:lang w:val="en-GB"/>
        </w:rPr>
        <w:t>LNG</w:t>
      </w:r>
      <w:r w:rsidR="4B0AA93F" w:rsidRPr="791B8135">
        <w:rPr>
          <w:rFonts w:asciiTheme="majorHAnsi" w:hAnsiTheme="majorHAnsi" w:cstheme="majorBidi"/>
          <w:sz w:val="22"/>
          <w:szCs w:val="22"/>
          <w:lang w:val="en-GB"/>
        </w:rPr>
        <w:t xml:space="preserve"> </w:t>
      </w:r>
      <w:r w:rsidR="005525CB" w:rsidRPr="791B8135">
        <w:rPr>
          <w:rFonts w:asciiTheme="majorHAnsi" w:hAnsiTheme="majorHAnsi" w:cstheme="majorBidi"/>
          <w:sz w:val="22"/>
          <w:szCs w:val="22"/>
          <w:lang w:val="en-GB"/>
        </w:rPr>
        <w:fldChar w:fldCharType="begin" w:fldLock="1"/>
      </w:r>
      <w:r w:rsidR="00C72DA0" w:rsidRPr="791B8135">
        <w:rPr>
          <w:rFonts w:asciiTheme="majorHAnsi" w:hAnsiTheme="majorHAnsi" w:cstheme="majorBidi"/>
          <w:sz w:val="22"/>
          <w:szCs w:val="22"/>
          <w:lang w:val="en-GB"/>
        </w:rPr>
        <w:instrText>ADDIN CSL_CITATION {"citationItems":[{"id":"ITEM-1","itemData":{"URL":"https://www.oiltanking.com/en/news-info/glossary/details/term/lng-liquefied-natural-gas.html","accessed":{"date-parts":[["2021","9","20"]]},"author":[{"dropping-particle":"","family":"Oiltanking GmbH","given":"","non-dropping-particle":"","parse-names":false,"suffix":""}],"id":"ITEM-1","issued":{"date-parts":[["0"]]},"title":"Important Terms from A to Z","type":"webpage"},"uris":["http://www.mendeley.com/documents/?uuid=af4dbd65-d916-4cdd-ab29-21ac7ff36c99"]},{"id":"ITEM-2","itemData":{"DOI":"10.1016/j.enconman.2018.12.080","ISSN":"01968904","abstract":"International shipping provides 80–90% of global trade, but strict environmental regulations around NOX, SOX and greenhouse gas (GHG) emissions are set to cause major technological shifts. The pathway to achieving the international target of 50% GHG reduction by 2050 is unclear, but numerous promising options exist. This study provides a holistic assessment of these options and their combined potential to decarbonise international shipping, from a technology, environmental and policy perspective. Liquefied natural gas (LNG) is reaching mainstream and provides 20–30% CO2 reductions whilst minimising SOX and other emissions. Costs are favourable, but GHG benefits are reduced by methane slip, which varies across engine types. Biofuels, hydrogen, nuclear and carbon capture and storage (CCS) could all decarbonise much further, but each faces significant barriers around their economics, resource potentials and public acceptability. Regarding efficiency measures, considerable fuel and GHG savings could be attained by slow-steaming, ship design changes and utilising renewable resources. There is clearly no single route and a multifaceted response is required for deep decarbonisation. The scale of this challenge is explored by estimating the combined decarbonisation potential of multiple options. Achieving 50% decarbonisation with LNG or electric propulsion would likely require 4 or more complementary efficiency measures to be applied simultaneously. Broadly, larger GHG reductions require stronger policy and may differentiate between short- and long-term approaches. With LNG being economically feasible and offering moderate environmental benefits, this may have short-term promise with minor policy intervention. Longer term, deeper decarbonisation will require strong financial incentives. Lowest-cost policy options should be fuel- or technology-agnostic, internationally applied and will require action now to ensure targets are met by 2050.","author":[{"dropping-particle":"","family":"Balcombe","given":"Paul","non-dropping-particle":"","parse-names":false,"suffix":""},{"dropping-particle":"","family":"Brierley","given":"James","non-dropping-particle":"","parse-names":false,"suffix":""},{"dropping-particle":"","family":"Lewis","given":"Chester","non-dropping-particle":"","parse-names":false,"suffix":""},{"dropping-particle":"","family":"Skatvedt","given":"Line","non-dropping-particle":"","parse-names":false,"suffix":""},{"dropping-particle":"","family":"Speirs","given":"Jamie","non-dropping-particle":"","parse-names":false,"suffix":""},{"dropping-particle":"","family":"Hawkes","given":"Adam","non-dropping-particle":"","parse-names":false,"suffix":""},{"dropping-particle":"","family":"Staffell","given":"Iain","non-dropping-particle":"","parse-names":false,"suffix":""}],"container-title":"Energy Conversion and Management","id":"ITEM-2","issue":"December 2018","issued":{"date-parts":[["2019"]]},"page":"72-88","title":"How to decarbonise international shipping: Options for fuels, technologies and policies","type":"article-journal","volume":"182"},"uris":["http://www.mendeley.com/documents/?uuid=96546af7-7da1-41da-8ebe-86d293776d81"]}],"mendeley":{"formattedCitation":"(Balcombe et al., 2019; Oiltanking GmbH, n.d.)","plainTextFormattedCitation":"(Balcombe et al., 2019; Oiltanking GmbH, n.d.)","previouslyFormattedCitation":"(Balcombe et al., 2019; Oiltanking GmbH, n.d.)"},"properties":{"noteIndex":0},"schema":"https://github.com/citation-style-language/schema/raw/master/csl-citation.json"}</w:instrText>
      </w:r>
      <w:r w:rsidR="005525CB" w:rsidRPr="791B8135">
        <w:rPr>
          <w:rFonts w:asciiTheme="majorHAnsi" w:hAnsiTheme="majorHAnsi" w:cstheme="majorBidi"/>
          <w:sz w:val="22"/>
          <w:szCs w:val="22"/>
          <w:lang w:val="en-GB"/>
        </w:rPr>
        <w:fldChar w:fldCharType="separate"/>
      </w:r>
      <w:r w:rsidR="4B0AA93F" w:rsidRPr="791B8135">
        <w:rPr>
          <w:rFonts w:asciiTheme="majorHAnsi" w:hAnsiTheme="majorHAnsi" w:cstheme="majorBidi"/>
          <w:noProof/>
          <w:sz w:val="22"/>
          <w:szCs w:val="22"/>
          <w:lang w:val="en-GB"/>
        </w:rPr>
        <w:t>(Balcombe et al., 2019; Oiltanking GmbH, n.d.)</w:t>
      </w:r>
      <w:r w:rsidR="005525CB" w:rsidRPr="791B8135">
        <w:rPr>
          <w:rFonts w:asciiTheme="majorHAnsi" w:hAnsiTheme="majorHAnsi" w:cstheme="majorBidi"/>
          <w:sz w:val="22"/>
          <w:szCs w:val="22"/>
          <w:lang w:val="en-GB"/>
        </w:rPr>
        <w:fldChar w:fldCharType="end"/>
      </w:r>
      <w:r w:rsidR="69F8775C" w:rsidRPr="791B8135">
        <w:rPr>
          <w:rFonts w:asciiTheme="majorHAnsi" w:hAnsiTheme="majorHAnsi" w:cstheme="majorBidi"/>
          <w:sz w:val="22"/>
          <w:szCs w:val="22"/>
          <w:lang w:val="en-GB"/>
        </w:rPr>
        <w:t>.</w:t>
      </w:r>
      <w:r w:rsidR="6B7E2614" w:rsidRPr="791B8135">
        <w:rPr>
          <w:rFonts w:asciiTheme="majorHAnsi" w:hAnsiTheme="majorHAnsi" w:cstheme="majorBidi"/>
          <w:sz w:val="22"/>
          <w:szCs w:val="22"/>
          <w:lang w:val="en-GB"/>
        </w:rPr>
        <w:t xml:space="preserve"> </w:t>
      </w:r>
      <w:r w:rsidR="4A532B7D" w:rsidRPr="791B8135">
        <w:rPr>
          <w:rFonts w:asciiTheme="majorHAnsi" w:hAnsiTheme="majorHAnsi" w:cstheme="majorBidi"/>
          <w:sz w:val="22"/>
          <w:szCs w:val="22"/>
          <w:lang w:val="en-GB"/>
        </w:rPr>
        <w:t>LNG</w:t>
      </w:r>
      <w:r w:rsidR="6B7E2614" w:rsidRPr="791B8135">
        <w:rPr>
          <w:rFonts w:asciiTheme="majorHAnsi" w:hAnsiTheme="majorHAnsi" w:cstheme="majorBidi"/>
          <w:sz w:val="22"/>
          <w:szCs w:val="22"/>
          <w:lang w:val="en-GB"/>
        </w:rPr>
        <w:t xml:space="preserve"> can </w:t>
      </w:r>
      <w:r w:rsidR="7348B0EF" w:rsidRPr="791B8135">
        <w:rPr>
          <w:rFonts w:asciiTheme="majorHAnsi" w:hAnsiTheme="majorHAnsi" w:cstheme="majorBidi"/>
          <w:sz w:val="22"/>
          <w:szCs w:val="22"/>
          <w:lang w:val="en-GB"/>
        </w:rPr>
        <w:t>be used</w:t>
      </w:r>
      <w:r w:rsidR="6B7E2614" w:rsidRPr="791B8135">
        <w:rPr>
          <w:rFonts w:asciiTheme="majorHAnsi" w:hAnsiTheme="majorHAnsi" w:cstheme="majorBidi"/>
          <w:sz w:val="22"/>
          <w:szCs w:val="22"/>
          <w:lang w:val="en-GB"/>
        </w:rPr>
        <w:t xml:space="preserve"> </w:t>
      </w:r>
      <w:r w:rsidR="4AE5DCBC" w:rsidRPr="791B8135">
        <w:rPr>
          <w:rFonts w:asciiTheme="majorHAnsi" w:hAnsiTheme="majorHAnsi" w:cstheme="majorBidi"/>
          <w:sz w:val="22"/>
          <w:szCs w:val="22"/>
          <w:lang w:val="en-GB"/>
        </w:rPr>
        <w:t xml:space="preserve">namely </w:t>
      </w:r>
      <w:r w:rsidR="6B7E2614" w:rsidRPr="791B8135">
        <w:rPr>
          <w:rFonts w:asciiTheme="majorHAnsi" w:hAnsiTheme="majorHAnsi" w:cstheme="majorBidi"/>
          <w:sz w:val="22"/>
          <w:szCs w:val="22"/>
          <w:lang w:val="en-GB"/>
        </w:rPr>
        <w:t>lean-burn spark ignition, 2 and 4 st</w:t>
      </w:r>
      <w:r w:rsidR="50C15610" w:rsidRPr="791B8135">
        <w:rPr>
          <w:rFonts w:asciiTheme="majorHAnsi" w:hAnsiTheme="majorHAnsi" w:cstheme="majorBidi"/>
          <w:sz w:val="22"/>
          <w:szCs w:val="22"/>
          <w:lang w:val="en-GB"/>
        </w:rPr>
        <w:t>r</w:t>
      </w:r>
      <w:r w:rsidR="6B7E2614" w:rsidRPr="791B8135">
        <w:rPr>
          <w:rFonts w:asciiTheme="majorHAnsi" w:hAnsiTheme="majorHAnsi" w:cstheme="majorBidi"/>
          <w:sz w:val="22"/>
          <w:szCs w:val="22"/>
          <w:lang w:val="en-GB"/>
        </w:rPr>
        <w:t xml:space="preserve">okes low pressure dual-fuel, </w:t>
      </w:r>
      <w:r w:rsidR="4AE5DCBC" w:rsidRPr="791B8135">
        <w:rPr>
          <w:rFonts w:asciiTheme="majorHAnsi" w:hAnsiTheme="majorHAnsi" w:cstheme="majorBidi"/>
          <w:sz w:val="22"/>
          <w:szCs w:val="22"/>
          <w:lang w:val="en-GB"/>
        </w:rPr>
        <w:t xml:space="preserve">and </w:t>
      </w:r>
      <w:r w:rsidR="01C5D94B" w:rsidRPr="791B8135">
        <w:rPr>
          <w:rFonts w:asciiTheme="majorHAnsi" w:hAnsiTheme="majorHAnsi" w:cstheme="majorBidi"/>
          <w:sz w:val="22"/>
          <w:szCs w:val="22"/>
          <w:lang w:val="en-GB"/>
        </w:rPr>
        <w:t>high-pressure</w:t>
      </w:r>
      <w:r w:rsidR="6B7E2614" w:rsidRPr="791B8135">
        <w:rPr>
          <w:rFonts w:asciiTheme="majorHAnsi" w:hAnsiTheme="majorHAnsi" w:cstheme="majorBidi"/>
          <w:sz w:val="22"/>
          <w:szCs w:val="22"/>
          <w:lang w:val="en-GB"/>
        </w:rPr>
        <w:t xml:space="preserve"> dual-fuel and gas turbine</w:t>
      </w:r>
      <w:r w:rsidR="40CF2A36" w:rsidRPr="791B8135">
        <w:rPr>
          <w:rFonts w:asciiTheme="majorHAnsi" w:hAnsiTheme="majorHAnsi" w:cstheme="majorBidi"/>
          <w:sz w:val="22"/>
          <w:szCs w:val="22"/>
          <w:lang w:val="en-GB"/>
        </w:rPr>
        <w:t>.</w:t>
      </w:r>
      <w:r w:rsidR="04F018E5" w:rsidRPr="791B8135">
        <w:rPr>
          <w:rFonts w:asciiTheme="majorHAnsi" w:hAnsiTheme="majorHAnsi" w:cstheme="majorBidi"/>
          <w:sz w:val="22"/>
          <w:szCs w:val="22"/>
          <w:lang w:val="en-GB"/>
        </w:rPr>
        <w:t xml:space="preserve"> </w:t>
      </w:r>
      <w:r w:rsidR="40CF2A36" w:rsidRPr="791B8135">
        <w:rPr>
          <w:rFonts w:asciiTheme="majorHAnsi" w:hAnsiTheme="majorHAnsi" w:cstheme="majorBidi"/>
          <w:sz w:val="22"/>
          <w:szCs w:val="22"/>
          <w:lang w:val="en-GB"/>
        </w:rPr>
        <w:t xml:space="preserve">Dual-fuel engines have been used for the past 40 years by LNG </w:t>
      </w:r>
      <w:r w:rsidR="3E528D59" w:rsidRPr="791B8135">
        <w:rPr>
          <w:rFonts w:asciiTheme="majorHAnsi" w:hAnsiTheme="majorHAnsi" w:cstheme="majorBidi"/>
          <w:sz w:val="22"/>
          <w:szCs w:val="22"/>
          <w:lang w:val="en-GB"/>
        </w:rPr>
        <w:t>carriers</w:t>
      </w:r>
      <w:r w:rsidR="2F7258BB" w:rsidRPr="791B8135">
        <w:rPr>
          <w:rFonts w:asciiTheme="majorHAnsi" w:hAnsiTheme="majorHAnsi" w:cstheme="majorBidi"/>
          <w:sz w:val="22"/>
          <w:szCs w:val="22"/>
          <w:lang w:val="en-GB"/>
        </w:rPr>
        <w:t>. I was</w:t>
      </w:r>
      <w:r w:rsidR="40CF2A36" w:rsidRPr="791B8135">
        <w:rPr>
          <w:rFonts w:asciiTheme="majorHAnsi" w:hAnsiTheme="majorHAnsi" w:cstheme="majorBidi"/>
          <w:sz w:val="22"/>
          <w:szCs w:val="22"/>
          <w:lang w:val="en-GB"/>
        </w:rPr>
        <w:t xml:space="preserve"> the first dedicated engine being constructed in 2000</w:t>
      </w:r>
      <w:r w:rsidR="04F018E5" w:rsidRPr="791B8135">
        <w:rPr>
          <w:rFonts w:asciiTheme="majorHAnsi" w:hAnsiTheme="majorHAnsi" w:cstheme="majorBidi"/>
          <w:sz w:val="22"/>
          <w:szCs w:val="22"/>
          <w:lang w:val="en-GB"/>
        </w:rPr>
        <w:t>.</w:t>
      </w:r>
      <w:r w:rsidR="6B7E2614" w:rsidRPr="791B8135">
        <w:rPr>
          <w:rFonts w:asciiTheme="majorHAnsi" w:hAnsiTheme="majorHAnsi" w:cstheme="majorBidi"/>
          <w:sz w:val="22"/>
          <w:szCs w:val="22"/>
          <w:lang w:val="en-GB"/>
        </w:rPr>
        <w:t xml:space="preserve"> </w:t>
      </w:r>
      <w:r w:rsidR="40CF2A36" w:rsidRPr="791B8135">
        <w:rPr>
          <w:rFonts w:asciiTheme="majorHAnsi" w:hAnsiTheme="majorHAnsi" w:cstheme="majorBidi"/>
          <w:sz w:val="22"/>
          <w:szCs w:val="22"/>
          <w:lang w:val="en-GB"/>
        </w:rPr>
        <w:t xml:space="preserve">Although LNG </w:t>
      </w:r>
      <w:r w:rsidR="277E3315" w:rsidRPr="791B8135">
        <w:rPr>
          <w:rFonts w:asciiTheme="majorHAnsi" w:hAnsiTheme="majorHAnsi" w:cstheme="majorBidi"/>
          <w:sz w:val="22"/>
          <w:szCs w:val="22"/>
          <w:lang w:val="en-GB"/>
        </w:rPr>
        <w:t>technology benefit</w:t>
      </w:r>
      <w:r w:rsidR="135CCA84" w:rsidRPr="791B8135">
        <w:rPr>
          <w:rFonts w:asciiTheme="majorHAnsi" w:hAnsiTheme="majorHAnsi" w:cstheme="majorBidi"/>
          <w:sz w:val="22"/>
          <w:szCs w:val="22"/>
          <w:lang w:val="en-GB"/>
        </w:rPr>
        <w:t>s</w:t>
      </w:r>
      <w:r w:rsidR="277E3315" w:rsidRPr="791B8135">
        <w:rPr>
          <w:rFonts w:asciiTheme="majorHAnsi" w:hAnsiTheme="majorHAnsi" w:cstheme="majorBidi"/>
          <w:sz w:val="22"/>
          <w:szCs w:val="22"/>
          <w:lang w:val="en-GB"/>
        </w:rPr>
        <w:t xml:space="preserve"> by lower </w:t>
      </w:r>
      <w:r w:rsidR="2B43174F" w:rsidRPr="791B8135">
        <w:rPr>
          <w:rFonts w:asciiTheme="majorHAnsi" w:hAnsiTheme="majorHAnsi" w:cstheme="majorBidi"/>
          <w:sz w:val="22"/>
          <w:szCs w:val="22"/>
          <w:lang w:val="en-GB"/>
        </w:rPr>
        <w:t>tank to wake</w:t>
      </w:r>
      <w:r w:rsidR="40CF2A36" w:rsidRPr="791B8135">
        <w:rPr>
          <w:rFonts w:asciiTheme="majorHAnsi" w:hAnsiTheme="majorHAnsi" w:cstheme="majorBidi"/>
          <w:sz w:val="22"/>
          <w:szCs w:val="22"/>
          <w:lang w:val="en-GB"/>
        </w:rPr>
        <w:t xml:space="preserve"> emissions</w:t>
      </w:r>
      <w:r w:rsidR="277E3315" w:rsidRPr="791B8135">
        <w:rPr>
          <w:rFonts w:asciiTheme="majorHAnsi" w:hAnsiTheme="majorHAnsi" w:cstheme="majorBidi"/>
          <w:sz w:val="22"/>
          <w:szCs w:val="22"/>
          <w:lang w:val="en-GB"/>
        </w:rPr>
        <w:t xml:space="preserve">, </w:t>
      </w:r>
      <w:r w:rsidR="40CF2A36" w:rsidRPr="791B8135">
        <w:rPr>
          <w:rFonts w:asciiTheme="majorHAnsi" w:hAnsiTheme="majorHAnsi" w:cstheme="majorBidi"/>
          <w:sz w:val="22"/>
          <w:szCs w:val="22"/>
          <w:lang w:val="en-GB"/>
        </w:rPr>
        <w:t>20% - 30 %</w:t>
      </w:r>
      <w:r w:rsidR="277E3315" w:rsidRPr="791B8135">
        <w:rPr>
          <w:rFonts w:asciiTheme="majorHAnsi" w:hAnsiTheme="majorHAnsi" w:cstheme="majorBidi"/>
          <w:sz w:val="22"/>
          <w:szCs w:val="22"/>
          <w:lang w:val="en-GB"/>
        </w:rPr>
        <w:t xml:space="preserve"> reduction in comparison with liquid fossil fuels, the energy consumed during upstream </w:t>
      </w:r>
      <w:r w:rsidR="41B83420" w:rsidRPr="791B8135">
        <w:rPr>
          <w:rFonts w:asciiTheme="majorHAnsi" w:hAnsiTheme="majorHAnsi" w:cstheme="majorBidi"/>
          <w:sz w:val="22"/>
          <w:szCs w:val="22"/>
          <w:lang w:val="en-GB"/>
        </w:rPr>
        <w:t>has a negative impact on</w:t>
      </w:r>
      <w:r w:rsidR="277E3315" w:rsidRPr="791B8135">
        <w:rPr>
          <w:rFonts w:asciiTheme="majorHAnsi" w:hAnsiTheme="majorHAnsi" w:cstheme="majorBidi"/>
          <w:sz w:val="22"/>
          <w:szCs w:val="22"/>
          <w:lang w:val="en-GB"/>
        </w:rPr>
        <w:t xml:space="preserve"> the overall emissions</w:t>
      </w:r>
      <w:r w:rsidR="00882970">
        <w:rPr>
          <w:rFonts w:asciiTheme="majorHAnsi" w:hAnsiTheme="majorHAnsi" w:cstheme="majorBidi"/>
          <w:sz w:val="22"/>
          <w:szCs w:val="22"/>
          <w:lang w:val="en-GB"/>
        </w:rPr>
        <w:t xml:space="preserve"> </w:t>
      </w:r>
      <w:r w:rsidR="00882970" w:rsidRPr="791B8135">
        <w:rPr>
          <w:rFonts w:asciiTheme="majorHAnsi" w:hAnsiTheme="majorHAnsi" w:cstheme="majorBidi"/>
          <w:sz w:val="22"/>
          <w:szCs w:val="22"/>
          <w:lang w:val="en-GB"/>
        </w:rPr>
        <w:fldChar w:fldCharType="begin" w:fldLock="1"/>
      </w:r>
      <w:r w:rsidR="00882970" w:rsidRPr="791B8135">
        <w:rPr>
          <w:rFonts w:asciiTheme="majorHAnsi" w:hAnsiTheme="majorHAnsi" w:cstheme="majorBidi"/>
          <w:sz w:val="22"/>
          <w:szCs w:val="22"/>
          <w:lang w:val="en-GB"/>
        </w:rPr>
        <w:instrText>ADDIN CSL_CITATION {"citationItems":[{"id":"ITEM-1","itemData":{"DOI":"10.1016/j.enconman.2018.12.080","ISSN":"01968904","abstract":"International shipping provides 80–90% of global trade, but strict environmental regulations around NOX, SOX and greenhouse gas (GHG) emissions are set to cause major technological shifts. The pathway to achieving the international target of 50% GHG reduction by 2050 is unclear, but numerous promising options exist. This study provides a holistic assessment of these options and their combined potential to decarbonise international shipping, from a technology, environmental and policy perspective. Liquefied natural gas (LNG) is reaching mainstream and provides 20–30% CO2 reductions whilst minimising SOX and other emissions. Costs are favourable, but GHG benefits are reduced by methane slip, which varies across engine types. Biofuels, hydrogen, nuclear and carbon capture and storage (CCS) could all decarbonise much further, but each faces significant barriers around their economics, resource potentials and public acceptability. Regarding efficiency measures, considerable fuel and GHG savings could be attained by slow-steaming, ship design changes and utilising renewable resources. There is clearly no single route and a multifaceted response is required for deep decarbonisation. The scale of this challenge is explored by estimating the combined decarbonisation potential of multiple options. Achieving 50% decarbonisation with LNG or electric propulsion would likely require 4 or more complementary efficiency measures to be applied simultaneously. Broadly, larger GHG reductions require stronger policy and may differentiate between short- and long-term approaches. With LNG being economically feasible and offering moderate environmental benefits, this may have short-term promise with minor policy intervention. Longer term, deeper decarbonisation will require strong financial incentives. Lowest-cost policy options should be fuel- or technology-agnostic, internationally applied and will require action now to ensure targets are met by 2050.","author":[{"dropping-particle":"","family":"Balcombe","given":"Paul","non-dropping-particle":"","parse-names":false,"suffix":""},{"dropping-particle":"","family":"Brierley","given":"James","non-dropping-particle":"","parse-names":false,"suffix":""},{"dropping-particle":"","family":"Lewis","given":"Chester","non-dropping-particle":"","parse-names":false,"suffix":""},{"dropping-particle":"","family":"Skatvedt","given":"Line","non-dropping-particle":"","parse-names":false,"suffix":""},{"dropping-particle":"","family":"Speirs","given":"Jamie","non-dropping-particle":"","parse-names":false,"suffix":""},{"dropping-particle":"","family":"Hawkes","given":"Adam","non-dropping-particle":"","parse-names":false,"suffix":""},{"dropping-particle":"","family":"Staffell","given":"Iain","non-dropping-particle":"","parse-names":false,"suffix":""}],"container-title":"Energy Conversion and Management","id":"ITEM-1","issue":"December 2018","issued":{"date-parts":[["2019"]]},"page":"72-88","title":"How to decarbonise international shipping: Options for fuels, technologies and policies","type":"article-journal","volume":"182"},"uris":["http://www.mendeley.com/documents/?uuid=96546af7-7da1-41da-8ebe-86d293776d81"]}],"mendeley":{"formattedCitation":"(Balcombe et al., 2019)","plainTextFormattedCitation":"(Balcombe et al., 2019)","previouslyFormattedCitation":"(Balcombe et al., 2019)"},"properties":{"noteIndex":0},"schema":"https://github.com/citation-style-language/schema/raw/master/csl-citation.json"}</w:instrText>
      </w:r>
      <w:r w:rsidR="00882970" w:rsidRPr="791B8135">
        <w:rPr>
          <w:rFonts w:asciiTheme="majorHAnsi" w:hAnsiTheme="majorHAnsi" w:cstheme="majorBidi"/>
          <w:sz w:val="22"/>
          <w:szCs w:val="22"/>
          <w:lang w:val="en-GB"/>
        </w:rPr>
        <w:fldChar w:fldCharType="separate"/>
      </w:r>
      <w:r w:rsidR="00882970" w:rsidRPr="791B8135">
        <w:rPr>
          <w:rFonts w:asciiTheme="majorHAnsi" w:hAnsiTheme="majorHAnsi" w:cstheme="majorBidi"/>
          <w:noProof/>
          <w:sz w:val="22"/>
          <w:szCs w:val="22"/>
          <w:lang w:val="en-GB"/>
        </w:rPr>
        <w:t>(Balcombe et al., 2019)</w:t>
      </w:r>
      <w:r w:rsidR="00882970" w:rsidRPr="791B8135">
        <w:rPr>
          <w:rFonts w:asciiTheme="majorHAnsi" w:hAnsiTheme="majorHAnsi" w:cstheme="majorBidi"/>
          <w:sz w:val="22"/>
          <w:szCs w:val="22"/>
          <w:lang w:val="en-GB"/>
        </w:rPr>
        <w:fldChar w:fldCharType="end"/>
      </w:r>
      <w:r w:rsidR="00020333">
        <w:rPr>
          <w:rFonts w:asciiTheme="majorHAnsi" w:hAnsiTheme="majorHAnsi" w:cstheme="majorBidi"/>
          <w:sz w:val="22"/>
          <w:szCs w:val="22"/>
          <w:lang w:val="en-GB"/>
        </w:rPr>
        <w:t xml:space="preserve"> Moreover, there is the downside of upstream methane leakage and downstream methane slip from LNG</w:t>
      </w:r>
      <w:r w:rsidR="00020333" w:rsidRPr="791B8135">
        <w:rPr>
          <w:rFonts w:asciiTheme="majorHAnsi" w:hAnsiTheme="majorHAnsi" w:cstheme="majorBidi"/>
          <w:sz w:val="22"/>
          <w:szCs w:val="22"/>
          <w:lang w:val="en-GB"/>
        </w:rPr>
        <w:t xml:space="preserve">. </w:t>
      </w:r>
      <w:r w:rsidR="00020333">
        <w:rPr>
          <w:rFonts w:asciiTheme="majorHAnsi" w:hAnsiTheme="majorHAnsi" w:cstheme="majorBidi"/>
          <w:sz w:val="22"/>
          <w:szCs w:val="22"/>
          <w:lang w:val="en-GB"/>
        </w:rPr>
        <w:t>When this slip emission are accounted in the life cycle (</w:t>
      </w:r>
      <w:r w:rsidR="00020333" w:rsidRPr="791B8135">
        <w:rPr>
          <w:rFonts w:asciiTheme="majorHAnsi" w:hAnsiTheme="majorHAnsi" w:cstheme="majorBidi"/>
          <w:sz w:val="22"/>
          <w:szCs w:val="22"/>
          <w:lang w:val="en-GB"/>
        </w:rPr>
        <w:t>well-to-wake emissions</w:t>
      </w:r>
      <w:r w:rsidR="00020333">
        <w:rPr>
          <w:rFonts w:asciiTheme="majorHAnsi" w:hAnsiTheme="majorHAnsi" w:cstheme="majorBidi"/>
          <w:sz w:val="22"/>
          <w:szCs w:val="22"/>
          <w:lang w:val="en-GB"/>
        </w:rPr>
        <w:t xml:space="preserve">), the emissions result higher than when using MGO, depending on the engine the increment could range from 17 % to 62% </w:t>
      </w:r>
      <w:r w:rsidR="00020333">
        <w:rPr>
          <w:rFonts w:asciiTheme="majorHAnsi" w:hAnsiTheme="majorHAnsi" w:cstheme="majorBidi"/>
          <w:sz w:val="22"/>
          <w:szCs w:val="22"/>
          <w:lang w:val="en-GB"/>
        </w:rPr>
        <w:fldChar w:fldCharType="begin" w:fldLock="1"/>
      </w:r>
      <w:r w:rsidR="003500DA">
        <w:rPr>
          <w:rFonts w:asciiTheme="majorHAnsi" w:hAnsiTheme="majorHAnsi" w:cstheme="majorBidi"/>
          <w:sz w:val="22"/>
          <w:szCs w:val="22"/>
          <w:lang w:val="en-GB"/>
        </w:rPr>
        <w:instrText>ADDIN CSL_CITATION {"citationItems":[{"id":"ITEM-1","itemData":{"author":[{"dropping-particle":"","family":"Pavlenko","given":"Authors Nikita","non-dropping-particle":"","parse-names":false,"suffix":""},{"dropping-particle":"","family":"Comer","given":"Bryan","non-dropping-particle":"","parse-names":false,"suffix":""},{"dropping-particle":"","family":"Zhou","given":"Yuanrong","non-dropping-particle":"","parse-names":false,"suffix":""},{"dropping-particle":"","family":"Clark","given":"Nigel","non-dropping-particle":"","parse-names":false,"suffix":""},{"dropping-particle":"","family":"Rutherford","given":"Dan","non-dropping-particle":"","parse-names":false,"suffix":""}],"id":"ITEM-1","issue":"January","issued":{"date-parts":[["2020"]]},"title":"The climate implications of using LNG as a marine fuel","type":"article-journal"},"uris":["http://www.mendeley.com/documents/?uuid=4935b8aa-fbec-4a26-b961-f8001214862b"]}],"mendeley":{"formattedCitation":"(Pavlenko et al., 2020)","plainTextFormattedCitation":"(Pavlenko et al., 2020)","previouslyFormattedCitation":"(Pavlenko et al., 2020)"},"properties":{"noteIndex":0},"schema":"https://github.com/citation-style-language/schema/raw/master/csl-citation.json"}</w:instrText>
      </w:r>
      <w:r w:rsidR="00020333">
        <w:rPr>
          <w:rFonts w:asciiTheme="majorHAnsi" w:hAnsiTheme="majorHAnsi" w:cstheme="majorBidi"/>
          <w:sz w:val="22"/>
          <w:szCs w:val="22"/>
          <w:lang w:val="en-GB"/>
        </w:rPr>
        <w:fldChar w:fldCharType="separate"/>
      </w:r>
      <w:r w:rsidR="00020333" w:rsidRPr="00882970">
        <w:rPr>
          <w:rFonts w:asciiTheme="majorHAnsi" w:hAnsiTheme="majorHAnsi" w:cstheme="majorBidi"/>
          <w:noProof/>
          <w:sz w:val="22"/>
          <w:szCs w:val="22"/>
          <w:lang w:val="en-GB"/>
        </w:rPr>
        <w:t>(Pavlenko et al., 2020)</w:t>
      </w:r>
      <w:r w:rsidR="00020333">
        <w:rPr>
          <w:rFonts w:asciiTheme="majorHAnsi" w:hAnsiTheme="majorHAnsi" w:cstheme="majorBidi"/>
          <w:sz w:val="22"/>
          <w:szCs w:val="22"/>
          <w:lang w:val="en-GB"/>
        </w:rPr>
        <w:fldChar w:fldCharType="end"/>
      </w:r>
      <w:r w:rsidR="00020333">
        <w:rPr>
          <w:rFonts w:asciiTheme="majorHAnsi" w:hAnsiTheme="majorHAnsi" w:cstheme="majorBidi"/>
          <w:sz w:val="22"/>
          <w:szCs w:val="22"/>
          <w:lang w:val="en-GB"/>
        </w:rPr>
        <w:t xml:space="preserve"> </w:t>
      </w:r>
    </w:p>
    <w:p w14:paraId="2121A01E" w14:textId="67CA96C7" w:rsidR="00D377B1" w:rsidRPr="000D7D19" w:rsidRDefault="277E3315" w:rsidP="00E37C84">
      <w:pPr>
        <w:spacing w:after="120" w:line="360" w:lineRule="auto"/>
        <w:ind w:firstLine="720"/>
        <w:rPr>
          <w:szCs w:val="21"/>
          <w:lang w:val="en-GB"/>
        </w:rPr>
      </w:pPr>
      <w:r w:rsidRPr="791B8135">
        <w:rPr>
          <w:rFonts w:asciiTheme="majorHAnsi" w:hAnsiTheme="majorHAnsi" w:cstheme="majorBidi"/>
          <w:sz w:val="22"/>
          <w:szCs w:val="22"/>
          <w:lang w:val="en-GB"/>
        </w:rPr>
        <w:t xml:space="preserve"> </w:t>
      </w:r>
      <w:r w:rsidRPr="59587566">
        <w:rPr>
          <w:rFonts w:asciiTheme="majorHAnsi" w:hAnsiTheme="majorHAnsi" w:cstheme="majorBidi"/>
          <w:b/>
          <w:bCs/>
          <w:sz w:val="22"/>
          <w:szCs w:val="22"/>
          <w:lang w:val="en-GB"/>
        </w:rPr>
        <w:t>Bio-LNG</w:t>
      </w:r>
      <w:r w:rsidRPr="59587566">
        <w:rPr>
          <w:rFonts w:asciiTheme="majorHAnsi" w:hAnsiTheme="majorHAnsi" w:cstheme="majorBidi"/>
          <w:sz w:val="22"/>
          <w:szCs w:val="22"/>
          <w:lang w:val="en-GB"/>
        </w:rPr>
        <w:t xml:space="preserve"> could be an alternative to fossil LNG</w:t>
      </w:r>
      <w:r w:rsidR="4D6FA5B0" w:rsidRPr="59587566">
        <w:rPr>
          <w:rFonts w:asciiTheme="majorHAnsi" w:hAnsiTheme="majorHAnsi" w:cstheme="majorBidi"/>
          <w:sz w:val="22"/>
          <w:szCs w:val="22"/>
          <w:lang w:val="en-GB"/>
        </w:rPr>
        <w:t xml:space="preserve">, reducing overall emission to less than half </w:t>
      </w:r>
      <w:r w:rsidR="5B0A515A" w:rsidRPr="59587566">
        <w:rPr>
          <w:rFonts w:asciiTheme="majorHAnsi" w:hAnsiTheme="majorHAnsi" w:cstheme="majorBidi"/>
          <w:sz w:val="22"/>
          <w:szCs w:val="22"/>
          <w:lang w:val="en-GB"/>
        </w:rPr>
        <w:t>compare with its</w:t>
      </w:r>
      <w:r w:rsidR="4D6FA5B0" w:rsidRPr="59587566">
        <w:rPr>
          <w:rFonts w:asciiTheme="majorHAnsi" w:hAnsiTheme="majorHAnsi" w:cstheme="majorBidi"/>
          <w:sz w:val="22"/>
          <w:szCs w:val="22"/>
          <w:lang w:val="en-GB"/>
        </w:rPr>
        <w:t xml:space="preserve"> fossil </w:t>
      </w:r>
      <w:r w:rsidR="5B0A515A" w:rsidRPr="59587566">
        <w:rPr>
          <w:rFonts w:asciiTheme="majorHAnsi" w:hAnsiTheme="majorHAnsi" w:cstheme="majorBidi"/>
          <w:sz w:val="22"/>
          <w:szCs w:val="22"/>
          <w:lang w:val="en-GB"/>
        </w:rPr>
        <w:t xml:space="preserve">equivalent </w:t>
      </w:r>
      <w:r w:rsidR="005260B5" w:rsidRPr="59587566">
        <w:rPr>
          <w:rFonts w:asciiTheme="majorHAnsi" w:hAnsiTheme="majorHAnsi" w:cstheme="majorBidi"/>
          <w:sz w:val="22"/>
          <w:szCs w:val="22"/>
          <w:lang w:val="en-GB"/>
        </w:rPr>
        <w:fldChar w:fldCharType="begin" w:fldLock="1"/>
      </w:r>
      <w:r w:rsidR="005260B5" w:rsidRPr="59587566">
        <w:rPr>
          <w:rFonts w:asciiTheme="majorHAnsi" w:hAnsiTheme="majorHAnsi" w:cstheme="majorBidi"/>
          <w:sz w:val="22"/>
          <w:szCs w:val="22"/>
          <w:lang w:val="en-GB"/>
        </w:rPr>
        <w:instrText>ADDIN CSL_CITATION {"citationItems":[{"id":"ITEM-1","itemData":{"DOI":"10.1016/j.jclepro.2014.03.052","ISSN":"09596526","abstract":"The combined effort of reducing the emissions of sulphur dioxide, nitrogen oxides and greenhouse gases to comply with future regulations and reduce impact on climate change will require a significant change in ship propulsion. One alternative is to change fuels. In this study we compare the life cycle environmental performance of liquefied natural gas (LNG), liquefied biogas (LBG), methanol and bio-methanol. We also highlight a number of important aspects to consider when selecting marine fuels. A transition to use of LNG or methanol produced from natural gas would significantly improve the overall environmental performance. However, the impact on climate change is of the same order of magnitude as with use of heavy fuel oil. It is only the use of LBG and bio-methanol that has the potential to reduce the climate impact. The analysis did not show any significant differences in environmental performance between methane and methanol when produced from the same raw materials, but the performance of the methanol engines are yet to be validated. © 2014 Elsevier Ltd. All rights reserved.","author":[{"dropping-particle":"","family":"Brynolf","given":"Selma","non-dropping-particle":"","parse-names":false,"suffix":""},{"dropping-particle":"","family":"Fridell","given":"Erik","non-dropping-particle":"","parse-names":false,"suffix":""},{"dropping-particle":"","family":"Andersson","given":"Karin","non-dropping-particle":"","parse-names":false,"suffix":""}],"container-title":"Journal of Cleaner Production","id":"ITEM-1","issue":"X","issued":{"date-parts":[["2014"]]},"page":"86-95","title":"Environmental assessment of marine fuels: Liquefied natural gas, liquefied biogas, methanol and bio-methanol","type":"article-journal","volume":"74"},"uris":["http://www.mendeley.com/documents/?uuid=4b4b5665-fff8-4dd6-a44a-12c90be3c561"]}],"mendeley":{"formattedCitation":"(Brynolf et al., 2014)","plainTextFormattedCitation":"(Brynolf et al., 2014)","previouslyFormattedCitation":"(Brynolf et al., 2014)"},"properties":{"noteIndex":0},"schema":"https://github.com/citation-style-language/schema/raw/master/csl-citation.json"}</w:instrText>
      </w:r>
      <w:r w:rsidR="005260B5" w:rsidRPr="59587566">
        <w:rPr>
          <w:rFonts w:asciiTheme="majorHAnsi" w:hAnsiTheme="majorHAnsi" w:cstheme="majorBidi"/>
          <w:sz w:val="22"/>
          <w:szCs w:val="22"/>
          <w:lang w:val="en-GB"/>
        </w:rPr>
        <w:fldChar w:fldCharType="separate"/>
      </w:r>
      <w:r w:rsidR="6E8C627C" w:rsidRPr="59587566">
        <w:rPr>
          <w:rFonts w:asciiTheme="majorHAnsi" w:hAnsiTheme="majorHAnsi" w:cstheme="majorBidi"/>
          <w:noProof/>
          <w:sz w:val="22"/>
          <w:szCs w:val="22"/>
          <w:lang w:val="en-GB"/>
        </w:rPr>
        <w:t>(Brynolf et al., 2014)</w:t>
      </w:r>
      <w:r w:rsidR="005260B5" w:rsidRPr="59587566">
        <w:rPr>
          <w:rFonts w:asciiTheme="majorHAnsi" w:hAnsiTheme="majorHAnsi" w:cstheme="majorBidi"/>
          <w:sz w:val="22"/>
          <w:szCs w:val="22"/>
          <w:lang w:val="en-GB"/>
        </w:rPr>
        <w:fldChar w:fldCharType="end"/>
      </w:r>
      <w:r w:rsidRPr="59587566">
        <w:rPr>
          <w:rFonts w:asciiTheme="majorHAnsi" w:hAnsiTheme="majorHAnsi" w:cstheme="majorBidi"/>
          <w:sz w:val="22"/>
          <w:szCs w:val="22"/>
          <w:lang w:val="en-GB"/>
        </w:rPr>
        <w:t>. Bio-LNG is mostly produced from methanogenesis of organic material, from which a methane rich stream (</w:t>
      </w:r>
      <w:r w:rsidR="4D6FA5B0" w:rsidRPr="59587566">
        <w:rPr>
          <w:rFonts w:asciiTheme="majorHAnsi" w:hAnsiTheme="majorHAnsi" w:cstheme="majorBidi"/>
          <w:sz w:val="22"/>
          <w:szCs w:val="22"/>
          <w:lang w:val="en-GB"/>
        </w:rPr>
        <w:t>up to 50 %) can be obtained. After upgrade, Bio-LGN can be used as a drop-in for fossil-based LNG</w:t>
      </w:r>
      <w:proofErr w:type="gramStart"/>
      <w:r w:rsidR="4D6FA5B0" w:rsidRPr="59587566">
        <w:rPr>
          <w:rFonts w:asciiTheme="majorHAnsi" w:hAnsiTheme="majorHAnsi" w:cstheme="majorBidi"/>
          <w:sz w:val="22"/>
          <w:szCs w:val="22"/>
          <w:lang w:val="en-GB"/>
        </w:rPr>
        <w:t>.</w:t>
      </w:r>
      <w:r w:rsidRPr="59587566">
        <w:rPr>
          <w:rFonts w:asciiTheme="majorHAnsi" w:hAnsiTheme="majorHAnsi" w:cstheme="majorBidi"/>
          <w:sz w:val="22"/>
          <w:szCs w:val="22"/>
          <w:lang w:val="en-GB"/>
        </w:rPr>
        <w:t xml:space="preserve"> </w:t>
      </w:r>
      <w:r w:rsidR="40368B8D" w:rsidRPr="59587566">
        <w:rPr>
          <w:rFonts w:asciiTheme="majorHAnsi" w:hAnsiTheme="majorHAnsi" w:cstheme="majorBidi"/>
          <w:sz w:val="22"/>
          <w:szCs w:val="22"/>
          <w:lang w:val="en-GB"/>
        </w:rPr>
        <w:t xml:space="preserve"> </w:t>
      </w:r>
      <w:proofErr w:type="gramEnd"/>
      <w:r w:rsidR="40368B8D" w:rsidRPr="59587566">
        <w:rPr>
          <w:rFonts w:asciiTheme="majorHAnsi" w:hAnsiTheme="majorHAnsi" w:cstheme="majorBidi"/>
          <w:sz w:val="22"/>
          <w:szCs w:val="22"/>
          <w:lang w:val="en-GB"/>
        </w:rPr>
        <w:t xml:space="preserve">Nevertheless, </w:t>
      </w:r>
      <w:r w:rsidR="06173069" w:rsidRPr="59587566">
        <w:rPr>
          <w:rFonts w:asciiTheme="majorHAnsi" w:hAnsiTheme="majorHAnsi" w:cstheme="majorBidi"/>
          <w:sz w:val="22"/>
          <w:szCs w:val="22"/>
          <w:lang w:val="en-GB"/>
        </w:rPr>
        <w:t>for both</w:t>
      </w:r>
      <w:r w:rsidR="62233090" w:rsidRPr="59587566">
        <w:rPr>
          <w:rFonts w:asciiTheme="majorHAnsi" w:hAnsiTheme="majorHAnsi" w:cstheme="majorBidi"/>
          <w:sz w:val="22"/>
          <w:szCs w:val="22"/>
          <w:lang w:val="en-GB"/>
        </w:rPr>
        <w:t>,</w:t>
      </w:r>
      <w:r w:rsidR="06173069" w:rsidRPr="59587566">
        <w:rPr>
          <w:rFonts w:asciiTheme="majorHAnsi" w:hAnsiTheme="majorHAnsi" w:cstheme="majorBidi"/>
          <w:sz w:val="22"/>
          <w:szCs w:val="22"/>
          <w:lang w:val="en-GB"/>
        </w:rPr>
        <w:t xml:space="preserve"> Bio and fossil LNG</w:t>
      </w:r>
      <w:r w:rsidR="051CE30A" w:rsidRPr="59587566">
        <w:rPr>
          <w:rFonts w:asciiTheme="majorHAnsi" w:hAnsiTheme="majorHAnsi" w:cstheme="majorBidi"/>
          <w:sz w:val="22"/>
          <w:szCs w:val="22"/>
          <w:lang w:val="en-GB"/>
        </w:rPr>
        <w:t>,</w:t>
      </w:r>
      <w:r w:rsidR="06173069" w:rsidRPr="59587566">
        <w:rPr>
          <w:rFonts w:asciiTheme="majorHAnsi" w:hAnsiTheme="majorHAnsi" w:cstheme="majorBidi"/>
          <w:sz w:val="22"/>
          <w:szCs w:val="22"/>
          <w:lang w:val="en-GB"/>
        </w:rPr>
        <w:t xml:space="preserve"> methane slips during </w:t>
      </w:r>
      <w:proofErr w:type="gramStart"/>
      <w:r w:rsidR="06173069" w:rsidRPr="59587566">
        <w:rPr>
          <w:rFonts w:asciiTheme="majorHAnsi" w:hAnsiTheme="majorHAnsi" w:cstheme="majorBidi"/>
          <w:sz w:val="22"/>
          <w:szCs w:val="22"/>
          <w:lang w:val="en-GB"/>
        </w:rPr>
        <w:t>upstream</w:t>
      </w:r>
      <w:proofErr w:type="gramEnd"/>
      <w:r w:rsidR="06173069" w:rsidRPr="59587566">
        <w:rPr>
          <w:rFonts w:asciiTheme="majorHAnsi" w:hAnsiTheme="majorHAnsi" w:cstheme="majorBidi"/>
          <w:sz w:val="22"/>
          <w:szCs w:val="22"/>
          <w:lang w:val="en-GB"/>
        </w:rPr>
        <w:t xml:space="preserve"> and combustion might represent a threat to </w:t>
      </w:r>
      <w:r w:rsidR="014D1895" w:rsidRPr="59587566">
        <w:rPr>
          <w:rFonts w:asciiTheme="majorHAnsi" w:hAnsiTheme="majorHAnsi" w:cstheme="majorBidi"/>
          <w:sz w:val="22"/>
          <w:szCs w:val="22"/>
          <w:lang w:val="en-GB"/>
        </w:rPr>
        <w:t>the environment and market use</w:t>
      </w:r>
      <w:r w:rsidR="06173069" w:rsidRPr="59587566">
        <w:rPr>
          <w:rFonts w:asciiTheme="majorHAnsi" w:hAnsiTheme="majorHAnsi" w:cstheme="majorBidi"/>
          <w:sz w:val="22"/>
          <w:szCs w:val="22"/>
          <w:lang w:val="en-GB"/>
        </w:rPr>
        <w:t>. Methane is</w:t>
      </w:r>
      <w:r w:rsidR="2D606006" w:rsidRPr="59587566">
        <w:rPr>
          <w:rFonts w:asciiTheme="majorHAnsi" w:hAnsiTheme="majorHAnsi" w:cstheme="majorBidi"/>
          <w:sz w:val="22"/>
          <w:szCs w:val="22"/>
          <w:lang w:val="en-GB"/>
        </w:rPr>
        <w:t>,</w:t>
      </w:r>
      <w:r w:rsidR="06173069" w:rsidRPr="59587566">
        <w:rPr>
          <w:rFonts w:asciiTheme="majorHAnsi" w:hAnsiTheme="majorHAnsi" w:cstheme="majorBidi"/>
          <w:sz w:val="22"/>
          <w:szCs w:val="22"/>
          <w:lang w:val="en-GB"/>
        </w:rPr>
        <w:t xml:space="preserve"> </w:t>
      </w:r>
      <w:r w:rsidR="48EDFFA4" w:rsidRPr="59587566">
        <w:rPr>
          <w:rFonts w:asciiTheme="majorHAnsi" w:hAnsiTheme="majorHAnsi" w:cstheme="majorBidi"/>
          <w:sz w:val="22"/>
          <w:szCs w:val="22"/>
          <w:lang w:val="en-GB"/>
        </w:rPr>
        <w:t>approximately</w:t>
      </w:r>
      <w:r w:rsidR="3911AF53" w:rsidRPr="59587566">
        <w:rPr>
          <w:rFonts w:asciiTheme="majorHAnsi" w:hAnsiTheme="majorHAnsi" w:cstheme="majorBidi"/>
          <w:sz w:val="22"/>
          <w:szCs w:val="22"/>
          <w:lang w:val="en-GB"/>
        </w:rPr>
        <w:t>,</w:t>
      </w:r>
      <w:r w:rsidR="48EDFFA4" w:rsidRPr="59587566">
        <w:rPr>
          <w:rFonts w:asciiTheme="majorHAnsi" w:hAnsiTheme="majorHAnsi" w:cstheme="majorBidi"/>
          <w:sz w:val="22"/>
          <w:szCs w:val="22"/>
          <w:lang w:val="en-GB"/>
        </w:rPr>
        <w:t xml:space="preserve"> 30</w:t>
      </w:r>
      <w:r w:rsidR="06173069" w:rsidRPr="59587566">
        <w:rPr>
          <w:rFonts w:asciiTheme="majorHAnsi" w:hAnsiTheme="majorHAnsi" w:cstheme="majorBidi"/>
          <w:sz w:val="22"/>
          <w:szCs w:val="22"/>
          <w:lang w:val="en-GB"/>
        </w:rPr>
        <w:t xml:space="preserve"> times more impacting greenhouse</w:t>
      </w:r>
      <w:r w:rsidR="0208BC7E" w:rsidRPr="59587566">
        <w:rPr>
          <w:rFonts w:asciiTheme="majorHAnsi" w:hAnsiTheme="majorHAnsi" w:cstheme="majorBidi"/>
          <w:sz w:val="22"/>
          <w:szCs w:val="22"/>
          <w:lang w:val="en-GB"/>
        </w:rPr>
        <w:t xml:space="preserve"> gas</w:t>
      </w:r>
      <w:r w:rsidR="06173069" w:rsidRPr="59587566">
        <w:rPr>
          <w:rFonts w:asciiTheme="majorHAnsi" w:hAnsiTheme="majorHAnsi" w:cstheme="majorBidi"/>
          <w:sz w:val="22"/>
          <w:szCs w:val="22"/>
          <w:lang w:val="en-GB"/>
        </w:rPr>
        <w:t xml:space="preserve"> than CO</w:t>
      </w:r>
      <w:r w:rsidR="06173069" w:rsidRPr="59587566">
        <w:rPr>
          <w:rFonts w:asciiTheme="majorHAnsi" w:hAnsiTheme="majorHAnsi" w:cstheme="majorBidi"/>
          <w:sz w:val="22"/>
          <w:szCs w:val="22"/>
          <w:vertAlign w:val="subscript"/>
          <w:lang w:val="en-GB"/>
        </w:rPr>
        <w:t>2</w:t>
      </w:r>
      <w:r w:rsidR="0058663D">
        <w:rPr>
          <w:rFonts w:asciiTheme="majorHAnsi" w:hAnsiTheme="majorHAnsi" w:cstheme="majorBidi"/>
          <w:sz w:val="22"/>
          <w:szCs w:val="22"/>
          <w:vertAlign w:val="subscript"/>
          <w:lang w:val="en-GB"/>
        </w:rPr>
        <w:t xml:space="preserve"> </w:t>
      </w:r>
      <w:r w:rsidR="0058663D">
        <w:rPr>
          <w:rFonts w:asciiTheme="majorHAnsi" w:hAnsiTheme="majorHAnsi" w:cstheme="majorBidi"/>
          <w:sz w:val="22"/>
          <w:szCs w:val="22"/>
          <w:vertAlign w:val="subscript"/>
          <w:lang w:val="en-GB"/>
        </w:rPr>
        <w:fldChar w:fldCharType="begin" w:fldLock="1"/>
      </w:r>
      <w:r w:rsidR="005A6766">
        <w:rPr>
          <w:rFonts w:asciiTheme="majorHAnsi" w:hAnsiTheme="majorHAnsi" w:cstheme="majorBidi"/>
          <w:sz w:val="22"/>
          <w:szCs w:val="22"/>
          <w:vertAlign w:val="subscript"/>
          <w:lang w:val="en-GB"/>
        </w:rPr>
        <w:instrText>ADDIN CSL_CITATION {"citationItems":[{"id":"ITEM-1","itemData":{"abstract":"Contribution of Working Group I to the Fifth Assessment Report of the Intergovernmental","author":[{"dropping-particle":"","family":"Myhre, G.","given":"D.","non-dropping-particle":"","parse-names":false,"suffix":""},{"dropping-particle":"","family":"Shindell","given":"F.‐M.","non-dropping-particle":"","parse-names":false,"suffix":""},{"dropping-particle":"","family":"Bréon","given":"W.","non-dropping-particle":"","parse-names":false,"suffix":""},{"dropping-particle":"","family":"Collins","given":"J.","non-dropping-particle":"","parse-names":false,"suffix":""},{"dropping-particle":"","family":"Fuglestvedt","given":"J.","non-dropping-particle":"","parse-names":false,"suffix":""},{"dropping-particle":"","family":"Huang","given":"D.","non-dropping-particle":"","parse-names":false,"suffix":""},{"dropping-particle":"","family":"Koch","given":"J.‐F.","non-dropping-particle":"","parse-names":false,"suffix":""},{"dropping-particle":"","family":"Lamarque","given":"D.","non-dropping-particle":"","parse-names":false,"suffix":""},{"dropping-particle":"","family":"Lee","given":"B.","non-dropping-particle":"","parse-names":false,"suffix":""},{"dropping-particle":"","family":"Mendoza","given":"T.","non-dropping-particle":"","parse-names":false,"suffix":""},{"dropping-particle":"","family":"Nakajima","given":"A.","non-dropping-particle":"","parse-names":false,"suffix":""},{"dropping-particle":"","family":"Robock","given":"G.","non-dropping-particle":"","parse-names":false,"suffix":""},{"dropping-particle":"","family":"Stephens","given":"T.","non-dropping-particle":"","parse-names":false,"suffix":""},{"dropping-particle":"","family":"Takemura","given":"","non-dropping-particle":"","parse-names":false,"suffix":""},{"dropping-particle":"","family":"Zhang","given":"H.","non-dropping-particle":"","parse-names":false,"suffix":""}],"container-title":"Greenhouse Gas Protocol","id":"ITEM-1","issue":"1995","issued":{"date-parts":[["2015"]]},"page":"2-5","title":"Global Warming Potential Values","type":"article-journal","volume":"2014"},"uris":["http://www.mendeley.com/documents/?uuid=7aee5742-ab6d-4f1b-94ba-1fcbc5cd8013"]}],"mendeley":{"formattedCitation":"(Myhre, G. et al., 2015)","plainTextFormattedCitation":"(Myhre, G. et al., 2015)","previouslyFormattedCitation":"(Myhre, G. et al., 2015)"},"properties":{"noteIndex":0},"schema":"https://github.com/citation-style-language/schema/raw/master/csl-citation.json"}</w:instrText>
      </w:r>
      <w:r w:rsidR="0058663D">
        <w:rPr>
          <w:rFonts w:asciiTheme="majorHAnsi" w:hAnsiTheme="majorHAnsi" w:cstheme="majorBidi"/>
          <w:sz w:val="22"/>
          <w:szCs w:val="22"/>
          <w:vertAlign w:val="subscript"/>
          <w:lang w:val="en-GB"/>
        </w:rPr>
        <w:fldChar w:fldCharType="separate"/>
      </w:r>
      <w:r w:rsidR="0058663D" w:rsidRPr="0058663D">
        <w:rPr>
          <w:rFonts w:asciiTheme="majorHAnsi" w:hAnsiTheme="majorHAnsi" w:cstheme="majorBidi"/>
          <w:noProof/>
          <w:sz w:val="22"/>
          <w:szCs w:val="22"/>
          <w:lang w:val="en-GB"/>
        </w:rPr>
        <w:t>(Myhre, G. et al., 2015)</w:t>
      </w:r>
      <w:r w:rsidR="0058663D">
        <w:rPr>
          <w:rFonts w:asciiTheme="majorHAnsi" w:hAnsiTheme="majorHAnsi" w:cstheme="majorBidi"/>
          <w:sz w:val="22"/>
          <w:szCs w:val="22"/>
          <w:vertAlign w:val="subscript"/>
          <w:lang w:val="en-GB"/>
        </w:rPr>
        <w:fldChar w:fldCharType="end"/>
      </w:r>
      <w:r w:rsidR="06173069" w:rsidRPr="59587566">
        <w:rPr>
          <w:rFonts w:asciiTheme="majorHAnsi" w:hAnsiTheme="majorHAnsi" w:cstheme="majorBidi"/>
          <w:sz w:val="22"/>
          <w:szCs w:val="22"/>
          <w:lang w:val="en-GB"/>
        </w:rPr>
        <w:t>.</w:t>
      </w:r>
    </w:p>
    <w:p w14:paraId="63681F20" w14:textId="0E3DB3D6" w:rsidR="007659BF" w:rsidRPr="000D7D19" w:rsidRDefault="4BEFFF09" w:rsidP="5937A937">
      <w:pPr>
        <w:spacing w:after="120" w:line="360" w:lineRule="auto"/>
        <w:ind w:firstLine="720"/>
        <w:rPr>
          <w:rFonts w:asciiTheme="majorHAnsi" w:hAnsiTheme="majorHAnsi" w:cstheme="majorBidi"/>
          <w:sz w:val="22"/>
          <w:szCs w:val="22"/>
          <w:lang w:val="en-GB"/>
        </w:rPr>
      </w:pPr>
      <w:r w:rsidRPr="5937A937">
        <w:rPr>
          <w:rFonts w:asciiTheme="majorHAnsi" w:hAnsiTheme="majorHAnsi" w:cstheme="majorBidi"/>
          <w:b/>
          <w:bCs/>
          <w:sz w:val="22"/>
          <w:szCs w:val="22"/>
          <w:lang w:val="en-GB"/>
        </w:rPr>
        <w:t xml:space="preserve">LPG </w:t>
      </w:r>
      <w:r w:rsidRPr="5937A937">
        <w:rPr>
          <w:rFonts w:asciiTheme="majorHAnsi" w:hAnsiTheme="majorHAnsi" w:cstheme="majorBidi"/>
          <w:sz w:val="22"/>
          <w:szCs w:val="22"/>
          <w:lang w:val="en-GB"/>
        </w:rPr>
        <w:t>is a mixture of propane</w:t>
      </w:r>
      <w:r w:rsidRPr="5937A937">
        <w:rPr>
          <w:rFonts w:asciiTheme="majorHAnsi" w:hAnsiTheme="majorHAnsi" w:cstheme="majorBidi"/>
          <w:b/>
          <w:bCs/>
          <w:sz w:val="22"/>
          <w:szCs w:val="22"/>
          <w:lang w:val="en-GB"/>
        </w:rPr>
        <w:t xml:space="preserve"> </w:t>
      </w:r>
      <w:r w:rsidRPr="5937A937">
        <w:rPr>
          <w:rFonts w:asciiTheme="majorHAnsi" w:hAnsiTheme="majorHAnsi" w:cstheme="majorBidi"/>
          <w:sz w:val="22"/>
          <w:szCs w:val="22"/>
          <w:lang w:val="en-GB"/>
        </w:rPr>
        <w:t>and butane in liquid form, which proportion</w:t>
      </w:r>
      <w:r w:rsidR="00F1369C">
        <w:rPr>
          <w:rFonts w:asciiTheme="majorHAnsi" w:hAnsiTheme="majorHAnsi" w:cstheme="majorBidi"/>
          <w:sz w:val="22"/>
          <w:szCs w:val="22"/>
          <w:lang w:val="en-GB"/>
        </w:rPr>
        <w:t xml:space="preserve"> is</w:t>
      </w:r>
      <w:r w:rsidRPr="5937A937">
        <w:rPr>
          <w:rFonts w:asciiTheme="majorHAnsi" w:hAnsiTheme="majorHAnsi" w:cstheme="majorBidi"/>
          <w:sz w:val="22"/>
          <w:szCs w:val="22"/>
          <w:lang w:val="en-GB"/>
        </w:rPr>
        <w:t xml:space="preserve"> </w:t>
      </w:r>
      <w:r w:rsidR="23ADAEB0" w:rsidRPr="5937A937">
        <w:rPr>
          <w:rFonts w:asciiTheme="majorHAnsi" w:hAnsiTheme="majorHAnsi" w:cstheme="majorBidi"/>
          <w:sz w:val="22"/>
          <w:szCs w:val="22"/>
          <w:lang w:val="en-GB"/>
        </w:rPr>
        <w:t xml:space="preserve">adapted according to the </w:t>
      </w:r>
      <w:r w:rsidRPr="5937A937">
        <w:rPr>
          <w:rFonts w:asciiTheme="majorHAnsi" w:hAnsiTheme="majorHAnsi" w:cstheme="majorBidi"/>
          <w:sz w:val="22"/>
          <w:szCs w:val="22"/>
          <w:lang w:val="en-GB"/>
        </w:rPr>
        <w:t xml:space="preserve">specifications. It is </w:t>
      </w:r>
      <w:r w:rsidR="23ADAEB0" w:rsidRPr="5937A937">
        <w:rPr>
          <w:rFonts w:asciiTheme="majorHAnsi" w:hAnsiTheme="majorHAnsi" w:cstheme="majorBidi"/>
          <w:sz w:val="22"/>
          <w:szCs w:val="22"/>
          <w:lang w:val="en-GB"/>
        </w:rPr>
        <w:t>obtained</w:t>
      </w:r>
      <w:r w:rsidRPr="5937A937">
        <w:rPr>
          <w:rFonts w:asciiTheme="majorHAnsi" w:hAnsiTheme="majorHAnsi" w:cstheme="majorBidi"/>
          <w:sz w:val="22"/>
          <w:szCs w:val="22"/>
          <w:lang w:val="en-GB"/>
        </w:rPr>
        <w:t xml:space="preserve"> as by-product of oil and gas extraction or during refining. </w:t>
      </w:r>
      <w:r w:rsidR="7CA23B9A" w:rsidRPr="5937A937">
        <w:rPr>
          <w:rFonts w:asciiTheme="majorHAnsi" w:hAnsiTheme="majorHAnsi" w:cstheme="majorBidi"/>
          <w:sz w:val="22"/>
          <w:szCs w:val="22"/>
          <w:lang w:val="en-GB"/>
        </w:rPr>
        <w:t>It requ</w:t>
      </w:r>
      <w:r w:rsidR="00F1369C">
        <w:rPr>
          <w:rFonts w:asciiTheme="majorHAnsi" w:hAnsiTheme="majorHAnsi" w:cstheme="majorBidi"/>
          <w:sz w:val="22"/>
          <w:szCs w:val="22"/>
          <w:lang w:val="en-GB"/>
        </w:rPr>
        <w:t>ires</w:t>
      </w:r>
      <w:r w:rsidR="7CA23B9A" w:rsidRPr="5937A937">
        <w:rPr>
          <w:rFonts w:asciiTheme="majorHAnsi" w:hAnsiTheme="majorHAnsi" w:cstheme="majorBidi"/>
          <w:sz w:val="22"/>
          <w:szCs w:val="22"/>
          <w:lang w:val="en-GB"/>
        </w:rPr>
        <w:t xml:space="preserve"> lower pressures </w:t>
      </w:r>
      <w:r w:rsidR="190B92B6" w:rsidRPr="5937A937">
        <w:rPr>
          <w:rFonts w:asciiTheme="majorHAnsi" w:hAnsiTheme="majorHAnsi" w:cstheme="majorBidi"/>
          <w:sz w:val="22"/>
          <w:szCs w:val="22"/>
          <w:lang w:val="en-GB"/>
        </w:rPr>
        <w:t>for</w:t>
      </w:r>
      <w:r w:rsidR="7CA23B9A" w:rsidRPr="5937A937">
        <w:rPr>
          <w:rFonts w:asciiTheme="majorHAnsi" w:hAnsiTheme="majorHAnsi" w:cstheme="majorBidi"/>
          <w:sz w:val="22"/>
          <w:szCs w:val="22"/>
          <w:lang w:val="en-GB"/>
        </w:rPr>
        <w:t xml:space="preserve"> liquefaction</w:t>
      </w:r>
      <w:r w:rsidR="248E16A7" w:rsidRPr="5937A937">
        <w:rPr>
          <w:rFonts w:asciiTheme="majorHAnsi" w:hAnsiTheme="majorHAnsi" w:cstheme="majorBidi"/>
          <w:sz w:val="22"/>
          <w:szCs w:val="22"/>
          <w:lang w:val="en-GB"/>
        </w:rPr>
        <w:t xml:space="preserve"> </w:t>
      </w:r>
      <w:r w:rsidR="55F15B94" w:rsidRPr="5937A937">
        <w:rPr>
          <w:rFonts w:asciiTheme="majorHAnsi" w:hAnsiTheme="majorHAnsi" w:cstheme="majorBidi"/>
          <w:sz w:val="22"/>
          <w:szCs w:val="22"/>
          <w:lang w:val="en-GB"/>
        </w:rPr>
        <w:t>t</w:t>
      </w:r>
      <w:r w:rsidR="248E16A7" w:rsidRPr="5937A937">
        <w:rPr>
          <w:rFonts w:asciiTheme="majorHAnsi" w:hAnsiTheme="majorHAnsi" w:cstheme="majorBidi"/>
          <w:sz w:val="22"/>
          <w:szCs w:val="22"/>
          <w:lang w:val="en-GB"/>
        </w:rPr>
        <w:t>han LNG</w:t>
      </w:r>
      <w:r w:rsidR="7CA23B9A" w:rsidRPr="5937A937">
        <w:rPr>
          <w:rFonts w:asciiTheme="majorHAnsi" w:hAnsiTheme="majorHAnsi" w:cstheme="majorBidi"/>
          <w:sz w:val="22"/>
          <w:szCs w:val="22"/>
          <w:lang w:val="en-GB"/>
        </w:rPr>
        <w:t xml:space="preserve">, 8.4 bar and 1.2 bar </w:t>
      </w:r>
      <w:r w:rsidR="248E16A7" w:rsidRPr="5937A937">
        <w:rPr>
          <w:rFonts w:asciiTheme="majorHAnsi" w:hAnsiTheme="majorHAnsi" w:cstheme="majorBidi"/>
          <w:sz w:val="22"/>
          <w:szCs w:val="22"/>
          <w:lang w:val="en-GB"/>
        </w:rPr>
        <w:t>f</w:t>
      </w:r>
      <w:r w:rsidR="7CA23B9A" w:rsidRPr="5937A937">
        <w:rPr>
          <w:rFonts w:asciiTheme="majorHAnsi" w:hAnsiTheme="majorHAnsi" w:cstheme="majorBidi"/>
          <w:sz w:val="22"/>
          <w:szCs w:val="22"/>
          <w:lang w:val="en-GB"/>
        </w:rPr>
        <w:t xml:space="preserve">or </w:t>
      </w:r>
      <w:r w:rsidR="248E16A7" w:rsidRPr="5937A937">
        <w:rPr>
          <w:rFonts w:asciiTheme="majorHAnsi" w:hAnsiTheme="majorHAnsi" w:cstheme="majorBidi"/>
          <w:sz w:val="22"/>
          <w:szCs w:val="22"/>
          <w:lang w:val="en-GB"/>
        </w:rPr>
        <w:t>propane and butene, respectively</w:t>
      </w:r>
      <w:r w:rsidR="190B92B6" w:rsidRPr="5937A937">
        <w:rPr>
          <w:rFonts w:asciiTheme="majorHAnsi" w:hAnsiTheme="majorHAnsi" w:cstheme="majorBidi"/>
          <w:sz w:val="22"/>
          <w:szCs w:val="22"/>
          <w:lang w:val="en-GB"/>
        </w:rPr>
        <w:t xml:space="preserve"> </w:t>
      </w:r>
      <w:r w:rsidR="00D377B1" w:rsidRPr="5937A937">
        <w:rPr>
          <w:rFonts w:asciiTheme="majorHAnsi" w:hAnsiTheme="majorHAnsi" w:cstheme="majorBidi"/>
          <w:sz w:val="22"/>
          <w:szCs w:val="22"/>
          <w:lang w:val="en-GB"/>
        </w:rPr>
        <w:fldChar w:fldCharType="begin" w:fldLock="1"/>
      </w:r>
      <w:r w:rsidR="00D377B1" w:rsidRPr="5937A937">
        <w:rPr>
          <w:rFonts w:asciiTheme="majorHAnsi" w:hAnsiTheme="majorHAnsi" w:cstheme="majorBidi"/>
          <w:sz w:val="22"/>
          <w:szCs w:val="22"/>
          <w:lang w:val="en-GB"/>
        </w:rPr>
        <w:instrText>ADDIN CSL_CITATION {"citationItems":[{"id":"ITEM-1","itemData":{"abstract":"Comparison of Alternative Marine Fuels Environmental regulations controlling emissions of SOx, NOx and Greenhouse Gases (GHG) are transforming the global shipping industry. Carbon-intensive, polluting heavy fuel oil (HFO) can no longer remain the default option for ocean voyages. To comply with the International Maritime Organization’s (IMO) 1st January 2020 SOx regulations and announced future environmental targets, ship owners and operators must change the ways in which they power and fuel their fleets. Choosing which marine fuel to adopt is now a significant investment decision to be made amidst a range of uncertainties. To support the industry in its decision-making process, SEA\\LNG commissioned DNV GL to conduct a comprehensive study to assess the commercial and operational viability of alternative marine fuels. Based on existing academic and industry literature, the study evaluates how well six of the main alternative fuels (hydrogen, ammonia, methanol, LPG, biofuel, specifically Hydrotreated Vegetable Oil, and full battery-electric systems), perform compared to LNG and legacy HFO.","author":[{"dropping-particle":"","family":"DNV GL","given":"","non-dropping-particle":"","parse-names":false,"suffix":""}],"id":"ITEM-1","issued":{"date-parts":[["2019"]]},"page":"1-65","title":"Comparison of Alternative Marine Fuels","type":"article-journal"},"uris":["http://www.mendeley.com/documents/?uuid=683f518a-617f-4440-bc51-4f803bcfd6ca"]}],"mendeley":{"formattedCitation":"(DNV GL, 2019)","plainTextFormattedCitation":"(DNV GL, 2019)","previouslyFormattedCitation":"(DNV GL, 2019)"},"properties":{"noteIndex":0},"schema":"https://github.com/citation-style-language/schema/raw/master/csl-citation.json"}</w:instrText>
      </w:r>
      <w:r w:rsidR="00D377B1" w:rsidRPr="5937A937">
        <w:rPr>
          <w:rFonts w:asciiTheme="majorHAnsi" w:hAnsiTheme="majorHAnsi" w:cstheme="majorBidi"/>
          <w:sz w:val="22"/>
          <w:szCs w:val="22"/>
          <w:lang w:val="en-GB"/>
        </w:rPr>
        <w:fldChar w:fldCharType="separate"/>
      </w:r>
      <w:r w:rsidR="00AD30A7" w:rsidRPr="5937A937">
        <w:rPr>
          <w:rFonts w:asciiTheme="majorHAnsi" w:hAnsiTheme="majorHAnsi" w:cstheme="majorBidi"/>
          <w:noProof/>
          <w:sz w:val="22"/>
          <w:szCs w:val="22"/>
          <w:lang w:val="en-GB"/>
        </w:rPr>
        <w:t>(DNV GL, 2019)</w:t>
      </w:r>
      <w:r w:rsidR="00D377B1" w:rsidRPr="5937A937">
        <w:rPr>
          <w:rFonts w:asciiTheme="majorHAnsi" w:hAnsiTheme="majorHAnsi" w:cstheme="majorBidi"/>
          <w:sz w:val="22"/>
          <w:szCs w:val="22"/>
          <w:lang w:val="en-GB"/>
        </w:rPr>
        <w:fldChar w:fldCharType="end"/>
      </w:r>
      <w:r w:rsidR="00AD30A7" w:rsidRPr="5937A937">
        <w:rPr>
          <w:rFonts w:asciiTheme="majorHAnsi" w:hAnsiTheme="majorHAnsi" w:cstheme="majorBidi"/>
          <w:sz w:val="22"/>
          <w:szCs w:val="22"/>
          <w:lang w:val="en-GB"/>
        </w:rPr>
        <w:t xml:space="preserve">. </w:t>
      </w:r>
      <w:r w:rsidR="54706F16" w:rsidRPr="5937A937">
        <w:rPr>
          <w:rFonts w:asciiTheme="majorHAnsi" w:hAnsiTheme="majorHAnsi" w:cstheme="majorBidi"/>
          <w:sz w:val="22"/>
          <w:szCs w:val="22"/>
          <w:lang w:val="en-GB"/>
        </w:rPr>
        <w:t>Similar</w:t>
      </w:r>
      <w:r w:rsidR="248E16A7" w:rsidRPr="5937A937">
        <w:rPr>
          <w:rFonts w:asciiTheme="majorHAnsi" w:hAnsiTheme="majorHAnsi" w:cstheme="majorBidi"/>
          <w:sz w:val="22"/>
          <w:szCs w:val="22"/>
          <w:lang w:val="en-GB"/>
        </w:rPr>
        <w:t xml:space="preserve"> to LNG, LGP requ</w:t>
      </w:r>
      <w:r w:rsidR="588F2236" w:rsidRPr="5937A937">
        <w:rPr>
          <w:rFonts w:asciiTheme="majorHAnsi" w:hAnsiTheme="majorHAnsi" w:cstheme="majorBidi"/>
          <w:sz w:val="22"/>
          <w:szCs w:val="22"/>
          <w:lang w:val="en-GB"/>
        </w:rPr>
        <w:t>ires</w:t>
      </w:r>
      <w:r w:rsidR="248E16A7" w:rsidRPr="5937A937">
        <w:rPr>
          <w:rFonts w:asciiTheme="majorHAnsi" w:hAnsiTheme="majorHAnsi" w:cstheme="majorBidi"/>
          <w:sz w:val="22"/>
          <w:szCs w:val="22"/>
          <w:lang w:val="en-GB"/>
        </w:rPr>
        <w:t xml:space="preserve"> tanks </w:t>
      </w:r>
      <w:proofErr w:type="gramStart"/>
      <w:r w:rsidR="248E16A7" w:rsidRPr="5937A937">
        <w:rPr>
          <w:rFonts w:asciiTheme="majorHAnsi" w:hAnsiTheme="majorHAnsi" w:cstheme="majorBidi"/>
          <w:sz w:val="22"/>
          <w:szCs w:val="22"/>
          <w:lang w:val="en-GB"/>
        </w:rPr>
        <w:t xml:space="preserve">2-3 </w:t>
      </w:r>
      <w:r w:rsidR="1407A30D" w:rsidRPr="5937A937">
        <w:rPr>
          <w:rFonts w:asciiTheme="majorHAnsi" w:hAnsiTheme="majorHAnsi" w:cstheme="majorBidi"/>
          <w:sz w:val="22"/>
          <w:szCs w:val="22"/>
          <w:lang w:val="en-GB"/>
        </w:rPr>
        <w:t>fold</w:t>
      </w:r>
      <w:proofErr w:type="gramEnd"/>
      <w:r w:rsidR="1407A30D" w:rsidRPr="5937A937">
        <w:rPr>
          <w:rFonts w:asciiTheme="majorHAnsi" w:hAnsiTheme="majorHAnsi" w:cstheme="majorBidi"/>
          <w:sz w:val="22"/>
          <w:szCs w:val="22"/>
          <w:lang w:val="en-GB"/>
        </w:rPr>
        <w:t xml:space="preserve"> times</w:t>
      </w:r>
      <w:r w:rsidR="248E16A7" w:rsidRPr="5937A937">
        <w:rPr>
          <w:rFonts w:asciiTheme="majorHAnsi" w:hAnsiTheme="majorHAnsi" w:cstheme="majorBidi"/>
          <w:sz w:val="22"/>
          <w:szCs w:val="22"/>
          <w:lang w:val="en-GB"/>
        </w:rPr>
        <w:t xml:space="preserve"> larger than </w:t>
      </w:r>
      <w:r w:rsidR="54706F16" w:rsidRPr="5937A937">
        <w:rPr>
          <w:rFonts w:asciiTheme="majorHAnsi" w:hAnsiTheme="majorHAnsi" w:cstheme="majorBidi"/>
          <w:sz w:val="22"/>
          <w:szCs w:val="22"/>
          <w:lang w:val="en-GB"/>
        </w:rPr>
        <w:t>liquid fossil-based</w:t>
      </w:r>
      <w:r w:rsidR="248E16A7" w:rsidRPr="5937A937">
        <w:rPr>
          <w:rFonts w:asciiTheme="majorHAnsi" w:hAnsiTheme="majorHAnsi" w:cstheme="majorBidi"/>
          <w:sz w:val="22"/>
          <w:szCs w:val="22"/>
          <w:lang w:val="en-GB"/>
        </w:rPr>
        <w:t xml:space="preserve"> equivalent. It can run in four kind of engines, </w:t>
      </w:r>
      <w:r w:rsidR="54706F16" w:rsidRPr="5937A937">
        <w:rPr>
          <w:rFonts w:asciiTheme="majorHAnsi" w:hAnsiTheme="majorHAnsi" w:cstheme="majorBidi"/>
          <w:sz w:val="22"/>
          <w:szCs w:val="22"/>
          <w:lang w:val="en-GB"/>
        </w:rPr>
        <w:t>namely</w:t>
      </w:r>
      <w:r w:rsidR="59F4C181" w:rsidRPr="5937A937">
        <w:rPr>
          <w:rFonts w:asciiTheme="majorHAnsi" w:hAnsiTheme="majorHAnsi" w:cstheme="majorBidi"/>
          <w:sz w:val="22"/>
          <w:szCs w:val="22"/>
          <w:lang w:val="en-GB"/>
        </w:rPr>
        <w:t xml:space="preserve"> 2-stroke diesel cycle and 4-stroke engines, lean burn Otto-cycle and gas turbine. </w:t>
      </w:r>
    </w:p>
    <w:p w14:paraId="3B6E73C6" w14:textId="3EA89740" w:rsidR="00C7292F" w:rsidRPr="000D7D19" w:rsidRDefault="04F018E5" w:rsidP="5937A937">
      <w:pPr>
        <w:spacing w:after="120" w:line="360" w:lineRule="auto"/>
        <w:ind w:firstLine="720"/>
        <w:rPr>
          <w:rFonts w:asciiTheme="majorHAnsi" w:hAnsiTheme="majorHAnsi" w:cstheme="majorBidi"/>
          <w:sz w:val="22"/>
          <w:szCs w:val="22"/>
          <w:lang w:val="en-GB"/>
        </w:rPr>
      </w:pPr>
      <w:r w:rsidRPr="5937A937">
        <w:rPr>
          <w:rFonts w:asciiTheme="majorHAnsi" w:hAnsiTheme="majorHAnsi" w:cstheme="majorBidi"/>
          <w:b/>
          <w:bCs/>
          <w:sz w:val="22"/>
          <w:szCs w:val="22"/>
          <w:lang w:val="en-GB"/>
        </w:rPr>
        <w:t>Ammonia</w:t>
      </w:r>
      <w:r w:rsidR="02EBB14B" w:rsidRPr="5937A937">
        <w:rPr>
          <w:rFonts w:asciiTheme="majorHAnsi" w:hAnsiTheme="majorHAnsi" w:cstheme="majorBidi"/>
          <w:sz w:val="22"/>
          <w:szCs w:val="22"/>
          <w:lang w:val="en-GB"/>
        </w:rPr>
        <w:t xml:space="preserve"> is</w:t>
      </w:r>
      <w:r w:rsidR="362825FA" w:rsidRPr="5937A937">
        <w:rPr>
          <w:rFonts w:asciiTheme="majorHAnsi" w:hAnsiTheme="majorHAnsi" w:cstheme="majorBidi"/>
          <w:sz w:val="22"/>
          <w:szCs w:val="22"/>
          <w:lang w:val="en-GB"/>
        </w:rPr>
        <w:t xml:space="preserve"> carbon free molecule which has </w:t>
      </w:r>
      <w:r w:rsidR="0D500EB4" w:rsidRPr="5937A937">
        <w:rPr>
          <w:rFonts w:asciiTheme="majorHAnsi" w:hAnsiTheme="majorHAnsi" w:cstheme="majorBidi"/>
          <w:sz w:val="22"/>
          <w:szCs w:val="22"/>
          <w:lang w:val="en-GB"/>
        </w:rPr>
        <w:t>been</w:t>
      </w:r>
      <w:r w:rsidR="362825FA" w:rsidRPr="5937A937">
        <w:rPr>
          <w:rFonts w:asciiTheme="majorHAnsi" w:hAnsiTheme="majorHAnsi" w:cstheme="majorBidi"/>
          <w:sz w:val="22"/>
          <w:szCs w:val="22"/>
          <w:lang w:val="en-GB"/>
        </w:rPr>
        <w:t xml:space="preserve"> widely discussed as promising alternative for marine fuel. Among others, one could highlight the strengths of ammonia such</w:t>
      </w:r>
      <w:r w:rsidR="6DC76113" w:rsidRPr="5937A937">
        <w:rPr>
          <w:rFonts w:asciiTheme="majorHAnsi" w:hAnsiTheme="majorHAnsi" w:cstheme="majorBidi"/>
          <w:sz w:val="22"/>
          <w:szCs w:val="22"/>
          <w:lang w:val="en-GB"/>
        </w:rPr>
        <w:t xml:space="preserve"> as</w:t>
      </w:r>
      <w:r w:rsidR="362825FA" w:rsidRPr="5937A937">
        <w:rPr>
          <w:rFonts w:asciiTheme="majorHAnsi" w:hAnsiTheme="majorHAnsi" w:cstheme="majorBidi"/>
          <w:sz w:val="22"/>
          <w:szCs w:val="22"/>
          <w:lang w:val="en-GB"/>
        </w:rPr>
        <w:t xml:space="preserve">: </w:t>
      </w:r>
      <w:proofErr w:type="spellStart"/>
      <w:r w:rsidR="362825FA" w:rsidRPr="5937A937">
        <w:rPr>
          <w:rFonts w:asciiTheme="majorHAnsi" w:hAnsiTheme="majorHAnsi" w:cstheme="majorBidi"/>
          <w:sz w:val="22"/>
          <w:szCs w:val="22"/>
          <w:lang w:val="en-GB"/>
        </w:rPr>
        <w:t>i</w:t>
      </w:r>
      <w:proofErr w:type="spellEnd"/>
      <w:r w:rsidR="362825FA" w:rsidRPr="5937A937">
        <w:rPr>
          <w:rFonts w:asciiTheme="majorHAnsi" w:hAnsiTheme="majorHAnsi" w:cstheme="majorBidi"/>
          <w:sz w:val="22"/>
          <w:szCs w:val="22"/>
          <w:lang w:val="en-GB"/>
        </w:rPr>
        <w:t xml:space="preserve">) </w:t>
      </w:r>
      <w:r w:rsidR="6DC76113" w:rsidRPr="5937A937">
        <w:rPr>
          <w:rFonts w:asciiTheme="majorHAnsi" w:hAnsiTheme="majorHAnsi" w:cstheme="majorBidi"/>
          <w:sz w:val="22"/>
          <w:szCs w:val="22"/>
          <w:lang w:val="en-GB"/>
        </w:rPr>
        <w:t xml:space="preserve">it </w:t>
      </w:r>
      <w:r w:rsidR="362825FA" w:rsidRPr="5937A937">
        <w:rPr>
          <w:rFonts w:asciiTheme="majorHAnsi" w:hAnsiTheme="majorHAnsi" w:cstheme="majorBidi"/>
          <w:sz w:val="22"/>
          <w:szCs w:val="22"/>
          <w:lang w:val="en-GB"/>
        </w:rPr>
        <w:t xml:space="preserve">can be readily liquefied by compression (8 bar) at 20 ˚C or by cooling down (- 33 ˚C); ii) established production technology and infrastructure with a global production of 150 million tonnes in 2019; </w:t>
      </w:r>
      <w:r w:rsidR="6127EE57" w:rsidRPr="5937A937">
        <w:rPr>
          <w:rFonts w:asciiTheme="majorHAnsi" w:hAnsiTheme="majorHAnsi" w:cstheme="majorBidi"/>
          <w:sz w:val="22"/>
          <w:szCs w:val="22"/>
          <w:lang w:val="en-GB"/>
        </w:rPr>
        <w:t>iii) narrow flammability; iv) can be used in internal combustion engines and fuel cells</w:t>
      </w:r>
      <w:r w:rsidR="326B91C0" w:rsidRPr="5937A937">
        <w:rPr>
          <w:rFonts w:asciiTheme="majorHAnsi" w:hAnsiTheme="majorHAnsi" w:cstheme="majorBidi"/>
          <w:sz w:val="22"/>
          <w:szCs w:val="22"/>
          <w:lang w:val="en-GB"/>
        </w:rPr>
        <w:t xml:space="preserve"> </w:t>
      </w:r>
      <w:r w:rsidR="00420F25" w:rsidRPr="5937A937">
        <w:rPr>
          <w:rFonts w:asciiTheme="majorHAnsi" w:hAnsiTheme="majorHAnsi" w:cstheme="majorBidi"/>
          <w:sz w:val="22"/>
          <w:szCs w:val="22"/>
          <w:lang w:val="en-GB"/>
        </w:rPr>
        <w:fldChar w:fldCharType="begin" w:fldLock="1"/>
      </w:r>
      <w:r w:rsidR="00420F25" w:rsidRPr="5937A937">
        <w:rPr>
          <w:rFonts w:asciiTheme="majorHAnsi" w:hAnsiTheme="majorHAnsi" w:cstheme="majorBidi"/>
          <w:sz w:val="22"/>
          <w:szCs w:val="22"/>
          <w:lang w:val="en-GB"/>
        </w:rPr>
        <w:instrText>ADDIN CSL_CITATION {"citationItems":[{"id":"ITEM-1","itemData":{"DOI":"10.1016/j.coche.2021.100670","ISSN":"22113398","abstract":"Decarbonization of the maritime transportation fuels is a primary objective of the shipping industry. Ammonia is an attractive option because of its relatively low greenhouse gas (GHG) emissions, high energy density, competitive cost, and ubiquitous infrastructure for manufacturing, storage, and distribution. The environmental benefits are enhanced when the manufacture of ammonia is assisted by renewable energy and feedstocks. This paper evaluates the potential usage of ammonia, especially renewable ammonia, as a maritime transportation fuel. The assessment covers manufacturing approaches, energy and feedstock sources, economics, and environmental impact based on well-to-tank and tank-to-propeller bases. Comparison is also made with conventional fuels that are currently used in the shipping industry. Finally, the paper discusses future directions and impact of technological advances on the potential use of renewable ammonia as a transportation fuel.","author":[{"dropping-particle":"","family":"Al-Aboosi","given":"Fadhil Y.","non-dropping-particle":"","parse-names":false,"suffix":""},{"dropping-particle":"","family":"El-Halwagi","given":"Mahmoud M.","non-dropping-particle":"","parse-names":false,"suffix":""},{"dropping-particle":"","family":"Moore","given":"Margaux","non-dropping-particle":"","parse-names":false,"suffix":""},{"dropping-particle":"","family":"Nielsen","given":"Rasmus B.","non-dropping-particle":"","parse-names":false,"suffix":""}],"container-title":"Current Opinion in Chemical Engineering","id":"ITEM-1","issued":{"date-parts":[["2021"]]},"page":"100670","publisher":"Elsevier Ltd","title":"Renewable ammonia as an alternative fuel for the shipping industry","type":"article-journal","volume":"31"},"uris":["http://www.mendeley.com/documents/?uuid=49efc19c-d192-4c78-b1c4-4b8f9f3279c5"]}],"mendeley":{"formattedCitation":"(Al-Aboosi et al., 2021)","plainTextFormattedCitation":"(Al-Aboosi et al., 2021)","previouslyFormattedCitation":"(Al-Aboosi et al., 2021)"},"properties":{"noteIndex":0},"schema":"https://github.com/citation-style-language/schema/raw/master/csl-citation.json"}</w:instrText>
      </w:r>
      <w:r w:rsidR="00420F25" w:rsidRPr="5937A937">
        <w:rPr>
          <w:rFonts w:asciiTheme="majorHAnsi" w:hAnsiTheme="majorHAnsi" w:cstheme="majorBidi"/>
          <w:sz w:val="22"/>
          <w:szCs w:val="22"/>
          <w:lang w:val="en-GB"/>
        </w:rPr>
        <w:fldChar w:fldCharType="separate"/>
      </w:r>
      <w:r w:rsidR="326B91C0" w:rsidRPr="5937A937">
        <w:rPr>
          <w:rFonts w:asciiTheme="majorHAnsi" w:hAnsiTheme="majorHAnsi" w:cstheme="majorBidi"/>
          <w:noProof/>
          <w:sz w:val="22"/>
          <w:szCs w:val="22"/>
          <w:lang w:val="en-GB"/>
        </w:rPr>
        <w:t>(Al-Aboosi et al., 2021)</w:t>
      </w:r>
      <w:r w:rsidR="00420F25" w:rsidRPr="5937A937">
        <w:rPr>
          <w:rFonts w:asciiTheme="majorHAnsi" w:hAnsiTheme="majorHAnsi" w:cstheme="majorBidi"/>
          <w:sz w:val="22"/>
          <w:szCs w:val="22"/>
          <w:lang w:val="en-GB"/>
        </w:rPr>
        <w:fldChar w:fldCharType="end"/>
      </w:r>
      <w:r w:rsidR="6127EE57" w:rsidRPr="5937A937">
        <w:rPr>
          <w:rFonts w:asciiTheme="majorHAnsi" w:hAnsiTheme="majorHAnsi" w:cstheme="majorBidi"/>
          <w:sz w:val="22"/>
          <w:szCs w:val="22"/>
          <w:lang w:val="en-GB"/>
        </w:rPr>
        <w:t>.</w:t>
      </w:r>
      <w:r w:rsidR="59F4C181" w:rsidRPr="5937A937">
        <w:rPr>
          <w:rFonts w:asciiTheme="majorHAnsi" w:hAnsiTheme="majorHAnsi" w:cstheme="majorBidi"/>
          <w:sz w:val="22"/>
          <w:szCs w:val="22"/>
          <w:lang w:val="en-GB"/>
        </w:rPr>
        <w:t xml:space="preserve"> </w:t>
      </w:r>
      <w:r w:rsidR="7D766536" w:rsidRPr="5937A937">
        <w:rPr>
          <w:rFonts w:asciiTheme="majorHAnsi" w:hAnsiTheme="majorHAnsi" w:cstheme="majorBidi"/>
          <w:sz w:val="22"/>
          <w:szCs w:val="22"/>
          <w:lang w:val="en-GB"/>
        </w:rPr>
        <w:t xml:space="preserve">The </w:t>
      </w:r>
      <w:r w:rsidR="4595B4AA" w:rsidRPr="5937A937">
        <w:rPr>
          <w:rFonts w:asciiTheme="majorHAnsi" w:hAnsiTheme="majorHAnsi" w:cstheme="majorBidi"/>
          <w:sz w:val="22"/>
          <w:szCs w:val="22"/>
          <w:lang w:val="en-GB"/>
        </w:rPr>
        <w:t xml:space="preserve">first </w:t>
      </w:r>
      <w:r w:rsidR="7D766536" w:rsidRPr="5937A937">
        <w:rPr>
          <w:rFonts w:asciiTheme="majorHAnsi" w:hAnsiTheme="majorHAnsi" w:cstheme="majorBidi"/>
          <w:sz w:val="22"/>
          <w:szCs w:val="22"/>
          <w:lang w:val="en-GB"/>
        </w:rPr>
        <w:t xml:space="preserve">use of </w:t>
      </w:r>
      <w:r w:rsidR="4595B4AA" w:rsidRPr="5937A937">
        <w:rPr>
          <w:rFonts w:asciiTheme="majorHAnsi" w:hAnsiTheme="majorHAnsi" w:cstheme="majorBidi"/>
          <w:sz w:val="22"/>
          <w:szCs w:val="22"/>
          <w:lang w:val="en-GB"/>
        </w:rPr>
        <w:t>liquid</w:t>
      </w:r>
      <w:r w:rsidR="7D766536" w:rsidRPr="5937A937">
        <w:rPr>
          <w:rFonts w:asciiTheme="majorHAnsi" w:hAnsiTheme="majorHAnsi" w:cstheme="majorBidi"/>
          <w:sz w:val="22"/>
          <w:szCs w:val="22"/>
          <w:lang w:val="en-GB"/>
        </w:rPr>
        <w:t xml:space="preserve"> ammonia as fuel</w:t>
      </w:r>
      <w:r w:rsidR="4595B4AA" w:rsidRPr="5937A937">
        <w:rPr>
          <w:rFonts w:asciiTheme="majorHAnsi" w:hAnsiTheme="majorHAnsi" w:cstheme="majorBidi"/>
          <w:sz w:val="22"/>
          <w:szCs w:val="22"/>
          <w:lang w:val="en-GB"/>
        </w:rPr>
        <w:t xml:space="preserve"> </w:t>
      </w:r>
      <w:proofErr w:type="gramStart"/>
      <w:r w:rsidR="3574131A" w:rsidRPr="5937A937">
        <w:rPr>
          <w:rFonts w:asciiTheme="majorHAnsi" w:hAnsiTheme="majorHAnsi" w:cstheme="majorBidi"/>
          <w:sz w:val="22"/>
          <w:szCs w:val="22"/>
          <w:lang w:val="en-GB"/>
        </w:rPr>
        <w:lastRenderedPageBreak/>
        <w:t xml:space="preserve">dates back </w:t>
      </w:r>
      <w:r w:rsidR="15B71F9C" w:rsidRPr="5937A937">
        <w:rPr>
          <w:rFonts w:asciiTheme="majorHAnsi" w:hAnsiTheme="majorHAnsi" w:cstheme="majorBidi"/>
          <w:sz w:val="22"/>
          <w:szCs w:val="22"/>
          <w:lang w:val="en-GB"/>
        </w:rPr>
        <w:t>to</w:t>
      </w:r>
      <w:proofErr w:type="gramEnd"/>
      <w:r w:rsidR="15B71F9C" w:rsidRPr="5937A937">
        <w:rPr>
          <w:rFonts w:asciiTheme="majorHAnsi" w:hAnsiTheme="majorHAnsi" w:cstheme="majorBidi"/>
          <w:sz w:val="22"/>
          <w:szCs w:val="22"/>
          <w:lang w:val="en-GB"/>
        </w:rPr>
        <w:t xml:space="preserve"> </w:t>
      </w:r>
      <w:r w:rsidR="00181F4B">
        <w:rPr>
          <w:rFonts w:asciiTheme="majorHAnsi" w:hAnsiTheme="majorHAnsi" w:cstheme="majorBidi"/>
          <w:sz w:val="22"/>
          <w:szCs w:val="22"/>
          <w:lang w:val="en-GB"/>
        </w:rPr>
        <w:t>the</w:t>
      </w:r>
      <w:r w:rsidR="000808D9">
        <w:rPr>
          <w:rFonts w:asciiTheme="majorHAnsi" w:hAnsiTheme="majorHAnsi" w:cstheme="majorBidi"/>
          <w:sz w:val="22"/>
          <w:szCs w:val="22"/>
          <w:lang w:val="en-GB"/>
        </w:rPr>
        <w:t xml:space="preserve"> </w:t>
      </w:r>
      <w:r w:rsidR="7D766536" w:rsidRPr="5937A937">
        <w:rPr>
          <w:rFonts w:asciiTheme="majorHAnsi" w:hAnsiTheme="majorHAnsi" w:cstheme="majorBidi"/>
          <w:sz w:val="22"/>
          <w:szCs w:val="22"/>
          <w:lang w:val="en-GB"/>
        </w:rPr>
        <w:t>1940</w:t>
      </w:r>
      <w:r w:rsidR="00181F4B">
        <w:rPr>
          <w:rFonts w:asciiTheme="majorHAnsi" w:hAnsiTheme="majorHAnsi" w:cstheme="majorBidi"/>
          <w:sz w:val="22"/>
          <w:szCs w:val="22"/>
          <w:lang w:val="en-GB"/>
        </w:rPr>
        <w:t>’s</w:t>
      </w:r>
      <w:r w:rsidR="3574131A" w:rsidRPr="5937A937">
        <w:rPr>
          <w:rFonts w:asciiTheme="majorHAnsi" w:hAnsiTheme="majorHAnsi" w:cstheme="majorBidi"/>
          <w:sz w:val="22"/>
          <w:szCs w:val="22"/>
          <w:lang w:val="en-GB"/>
        </w:rPr>
        <w:t>, in buses. Although no critical issues from propulsion were reported, the use of ammonia in combustion engines has some disadvantages, e.g., low flame speed, high auto-ignition temperature, high heat of vaporization and toxicity</w:t>
      </w:r>
      <w:r w:rsidR="612BC2DB" w:rsidRPr="5937A937">
        <w:rPr>
          <w:rFonts w:asciiTheme="majorHAnsi" w:hAnsiTheme="majorHAnsi" w:cstheme="majorBidi"/>
          <w:sz w:val="22"/>
          <w:szCs w:val="22"/>
          <w:lang w:val="en-GB"/>
        </w:rPr>
        <w:t xml:space="preserve"> </w:t>
      </w:r>
      <w:r w:rsidR="00420F25" w:rsidRPr="5937A937">
        <w:rPr>
          <w:rFonts w:asciiTheme="majorHAnsi" w:hAnsiTheme="majorHAnsi" w:cstheme="majorBidi"/>
          <w:sz w:val="22"/>
          <w:szCs w:val="22"/>
          <w:lang w:val="en-GB"/>
        </w:rPr>
        <w:fldChar w:fldCharType="begin" w:fldLock="1"/>
      </w:r>
      <w:r w:rsidR="00420F25" w:rsidRPr="5937A937">
        <w:rPr>
          <w:rFonts w:asciiTheme="majorHAnsi" w:hAnsiTheme="majorHAnsi" w:cstheme="majorBidi"/>
          <w:sz w:val="22"/>
          <w:szCs w:val="22"/>
          <w:lang w:val="en-GB"/>
        </w:rPr>
        <w:instrText>ADDIN CSL_CITATION {"citationItems":[{"id":"ITEM-1","itemData":{"abstract":"Comparison of Alternative Marine Fuels Environmental regulations controlling emissions of SOx, NOx and Greenhouse Gases (GHG) are transforming the global shipping industry. Carbon-intensive, polluting heavy fuel oil (HFO) can no longer remain the default option for ocean voyages. To comply with the International Maritime Organization’s (IMO) 1st January 2020 SOx regulations and announced future environmental targets, ship owners and operators must change the ways in which they power and fuel their fleets. Choosing which marine fuel to adopt is now a significant investment decision to be made amidst a range of uncertainties. To support the industry in its decision-making process, SEA\\LNG commissioned DNV GL to conduct a comprehensive study to assess the commercial and operational viability of alternative marine fuels. Based on existing academic and industry literature, the study evaluates how well six of the main alternative fuels (hydrogen, ammonia, methanol, LPG, biofuel, specifically Hydrotreated Vegetable Oil, and full battery-electric systems), perform compared to LNG and legacy HFO.","author":[{"dropping-particle":"","family":"DNV GL","given":"","non-dropping-particle":"","parse-names":false,"suffix":""}],"id":"ITEM-1","issued":{"date-parts":[["2019"]]},"page":"1-65","title":"Comparison of Alternative Marine Fuels","type":"article-journal"},"uris":["http://www.mendeley.com/documents/?uuid=683f518a-617f-4440-bc51-4f803bcfd6ca"]}],"mendeley":{"formattedCitation":"(DNV GL, 2019)","plainTextFormattedCitation":"(DNV GL, 2019)","previouslyFormattedCitation":"(DNV GL, 2019)"},"properties":{"noteIndex":0},"schema":"https://github.com/citation-style-language/schema/raw/master/csl-citation.json"}</w:instrText>
      </w:r>
      <w:r w:rsidR="00420F25" w:rsidRPr="5937A937">
        <w:rPr>
          <w:rFonts w:asciiTheme="majorHAnsi" w:hAnsiTheme="majorHAnsi" w:cstheme="majorBidi"/>
          <w:sz w:val="22"/>
          <w:szCs w:val="22"/>
          <w:lang w:val="en-GB"/>
        </w:rPr>
        <w:fldChar w:fldCharType="separate"/>
      </w:r>
      <w:r w:rsidR="612BC2DB" w:rsidRPr="5937A937">
        <w:rPr>
          <w:rFonts w:asciiTheme="majorHAnsi" w:hAnsiTheme="majorHAnsi" w:cstheme="majorBidi"/>
          <w:noProof/>
          <w:sz w:val="22"/>
          <w:szCs w:val="22"/>
          <w:lang w:val="en-GB"/>
        </w:rPr>
        <w:t>(DNV GL, 2019)</w:t>
      </w:r>
      <w:r w:rsidR="00420F25" w:rsidRPr="5937A937">
        <w:rPr>
          <w:rFonts w:asciiTheme="majorHAnsi" w:hAnsiTheme="majorHAnsi" w:cstheme="majorBidi"/>
          <w:sz w:val="22"/>
          <w:szCs w:val="22"/>
          <w:lang w:val="en-GB"/>
        </w:rPr>
        <w:fldChar w:fldCharType="end"/>
      </w:r>
      <w:r w:rsidR="3574131A" w:rsidRPr="5937A937">
        <w:rPr>
          <w:rFonts w:asciiTheme="majorHAnsi" w:hAnsiTheme="majorHAnsi" w:cstheme="majorBidi"/>
          <w:sz w:val="22"/>
          <w:szCs w:val="22"/>
          <w:lang w:val="en-GB"/>
        </w:rPr>
        <w:t>. Alternatively, ammonia could be deployed in fuel cells</w:t>
      </w:r>
      <w:r w:rsidR="22B5DE90" w:rsidRPr="5937A937">
        <w:rPr>
          <w:rFonts w:asciiTheme="majorHAnsi" w:hAnsiTheme="majorHAnsi" w:cstheme="majorBidi"/>
          <w:sz w:val="22"/>
          <w:szCs w:val="22"/>
          <w:lang w:val="en-GB"/>
        </w:rPr>
        <w:t xml:space="preserve">; </w:t>
      </w:r>
      <w:r w:rsidR="491BBFB9" w:rsidRPr="5937A937">
        <w:rPr>
          <w:rFonts w:asciiTheme="majorHAnsi" w:hAnsiTheme="majorHAnsi" w:cstheme="majorBidi"/>
          <w:sz w:val="22"/>
          <w:szCs w:val="22"/>
          <w:lang w:val="en-GB"/>
        </w:rPr>
        <w:t>however, technology</w:t>
      </w:r>
      <w:r w:rsidR="3574131A" w:rsidRPr="5937A937">
        <w:rPr>
          <w:rFonts w:asciiTheme="majorHAnsi" w:hAnsiTheme="majorHAnsi" w:cstheme="majorBidi"/>
          <w:sz w:val="22"/>
          <w:szCs w:val="22"/>
          <w:lang w:val="en-GB"/>
        </w:rPr>
        <w:t xml:space="preserve"> development</w:t>
      </w:r>
      <w:r w:rsidR="22B5DE90" w:rsidRPr="5937A937">
        <w:rPr>
          <w:rFonts w:asciiTheme="majorHAnsi" w:hAnsiTheme="majorHAnsi" w:cstheme="majorBidi"/>
          <w:sz w:val="22"/>
          <w:szCs w:val="22"/>
          <w:lang w:val="en-GB"/>
        </w:rPr>
        <w:t xml:space="preserve"> </w:t>
      </w:r>
      <w:r w:rsidR="5611CE2C" w:rsidRPr="5937A937">
        <w:rPr>
          <w:rFonts w:asciiTheme="majorHAnsi" w:hAnsiTheme="majorHAnsi" w:cstheme="majorBidi"/>
          <w:sz w:val="22"/>
          <w:szCs w:val="22"/>
          <w:lang w:val="en-GB"/>
        </w:rPr>
        <w:t xml:space="preserve">is </w:t>
      </w:r>
      <w:r w:rsidR="3574131A" w:rsidRPr="5937A937">
        <w:rPr>
          <w:rFonts w:asciiTheme="majorHAnsi" w:hAnsiTheme="majorHAnsi" w:cstheme="majorBidi"/>
          <w:sz w:val="22"/>
          <w:szCs w:val="22"/>
          <w:lang w:val="en-GB"/>
        </w:rPr>
        <w:t>still necessary</w:t>
      </w:r>
      <w:r w:rsidR="7396239F" w:rsidRPr="5937A937">
        <w:rPr>
          <w:rFonts w:asciiTheme="majorHAnsi" w:hAnsiTheme="majorHAnsi" w:cstheme="majorBidi"/>
          <w:sz w:val="22"/>
          <w:szCs w:val="22"/>
          <w:lang w:val="en-GB"/>
        </w:rPr>
        <w:t xml:space="preserve"> due to its immaturity</w:t>
      </w:r>
      <w:r w:rsidR="3574131A" w:rsidRPr="5937A937">
        <w:rPr>
          <w:rFonts w:asciiTheme="majorHAnsi" w:hAnsiTheme="majorHAnsi" w:cstheme="majorBidi"/>
          <w:sz w:val="22"/>
          <w:szCs w:val="22"/>
          <w:lang w:val="en-GB"/>
        </w:rPr>
        <w:t>. Ammonia</w:t>
      </w:r>
      <w:r w:rsidR="59F4C181" w:rsidRPr="5937A937">
        <w:rPr>
          <w:rFonts w:asciiTheme="majorHAnsi" w:hAnsiTheme="majorHAnsi" w:cstheme="majorBidi"/>
          <w:sz w:val="22"/>
          <w:szCs w:val="22"/>
          <w:lang w:val="en-GB"/>
        </w:rPr>
        <w:t xml:space="preserve"> is mostly produced </w:t>
      </w:r>
      <w:r w:rsidR="75F2A7F5" w:rsidRPr="5937A937">
        <w:rPr>
          <w:rFonts w:asciiTheme="majorHAnsi" w:hAnsiTheme="majorHAnsi" w:cstheme="majorBidi"/>
          <w:sz w:val="22"/>
          <w:szCs w:val="22"/>
          <w:lang w:val="en-GB"/>
        </w:rPr>
        <w:t>through Haber-Bosch process</w:t>
      </w:r>
      <w:r w:rsidR="3574131A" w:rsidRPr="5937A937">
        <w:rPr>
          <w:rFonts w:asciiTheme="majorHAnsi" w:hAnsiTheme="majorHAnsi" w:cstheme="majorBidi"/>
          <w:sz w:val="22"/>
          <w:szCs w:val="22"/>
          <w:lang w:val="en-GB"/>
        </w:rPr>
        <w:t xml:space="preserve">, reacting </w:t>
      </w:r>
      <w:r w:rsidR="75F2A7F5" w:rsidRPr="5937A937">
        <w:rPr>
          <w:rFonts w:asciiTheme="majorHAnsi" w:hAnsiTheme="majorHAnsi" w:cstheme="majorBidi"/>
          <w:sz w:val="22"/>
          <w:szCs w:val="22"/>
          <w:lang w:val="en-GB"/>
        </w:rPr>
        <w:t>N</w:t>
      </w:r>
      <w:r w:rsidR="75F2A7F5" w:rsidRPr="5937A937">
        <w:rPr>
          <w:rFonts w:asciiTheme="majorHAnsi" w:hAnsiTheme="majorHAnsi" w:cstheme="majorBidi"/>
          <w:sz w:val="22"/>
          <w:szCs w:val="22"/>
          <w:vertAlign w:val="subscript"/>
          <w:lang w:val="en-GB"/>
        </w:rPr>
        <w:t>2</w:t>
      </w:r>
      <w:r w:rsidR="75F2A7F5" w:rsidRPr="5937A937">
        <w:rPr>
          <w:rFonts w:asciiTheme="majorHAnsi" w:hAnsiTheme="majorHAnsi" w:cstheme="majorBidi"/>
          <w:sz w:val="22"/>
          <w:szCs w:val="22"/>
          <w:lang w:val="en-GB"/>
        </w:rPr>
        <w:t xml:space="preserve"> with H</w:t>
      </w:r>
      <w:r w:rsidR="75F2A7F5" w:rsidRPr="5937A937">
        <w:rPr>
          <w:rFonts w:asciiTheme="majorHAnsi" w:hAnsiTheme="majorHAnsi" w:cstheme="majorBidi"/>
          <w:sz w:val="22"/>
          <w:szCs w:val="22"/>
          <w:vertAlign w:val="subscript"/>
          <w:lang w:val="en-GB"/>
        </w:rPr>
        <w:t>2</w:t>
      </w:r>
      <w:r w:rsidR="75F2A7F5" w:rsidRPr="5937A937">
        <w:rPr>
          <w:rFonts w:asciiTheme="majorHAnsi" w:hAnsiTheme="majorHAnsi" w:cstheme="majorBidi"/>
          <w:sz w:val="22"/>
          <w:szCs w:val="22"/>
          <w:lang w:val="en-GB"/>
        </w:rPr>
        <w:t xml:space="preserve"> over a metal catalyst.</w:t>
      </w:r>
      <w:r w:rsidR="4DD87A1A" w:rsidRPr="5937A937">
        <w:rPr>
          <w:rFonts w:asciiTheme="majorHAnsi" w:hAnsiTheme="majorHAnsi" w:cstheme="majorBidi"/>
          <w:sz w:val="22"/>
          <w:szCs w:val="22"/>
          <w:lang w:val="en-GB"/>
        </w:rPr>
        <w:t xml:space="preserve"> Currently, 95% of the H</w:t>
      </w:r>
      <w:r w:rsidR="4DD87A1A" w:rsidRPr="5937A937">
        <w:rPr>
          <w:rFonts w:asciiTheme="majorHAnsi" w:hAnsiTheme="majorHAnsi" w:cstheme="majorBidi"/>
          <w:sz w:val="22"/>
          <w:szCs w:val="22"/>
          <w:vertAlign w:val="subscript"/>
          <w:lang w:val="en-GB"/>
        </w:rPr>
        <w:t>2</w:t>
      </w:r>
      <w:r w:rsidR="4DD87A1A" w:rsidRPr="5937A937">
        <w:rPr>
          <w:rFonts w:asciiTheme="majorHAnsi" w:hAnsiTheme="majorHAnsi" w:cstheme="majorBidi"/>
          <w:sz w:val="22"/>
          <w:szCs w:val="22"/>
          <w:lang w:val="en-GB"/>
        </w:rPr>
        <w:t xml:space="preserve"> used comes from fossil sources, mainly natural gas reforming, </w:t>
      </w:r>
      <w:r w:rsidR="0B5DCFC0" w:rsidRPr="5937A937">
        <w:rPr>
          <w:rFonts w:asciiTheme="majorHAnsi" w:hAnsiTheme="majorHAnsi" w:cstheme="majorBidi"/>
          <w:sz w:val="22"/>
          <w:szCs w:val="22"/>
          <w:lang w:val="en-GB"/>
        </w:rPr>
        <w:t>while N</w:t>
      </w:r>
      <w:r w:rsidR="0B5DCFC0" w:rsidRPr="5937A937">
        <w:rPr>
          <w:rFonts w:asciiTheme="majorHAnsi" w:hAnsiTheme="majorHAnsi" w:cstheme="majorBidi"/>
          <w:sz w:val="22"/>
          <w:szCs w:val="22"/>
          <w:vertAlign w:val="subscript"/>
          <w:lang w:val="en-GB"/>
        </w:rPr>
        <w:t>2</w:t>
      </w:r>
      <w:r w:rsidR="0B5DCFC0" w:rsidRPr="5937A937">
        <w:rPr>
          <w:rFonts w:asciiTheme="majorHAnsi" w:hAnsiTheme="majorHAnsi" w:cstheme="majorBidi"/>
          <w:sz w:val="22"/>
          <w:szCs w:val="22"/>
          <w:lang w:val="en-GB"/>
        </w:rPr>
        <w:t xml:space="preserve"> comes from</w:t>
      </w:r>
      <w:r w:rsidR="7C9E01DB" w:rsidRPr="5937A937">
        <w:rPr>
          <w:rFonts w:asciiTheme="majorHAnsi" w:hAnsiTheme="majorHAnsi" w:cstheme="majorBidi"/>
          <w:sz w:val="22"/>
          <w:szCs w:val="22"/>
          <w:lang w:val="en-GB"/>
        </w:rPr>
        <w:t xml:space="preserve"> energy intensive</w:t>
      </w:r>
      <w:r w:rsidR="0B5DCFC0" w:rsidRPr="5937A937">
        <w:rPr>
          <w:rFonts w:asciiTheme="majorHAnsi" w:hAnsiTheme="majorHAnsi" w:cstheme="majorBidi"/>
          <w:sz w:val="22"/>
          <w:szCs w:val="22"/>
          <w:lang w:val="en-GB"/>
        </w:rPr>
        <w:t xml:space="preserve"> air separation</w:t>
      </w:r>
      <w:r w:rsidR="7D82C5CA" w:rsidRPr="5937A937">
        <w:rPr>
          <w:rFonts w:asciiTheme="majorHAnsi" w:hAnsiTheme="majorHAnsi" w:cstheme="majorBidi"/>
          <w:sz w:val="22"/>
          <w:szCs w:val="22"/>
          <w:lang w:val="en-GB"/>
        </w:rPr>
        <w:t xml:space="preserve"> production</w:t>
      </w:r>
      <w:r w:rsidR="0B5DCFC0" w:rsidRPr="5937A937">
        <w:rPr>
          <w:rFonts w:asciiTheme="majorHAnsi" w:hAnsiTheme="majorHAnsi" w:cstheme="majorBidi"/>
          <w:sz w:val="22"/>
          <w:szCs w:val="22"/>
          <w:lang w:val="en-GB"/>
        </w:rPr>
        <w:t>. This is a challenge for ammonia use that, if not surpassed, will limit the potential reduction of emissions.</w:t>
      </w:r>
      <w:r w:rsidR="7C9E01DB" w:rsidRPr="5937A937">
        <w:rPr>
          <w:rFonts w:asciiTheme="majorHAnsi" w:hAnsiTheme="majorHAnsi" w:cstheme="majorBidi"/>
          <w:sz w:val="22"/>
          <w:szCs w:val="22"/>
          <w:lang w:val="en-GB"/>
        </w:rPr>
        <w:t xml:space="preserve"> Green ammonia can be </w:t>
      </w:r>
      <w:r w:rsidR="13544EB1" w:rsidRPr="5937A937">
        <w:rPr>
          <w:rFonts w:asciiTheme="majorHAnsi" w:hAnsiTheme="majorHAnsi" w:cstheme="majorBidi"/>
          <w:sz w:val="22"/>
          <w:szCs w:val="22"/>
          <w:lang w:val="en-GB"/>
        </w:rPr>
        <w:t>generated</w:t>
      </w:r>
      <w:r w:rsidR="7C9E01DB" w:rsidRPr="5937A937">
        <w:rPr>
          <w:rFonts w:asciiTheme="majorHAnsi" w:hAnsiTheme="majorHAnsi" w:cstheme="majorBidi"/>
          <w:sz w:val="22"/>
          <w:szCs w:val="22"/>
          <w:lang w:val="en-GB"/>
        </w:rPr>
        <w:t xml:space="preserve"> by</w:t>
      </w:r>
      <w:r w:rsidR="488A6229" w:rsidRPr="5937A937">
        <w:rPr>
          <w:rFonts w:asciiTheme="majorHAnsi" w:hAnsiTheme="majorHAnsi" w:cstheme="majorBidi"/>
          <w:sz w:val="22"/>
          <w:szCs w:val="22"/>
          <w:lang w:val="en-GB"/>
        </w:rPr>
        <w:t xml:space="preserve"> using</w:t>
      </w:r>
      <w:r w:rsidR="7C9E01DB" w:rsidRPr="5937A937">
        <w:rPr>
          <w:rFonts w:asciiTheme="majorHAnsi" w:hAnsiTheme="majorHAnsi" w:cstheme="majorBidi"/>
          <w:sz w:val="22"/>
          <w:szCs w:val="22"/>
          <w:lang w:val="en-GB"/>
        </w:rPr>
        <w:t xml:space="preserve"> </w:t>
      </w:r>
      <w:r w:rsidR="46FFE624" w:rsidRPr="5937A937">
        <w:rPr>
          <w:rFonts w:asciiTheme="majorHAnsi" w:hAnsiTheme="majorHAnsi" w:cstheme="majorBidi"/>
          <w:sz w:val="22"/>
          <w:szCs w:val="22"/>
          <w:lang w:val="en-GB"/>
        </w:rPr>
        <w:t>renewable energy</w:t>
      </w:r>
      <w:r w:rsidR="5501C157" w:rsidRPr="5937A937">
        <w:rPr>
          <w:rFonts w:asciiTheme="majorHAnsi" w:hAnsiTheme="majorHAnsi" w:cstheme="majorBidi"/>
          <w:sz w:val="22"/>
          <w:szCs w:val="22"/>
          <w:lang w:val="en-GB"/>
        </w:rPr>
        <w:t>, such as solar,</w:t>
      </w:r>
      <w:r w:rsidR="46FFE624" w:rsidRPr="5937A937">
        <w:rPr>
          <w:rFonts w:asciiTheme="majorHAnsi" w:hAnsiTheme="majorHAnsi" w:cstheme="majorBidi"/>
          <w:sz w:val="22"/>
          <w:szCs w:val="22"/>
          <w:lang w:val="en-GB"/>
        </w:rPr>
        <w:t xml:space="preserve"> </w:t>
      </w:r>
      <w:r w:rsidR="163FA500" w:rsidRPr="5937A937">
        <w:rPr>
          <w:rFonts w:asciiTheme="majorHAnsi" w:hAnsiTheme="majorHAnsi" w:cstheme="majorBidi"/>
          <w:sz w:val="22"/>
          <w:szCs w:val="22"/>
          <w:lang w:val="en-GB"/>
        </w:rPr>
        <w:t>during the</w:t>
      </w:r>
      <w:r w:rsidR="7C9E01DB" w:rsidRPr="5937A937">
        <w:rPr>
          <w:rFonts w:asciiTheme="majorHAnsi" w:hAnsiTheme="majorHAnsi" w:cstheme="majorBidi"/>
          <w:sz w:val="22"/>
          <w:szCs w:val="22"/>
          <w:lang w:val="en-GB"/>
        </w:rPr>
        <w:t xml:space="preserve"> production </w:t>
      </w:r>
      <w:r w:rsidR="00001DE7">
        <w:rPr>
          <w:rFonts w:asciiTheme="majorHAnsi" w:hAnsiTheme="majorHAnsi" w:cstheme="majorBidi"/>
          <w:sz w:val="22"/>
          <w:szCs w:val="22"/>
          <w:lang w:val="en-GB"/>
        </w:rPr>
        <w:t>a</w:t>
      </w:r>
      <w:r w:rsidR="7C9E01DB" w:rsidRPr="5937A937">
        <w:rPr>
          <w:rFonts w:asciiTheme="majorHAnsi" w:hAnsiTheme="majorHAnsi" w:cstheme="majorBidi"/>
          <w:sz w:val="22"/>
          <w:szCs w:val="22"/>
          <w:lang w:val="en-GB"/>
        </w:rPr>
        <w:t xml:space="preserve">nd </w:t>
      </w:r>
      <w:r w:rsidR="01E590D3" w:rsidRPr="5937A937">
        <w:rPr>
          <w:rFonts w:asciiTheme="majorHAnsi" w:hAnsiTheme="majorHAnsi" w:cstheme="majorBidi"/>
          <w:sz w:val="22"/>
          <w:szCs w:val="22"/>
          <w:lang w:val="en-GB"/>
        </w:rPr>
        <w:t xml:space="preserve">by </w:t>
      </w:r>
      <w:r w:rsidR="00FA2133">
        <w:rPr>
          <w:rFonts w:asciiTheme="majorHAnsi" w:hAnsiTheme="majorHAnsi" w:cstheme="majorBidi"/>
          <w:sz w:val="22"/>
          <w:szCs w:val="22"/>
          <w:lang w:val="en-GB"/>
        </w:rPr>
        <w:t>producing</w:t>
      </w:r>
      <w:r w:rsidR="7C9E01DB" w:rsidRPr="5937A937">
        <w:rPr>
          <w:rFonts w:asciiTheme="majorHAnsi" w:hAnsiTheme="majorHAnsi" w:cstheme="majorBidi"/>
          <w:sz w:val="22"/>
          <w:szCs w:val="22"/>
          <w:lang w:val="en-GB"/>
        </w:rPr>
        <w:t xml:space="preserve"> H</w:t>
      </w:r>
      <w:r w:rsidR="7C9E01DB" w:rsidRPr="5937A937">
        <w:rPr>
          <w:rFonts w:asciiTheme="majorHAnsi" w:hAnsiTheme="majorHAnsi" w:cstheme="majorBidi"/>
          <w:sz w:val="22"/>
          <w:szCs w:val="22"/>
          <w:vertAlign w:val="subscript"/>
          <w:lang w:val="en-GB"/>
        </w:rPr>
        <w:t>2</w:t>
      </w:r>
      <w:r w:rsidR="7C9E01DB" w:rsidRPr="5937A937">
        <w:rPr>
          <w:rFonts w:asciiTheme="majorHAnsi" w:hAnsiTheme="majorHAnsi" w:cstheme="majorBidi"/>
          <w:sz w:val="22"/>
          <w:szCs w:val="22"/>
          <w:lang w:val="en-GB"/>
        </w:rPr>
        <w:t xml:space="preserve"> from renewable sources, for instance</w:t>
      </w:r>
      <w:r w:rsidR="13544EB1" w:rsidRPr="5937A937">
        <w:rPr>
          <w:rFonts w:asciiTheme="majorHAnsi" w:hAnsiTheme="majorHAnsi" w:cstheme="majorBidi"/>
          <w:sz w:val="22"/>
          <w:szCs w:val="22"/>
          <w:lang w:val="en-GB"/>
        </w:rPr>
        <w:t>,</w:t>
      </w:r>
      <w:r w:rsidR="7C9E01DB" w:rsidRPr="5937A937">
        <w:rPr>
          <w:rFonts w:asciiTheme="majorHAnsi" w:hAnsiTheme="majorHAnsi" w:cstheme="majorBidi"/>
          <w:sz w:val="22"/>
          <w:szCs w:val="22"/>
          <w:lang w:val="en-GB"/>
        </w:rPr>
        <w:t xml:space="preserve"> biogas</w:t>
      </w:r>
      <w:r w:rsidR="3EB5600D" w:rsidRPr="5937A937">
        <w:rPr>
          <w:rFonts w:asciiTheme="majorHAnsi" w:hAnsiTheme="majorHAnsi" w:cstheme="majorBidi"/>
          <w:sz w:val="22"/>
          <w:szCs w:val="22"/>
          <w:lang w:val="en-GB"/>
        </w:rPr>
        <w:t xml:space="preserve"> or water</w:t>
      </w:r>
      <w:proofErr w:type="gramStart"/>
      <w:r w:rsidR="7C9E01DB" w:rsidRPr="5937A937">
        <w:rPr>
          <w:rFonts w:asciiTheme="majorHAnsi" w:hAnsiTheme="majorHAnsi" w:cstheme="majorBidi"/>
          <w:sz w:val="22"/>
          <w:szCs w:val="22"/>
          <w:lang w:val="en-GB"/>
        </w:rPr>
        <w:t xml:space="preserve">.  </w:t>
      </w:r>
      <w:proofErr w:type="gramEnd"/>
      <w:r w:rsidR="3325E648" w:rsidRPr="5937A937">
        <w:rPr>
          <w:rFonts w:asciiTheme="majorHAnsi" w:hAnsiTheme="majorHAnsi" w:cstheme="majorBidi"/>
          <w:sz w:val="22"/>
          <w:szCs w:val="22"/>
          <w:lang w:val="en-GB"/>
        </w:rPr>
        <w:t xml:space="preserve">Blue ammonia is produced from fossil feedstock associated with carbons capture and storage technologies. </w:t>
      </w:r>
    </w:p>
    <w:p w14:paraId="23E76422" w14:textId="727EF67A" w:rsidR="00A00808" w:rsidRPr="000D7D19" w:rsidRDefault="13544EB1" w:rsidP="5937A937">
      <w:pPr>
        <w:spacing w:after="120" w:line="360" w:lineRule="auto"/>
        <w:ind w:firstLine="720"/>
        <w:rPr>
          <w:rFonts w:asciiTheme="majorHAnsi" w:hAnsiTheme="majorHAnsi" w:cstheme="majorBidi"/>
          <w:sz w:val="22"/>
          <w:szCs w:val="22"/>
          <w:lang w:val="en-GB"/>
        </w:rPr>
      </w:pPr>
      <w:proofErr w:type="gramStart"/>
      <w:r w:rsidRPr="5937A937">
        <w:rPr>
          <w:rFonts w:asciiTheme="majorHAnsi" w:hAnsiTheme="majorHAnsi" w:cstheme="majorBidi"/>
          <w:b/>
          <w:bCs/>
          <w:sz w:val="22"/>
          <w:szCs w:val="22"/>
          <w:lang w:val="en-GB"/>
        </w:rPr>
        <w:t>Hydrogen</w:t>
      </w:r>
      <w:r w:rsidRPr="5937A937">
        <w:rPr>
          <w:rFonts w:asciiTheme="majorHAnsi" w:hAnsiTheme="majorHAnsi" w:cstheme="majorBidi"/>
          <w:sz w:val="22"/>
          <w:szCs w:val="22"/>
          <w:lang w:val="en-GB"/>
        </w:rPr>
        <w:t>,</w:t>
      </w:r>
      <w:proofErr w:type="gramEnd"/>
      <w:r w:rsidR="3FA5EC56" w:rsidRPr="5937A937">
        <w:rPr>
          <w:rFonts w:asciiTheme="majorHAnsi" w:hAnsiTheme="majorHAnsi" w:cstheme="majorBidi"/>
          <w:sz w:val="22"/>
          <w:szCs w:val="22"/>
          <w:lang w:val="en-GB"/>
        </w:rPr>
        <w:t xml:space="preserve"> is being considered as a promising fuel mainly due to its potential </w:t>
      </w:r>
      <w:r w:rsidR="5E8DC812" w:rsidRPr="5937A937">
        <w:rPr>
          <w:rFonts w:asciiTheme="majorHAnsi" w:hAnsiTheme="majorHAnsi" w:cstheme="majorBidi"/>
          <w:sz w:val="22"/>
          <w:szCs w:val="22"/>
          <w:lang w:val="en-GB"/>
        </w:rPr>
        <w:t>for</w:t>
      </w:r>
      <w:r w:rsidR="3FA5EC56" w:rsidRPr="5937A937">
        <w:rPr>
          <w:rFonts w:asciiTheme="majorHAnsi" w:hAnsiTheme="majorHAnsi" w:cstheme="majorBidi"/>
          <w:sz w:val="22"/>
          <w:szCs w:val="22"/>
          <w:lang w:val="en-GB"/>
        </w:rPr>
        <w:t xml:space="preserve"> </w:t>
      </w:r>
      <w:r w:rsidR="5E8DC812" w:rsidRPr="5937A937">
        <w:rPr>
          <w:rFonts w:asciiTheme="majorHAnsi" w:hAnsiTheme="majorHAnsi" w:cstheme="majorBidi"/>
          <w:sz w:val="22"/>
          <w:szCs w:val="22"/>
          <w:lang w:val="en-GB"/>
        </w:rPr>
        <w:t xml:space="preserve">emissions </w:t>
      </w:r>
      <w:r w:rsidR="3FA5EC56" w:rsidRPr="5937A937">
        <w:rPr>
          <w:rFonts w:asciiTheme="majorHAnsi" w:hAnsiTheme="majorHAnsi" w:cstheme="majorBidi"/>
          <w:sz w:val="22"/>
          <w:szCs w:val="22"/>
          <w:lang w:val="en-GB"/>
        </w:rPr>
        <w:t>reduc</w:t>
      </w:r>
      <w:r w:rsidR="5E8DC812" w:rsidRPr="5937A937">
        <w:rPr>
          <w:rFonts w:asciiTheme="majorHAnsi" w:hAnsiTheme="majorHAnsi" w:cstheme="majorBidi"/>
          <w:sz w:val="22"/>
          <w:szCs w:val="22"/>
          <w:lang w:val="en-GB"/>
        </w:rPr>
        <w:t>tion</w:t>
      </w:r>
      <w:r w:rsidR="3FA5EC56" w:rsidRPr="5937A937">
        <w:rPr>
          <w:rFonts w:asciiTheme="majorHAnsi" w:hAnsiTheme="majorHAnsi" w:cstheme="majorBidi"/>
          <w:sz w:val="22"/>
          <w:szCs w:val="22"/>
          <w:lang w:val="en-GB"/>
        </w:rPr>
        <w:t xml:space="preserve"> and from the current experience </w:t>
      </w:r>
      <w:r w:rsidR="3592FC5D" w:rsidRPr="5937A937">
        <w:rPr>
          <w:rFonts w:asciiTheme="majorHAnsi" w:hAnsiTheme="majorHAnsi" w:cstheme="majorBidi"/>
          <w:sz w:val="22"/>
          <w:szCs w:val="22"/>
          <w:lang w:val="en-GB"/>
        </w:rPr>
        <w:t xml:space="preserve">on </w:t>
      </w:r>
      <w:r w:rsidR="719D6E07" w:rsidRPr="5937A937">
        <w:rPr>
          <w:rFonts w:asciiTheme="majorHAnsi" w:hAnsiTheme="majorHAnsi" w:cstheme="majorBidi"/>
          <w:sz w:val="22"/>
          <w:szCs w:val="22"/>
          <w:lang w:val="en-GB"/>
        </w:rPr>
        <w:t xml:space="preserve">the </w:t>
      </w:r>
      <w:r w:rsidR="79D4B255" w:rsidRPr="5937A937">
        <w:rPr>
          <w:rFonts w:asciiTheme="majorHAnsi" w:hAnsiTheme="majorHAnsi" w:cstheme="majorBidi"/>
          <w:sz w:val="22"/>
          <w:szCs w:val="22"/>
          <w:lang w:val="en-GB"/>
        </w:rPr>
        <w:t>chemical market</w:t>
      </w:r>
      <w:r w:rsidR="3FA5EC56" w:rsidRPr="5937A937">
        <w:rPr>
          <w:rFonts w:asciiTheme="majorHAnsi" w:hAnsiTheme="majorHAnsi" w:cstheme="majorBidi"/>
          <w:sz w:val="22"/>
          <w:szCs w:val="22"/>
          <w:lang w:val="en-GB"/>
        </w:rPr>
        <w:t xml:space="preserve">. </w:t>
      </w:r>
      <w:r w:rsidR="3592FC5D" w:rsidRPr="5937A937">
        <w:rPr>
          <w:rFonts w:asciiTheme="majorHAnsi" w:hAnsiTheme="majorHAnsi" w:cstheme="majorBidi"/>
          <w:sz w:val="22"/>
          <w:szCs w:val="22"/>
          <w:lang w:val="en-GB"/>
        </w:rPr>
        <w:t xml:space="preserve">When used in adapted combustion engines it has an efficiency around 40 </w:t>
      </w:r>
      <w:r w:rsidR="719D6E07" w:rsidRPr="5937A937">
        <w:rPr>
          <w:rFonts w:asciiTheme="majorHAnsi" w:hAnsiTheme="majorHAnsi" w:cstheme="majorBidi"/>
          <w:sz w:val="22"/>
          <w:szCs w:val="22"/>
          <w:lang w:val="en-GB"/>
        </w:rPr>
        <w:t xml:space="preserve">- </w:t>
      </w:r>
      <w:r w:rsidR="3DE378EB" w:rsidRPr="5937A937">
        <w:rPr>
          <w:rFonts w:asciiTheme="majorHAnsi" w:hAnsiTheme="majorHAnsi" w:cstheme="majorBidi"/>
          <w:sz w:val="22"/>
          <w:szCs w:val="22"/>
          <w:lang w:val="en-GB"/>
        </w:rPr>
        <w:t>50%</w:t>
      </w:r>
      <w:r w:rsidR="3592FC5D" w:rsidRPr="5937A937">
        <w:rPr>
          <w:rFonts w:asciiTheme="majorHAnsi" w:hAnsiTheme="majorHAnsi" w:cstheme="majorBidi"/>
          <w:sz w:val="22"/>
          <w:szCs w:val="22"/>
          <w:lang w:val="en-GB"/>
        </w:rPr>
        <w:t xml:space="preserve">, whereas in fuel cell the efficiency is typically 50 </w:t>
      </w:r>
      <w:r w:rsidR="719D6E07" w:rsidRPr="5937A937">
        <w:rPr>
          <w:rFonts w:asciiTheme="majorHAnsi" w:hAnsiTheme="majorHAnsi" w:cstheme="majorBidi"/>
          <w:sz w:val="22"/>
          <w:szCs w:val="22"/>
          <w:lang w:val="en-GB"/>
        </w:rPr>
        <w:t xml:space="preserve">- </w:t>
      </w:r>
      <w:r w:rsidR="3592FC5D" w:rsidRPr="5937A937">
        <w:rPr>
          <w:rFonts w:asciiTheme="majorHAnsi" w:hAnsiTheme="majorHAnsi" w:cstheme="majorBidi"/>
          <w:sz w:val="22"/>
          <w:szCs w:val="22"/>
          <w:lang w:val="en-GB"/>
        </w:rPr>
        <w:t>60 %.</w:t>
      </w:r>
      <w:r w:rsidR="79D4B255" w:rsidRPr="5937A937">
        <w:rPr>
          <w:rFonts w:asciiTheme="majorHAnsi" w:hAnsiTheme="majorHAnsi" w:cstheme="majorBidi"/>
          <w:sz w:val="22"/>
          <w:szCs w:val="22"/>
          <w:lang w:val="en-GB"/>
        </w:rPr>
        <w:t xml:space="preserve"> </w:t>
      </w:r>
      <w:r w:rsidR="20D0BC9A" w:rsidRPr="5937A937">
        <w:rPr>
          <w:rFonts w:asciiTheme="majorHAnsi" w:hAnsiTheme="majorHAnsi" w:cstheme="majorBidi"/>
          <w:sz w:val="22"/>
          <w:szCs w:val="22"/>
          <w:lang w:val="en-GB"/>
        </w:rPr>
        <w:t>The implementation of Hydrogen as fuel</w:t>
      </w:r>
      <w:r w:rsidR="3DBA9A8B" w:rsidRPr="5937A937">
        <w:rPr>
          <w:rFonts w:asciiTheme="majorHAnsi" w:hAnsiTheme="majorHAnsi" w:cstheme="majorBidi"/>
          <w:sz w:val="22"/>
          <w:szCs w:val="22"/>
          <w:lang w:val="en-GB"/>
        </w:rPr>
        <w:t xml:space="preserve"> is </w:t>
      </w:r>
      <w:r w:rsidR="20D0BC9A" w:rsidRPr="5937A937">
        <w:rPr>
          <w:rFonts w:asciiTheme="majorHAnsi" w:hAnsiTheme="majorHAnsi" w:cstheme="majorBidi"/>
          <w:sz w:val="22"/>
          <w:szCs w:val="22"/>
          <w:lang w:val="en-GB"/>
        </w:rPr>
        <w:t xml:space="preserve">still challenging due to technology constrains and </w:t>
      </w:r>
      <w:r w:rsidR="7DB6C500" w:rsidRPr="5937A937">
        <w:rPr>
          <w:rFonts w:asciiTheme="majorHAnsi" w:hAnsiTheme="majorHAnsi" w:cstheme="majorBidi"/>
          <w:sz w:val="22"/>
          <w:szCs w:val="22"/>
          <w:lang w:val="en-GB"/>
        </w:rPr>
        <w:t>present</w:t>
      </w:r>
      <w:r w:rsidR="20D0BC9A" w:rsidRPr="5937A937">
        <w:rPr>
          <w:rFonts w:asciiTheme="majorHAnsi" w:hAnsiTheme="majorHAnsi" w:cstheme="majorBidi"/>
          <w:sz w:val="22"/>
          <w:szCs w:val="22"/>
          <w:lang w:val="en-GB"/>
        </w:rPr>
        <w:t xml:space="preserve"> prohibitive costs</w:t>
      </w:r>
      <w:r w:rsidR="692B3D25" w:rsidRPr="5937A937">
        <w:rPr>
          <w:rFonts w:asciiTheme="majorHAnsi" w:hAnsiTheme="majorHAnsi" w:cstheme="majorBidi"/>
          <w:sz w:val="22"/>
          <w:szCs w:val="22"/>
          <w:lang w:val="en-GB"/>
        </w:rPr>
        <w:t xml:space="preserve"> </w:t>
      </w:r>
      <w:r w:rsidR="00C7292F" w:rsidRPr="5937A937">
        <w:rPr>
          <w:rFonts w:asciiTheme="majorHAnsi" w:hAnsiTheme="majorHAnsi" w:cstheme="majorBidi"/>
          <w:sz w:val="22"/>
          <w:szCs w:val="22"/>
          <w:lang w:val="en-GB"/>
        </w:rPr>
        <w:fldChar w:fldCharType="begin" w:fldLock="1"/>
      </w:r>
      <w:r w:rsidR="00C7292F" w:rsidRPr="5937A937">
        <w:rPr>
          <w:rFonts w:asciiTheme="majorHAnsi" w:hAnsiTheme="majorHAnsi" w:cstheme="majorBidi"/>
          <w:sz w:val="22"/>
          <w:szCs w:val="22"/>
          <w:lang w:val="en-GB"/>
        </w:rPr>
        <w:instrText>ADDIN CSL_CITATION {"citationItems":[{"id":"ITEM-1","itemData":{"abstract":"Comparison of Alternative Marine Fuels Environmental regulations controlling emissions of SOx, NOx and Greenhouse Gases (GHG) are transforming the global shipping industry. Carbon-intensive, polluting heavy fuel oil (HFO) can no longer remain the default option for ocean voyages. To comply with the International Maritime Organization’s (IMO) 1st January 2020 SOx regulations and announced future environmental targets, ship owners and operators must change the ways in which they power and fuel their fleets. Choosing which marine fuel to adopt is now a significant investment decision to be made amidst a range of uncertainties. To support the industry in its decision-making process, SEA\\LNG commissioned DNV GL to conduct a comprehensive study to assess the commercial and operational viability of alternative marine fuels. Based on existing academic and industry literature, the study evaluates how well six of the main alternative fuels (hydrogen, ammonia, methanol, LPG, biofuel, specifically Hydrotreated Vegetable Oil, and full battery-electric systems), perform compared to LNG and legacy HFO.","author":[{"dropping-particle":"","family":"DNV GL","given":"","non-dropping-particle":"","parse-names":false,"suffix":""}],"id":"ITEM-1","issued":{"date-parts":[["2019"]]},"page":"1-65","title":"Comparison of Alternative Marine Fuels","type":"article-journal"},"uris":["http://www.mendeley.com/documents/?uuid=683f518a-617f-4440-bc51-4f803bcfd6ca"]}],"mendeley":{"formattedCitation":"(DNV GL, 2019)","plainTextFormattedCitation":"(DNV GL, 2019)","previouslyFormattedCitation":"(DNV GL, 2019)"},"properties":{"noteIndex":0},"schema":"https://github.com/citation-style-language/schema/raw/master/csl-citation.json"}</w:instrText>
      </w:r>
      <w:r w:rsidR="00C7292F" w:rsidRPr="5937A937">
        <w:rPr>
          <w:rFonts w:asciiTheme="majorHAnsi" w:hAnsiTheme="majorHAnsi" w:cstheme="majorBidi"/>
          <w:sz w:val="22"/>
          <w:szCs w:val="22"/>
          <w:lang w:val="en-GB"/>
        </w:rPr>
        <w:fldChar w:fldCharType="separate"/>
      </w:r>
      <w:r w:rsidR="692B3D25" w:rsidRPr="5937A937">
        <w:rPr>
          <w:rFonts w:asciiTheme="majorHAnsi" w:hAnsiTheme="majorHAnsi" w:cstheme="majorBidi"/>
          <w:noProof/>
          <w:sz w:val="22"/>
          <w:szCs w:val="22"/>
          <w:lang w:val="en-GB"/>
        </w:rPr>
        <w:t>(DNV GL, 2019)</w:t>
      </w:r>
      <w:r w:rsidR="00C7292F" w:rsidRPr="5937A937">
        <w:rPr>
          <w:rFonts w:asciiTheme="majorHAnsi" w:hAnsiTheme="majorHAnsi" w:cstheme="majorBidi"/>
          <w:sz w:val="22"/>
          <w:szCs w:val="22"/>
          <w:lang w:val="en-GB"/>
        </w:rPr>
        <w:fldChar w:fldCharType="end"/>
      </w:r>
      <w:r w:rsidR="20D0BC9A" w:rsidRPr="5937A937">
        <w:rPr>
          <w:rFonts w:asciiTheme="majorHAnsi" w:hAnsiTheme="majorHAnsi" w:cstheme="majorBidi"/>
          <w:sz w:val="22"/>
          <w:szCs w:val="22"/>
          <w:lang w:val="en-GB"/>
        </w:rPr>
        <w:t xml:space="preserve">. Storage and transport </w:t>
      </w:r>
      <w:r w:rsidR="40DD1F2F" w:rsidRPr="5937A937">
        <w:rPr>
          <w:rFonts w:asciiTheme="majorHAnsi" w:hAnsiTheme="majorHAnsi" w:cstheme="majorBidi"/>
          <w:sz w:val="22"/>
          <w:szCs w:val="22"/>
          <w:lang w:val="en-GB"/>
        </w:rPr>
        <w:t>are</w:t>
      </w:r>
      <w:r w:rsidR="20D0BC9A" w:rsidRPr="5937A937">
        <w:rPr>
          <w:rFonts w:asciiTheme="majorHAnsi" w:hAnsiTheme="majorHAnsi" w:cstheme="majorBidi"/>
          <w:sz w:val="22"/>
          <w:szCs w:val="22"/>
          <w:lang w:val="en-GB"/>
        </w:rPr>
        <w:t xml:space="preserve"> mostly done </w:t>
      </w:r>
      <w:r w:rsidR="70F11B3A" w:rsidRPr="5937A937">
        <w:rPr>
          <w:rFonts w:asciiTheme="majorHAnsi" w:hAnsiTheme="majorHAnsi" w:cstheme="majorBidi"/>
          <w:sz w:val="22"/>
          <w:szCs w:val="22"/>
          <w:lang w:val="en-GB"/>
        </w:rPr>
        <w:t xml:space="preserve">as </w:t>
      </w:r>
      <w:r w:rsidR="20D0BC9A" w:rsidRPr="5937A937">
        <w:rPr>
          <w:rFonts w:asciiTheme="majorHAnsi" w:hAnsiTheme="majorHAnsi" w:cstheme="majorBidi"/>
          <w:sz w:val="22"/>
          <w:szCs w:val="22"/>
          <w:lang w:val="en-GB"/>
        </w:rPr>
        <w:t>compressed</w:t>
      </w:r>
      <w:r w:rsidR="534AF0D9" w:rsidRPr="5937A937">
        <w:rPr>
          <w:rFonts w:asciiTheme="majorHAnsi" w:hAnsiTheme="majorHAnsi" w:cstheme="majorBidi"/>
          <w:sz w:val="22"/>
          <w:szCs w:val="22"/>
          <w:lang w:val="en-GB"/>
        </w:rPr>
        <w:t xml:space="preserve"> hydrogen</w:t>
      </w:r>
      <w:r w:rsidR="20D0BC9A" w:rsidRPr="5937A937">
        <w:rPr>
          <w:rFonts w:asciiTheme="majorHAnsi" w:hAnsiTheme="majorHAnsi" w:cstheme="majorBidi"/>
          <w:sz w:val="22"/>
          <w:szCs w:val="22"/>
          <w:lang w:val="en-GB"/>
        </w:rPr>
        <w:t xml:space="preserve"> (250 – 700 bar)</w:t>
      </w:r>
      <w:r w:rsidR="3C3024A0" w:rsidRPr="5937A937">
        <w:rPr>
          <w:rFonts w:asciiTheme="majorHAnsi" w:hAnsiTheme="majorHAnsi" w:cstheme="majorBidi"/>
          <w:sz w:val="22"/>
          <w:szCs w:val="22"/>
          <w:lang w:val="en-GB"/>
        </w:rPr>
        <w:t>,</w:t>
      </w:r>
      <w:r w:rsidR="20D0BC9A" w:rsidRPr="5937A937">
        <w:rPr>
          <w:rFonts w:asciiTheme="majorHAnsi" w:hAnsiTheme="majorHAnsi" w:cstheme="majorBidi"/>
          <w:sz w:val="22"/>
          <w:szCs w:val="22"/>
          <w:lang w:val="en-GB"/>
        </w:rPr>
        <w:t xml:space="preserve"> which requires a considerably input of energy</w:t>
      </w:r>
      <w:r w:rsidR="4F7C05CA" w:rsidRPr="5937A937">
        <w:rPr>
          <w:rFonts w:asciiTheme="majorHAnsi" w:hAnsiTheme="majorHAnsi" w:cstheme="majorBidi"/>
          <w:sz w:val="22"/>
          <w:szCs w:val="22"/>
          <w:lang w:val="en-GB"/>
        </w:rPr>
        <w:t xml:space="preserve">. In addition to pressure, the small molecules of hydrogen also </w:t>
      </w:r>
      <w:r w:rsidR="289B6DBD" w:rsidRPr="5937A937">
        <w:rPr>
          <w:rFonts w:asciiTheme="majorHAnsi" w:hAnsiTheme="majorHAnsi" w:cstheme="majorBidi"/>
          <w:sz w:val="22"/>
          <w:szCs w:val="22"/>
          <w:lang w:val="en-GB"/>
        </w:rPr>
        <w:t xml:space="preserve">pose </w:t>
      </w:r>
      <w:r w:rsidR="4E4695DF" w:rsidRPr="5937A937">
        <w:rPr>
          <w:rFonts w:asciiTheme="majorHAnsi" w:hAnsiTheme="majorHAnsi" w:cstheme="majorBidi"/>
          <w:sz w:val="22"/>
          <w:szCs w:val="22"/>
          <w:lang w:val="en-GB"/>
        </w:rPr>
        <w:t xml:space="preserve">a </w:t>
      </w:r>
      <w:r w:rsidR="04C85485" w:rsidRPr="5937A937">
        <w:rPr>
          <w:rFonts w:asciiTheme="majorHAnsi" w:hAnsiTheme="majorHAnsi" w:cstheme="majorBidi"/>
          <w:sz w:val="22"/>
          <w:szCs w:val="22"/>
          <w:lang w:val="en-GB"/>
        </w:rPr>
        <w:t>challenge</w:t>
      </w:r>
      <w:r w:rsidR="4F7C05CA" w:rsidRPr="5937A937">
        <w:rPr>
          <w:rFonts w:asciiTheme="majorHAnsi" w:hAnsiTheme="majorHAnsi" w:cstheme="majorBidi"/>
          <w:sz w:val="22"/>
          <w:szCs w:val="22"/>
          <w:lang w:val="en-GB"/>
        </w:rPr>
        <w:t xml:space="preserve"> </w:t>
      </w:r>
      <w:r w:rsidR="4A410ACA" w:rsidRPr="5937A937">
        <w:rPr>
          <w:rFonts w:asciiTheme="majorHAnsi" w:hAnsiTheme="majorHAnsi" w:cstheme="majorBidi"/>
          <w:sz w:val="22"/>
          <w:szCs w:val="22"/>
          <w:lang w:val="en-GB"/>
        </w:rPr>
        <w:t>for the</w:t>
      </w:r>
      <w:r w:rsidR="4F7C05CA" w:rsidRPr="5937A937">
        <w:rPr>
          <w:rFonts w:asciiTheme="majorHAnsi" w:hAnsiTheme="majorHAnsi" w:cstheme="majorBidi"/>
          <w:sz w:val="22"/>
          <w:szCs w:val="22"/>
          <w:lang w:val="en-GB"/>
        </w:rPr>
        <w:t xml:space="preserve"> </w:t>
      </w:r>
      <w:r w:rsidR="4A410ACA" w:rsidRPr="5937A937">
        <w:rPr>
          <w:rFonts w:asciiTheme="majorHAnsi" w:hAnsiTheme="majorHAnsi" w:cstheme="majorBidi"/>
          <w:sz w:val="22"/>
          <w:szCs w:val="22"/>
          <w:lang w:val="en-GB"/>
        </w:rPr>
        <w:t xml:space="preserve">design of </w:t>
      </w:r>
      <w:r w:rsidR="55314922" w:rsidRPr="5937A937">
        <w:rPr>
          <w:rFonts w:asciiTheme="majorHAnsi" w:hAnsiTheme="majorHAnsi" w:cstheme="majorBidi"/>
          <w:sz w:val="22"/>
          <w:szCs w:val="22"/>
          <w:lang w:val="en-GB"/>
        </w:rPr>
        <w:t xml:space="preserve">the </w:t>
      </w:r>
      <w:r w:rsidR="4F7C05CA" w:rsidRPr="5937A937">
        <w:rPr>
          <w:rFonts w:asciiTheme="majorHAnsi" w:hAnsiTheme="majorHAnsi" w:cstheme="majorBidi"/>
          <w:sz w:val="22"/>
          <w:szCs w:val="22"/>
          <w:lang w:val="en-GB"/>
        </w:rPr>
        <w:t>storage and transport systems</w:t>
      </w:r>
      <w:r w:rsidR="4E221080" w:rsidRPr="5937A937">
        <w:rPr>
          <w:rFonts w:asciiTheme="majorHAnsi" w:hAnsiTheme="majorHAnsi" w:cstheme="majorBidi"/>
          <w:sz w:val="22"/>
          <w:szCs w:val="22"/>
          <w:lang w:val="en-GB"/>
        </w:rPr>
        <w:t xml:space="preserve">, which is usually translated </w:t>
      </w:r>
      <w:r w:rsidR="6E516FF6" w:rsidRPr="5937A937">
        <w:rPr>
          <w:rFonts w:asciiTheme="majorHAnsi" w:hAnsiTheme="majorHAnsi" w:cstheme="majorBidi"/>
          <w:sz w:val="22"/>
          <w:szCs w:val="22"/>
          <w:lang w:val="en-GB"/>
        </w:rPr>
        <w:t xml:space="preserve">to </w:t>
      </w:r>
      <w:r w:rsidR="4E221080" w:rsidRPr="5937A937">
        <w:rPr>
          <w:rFonts w:asciiTheme="majorHAnsi" w:hAnsiTheme="majorHAnsi" w:cstheme="majorBidi"/>
          <w:sz w:val="22"/>
          <w:szCs w:val="22"/>
          <w:lang w:val="en-GB"/>
        </w:rPr>
        <w:t xml:space="preserve">increased </w:t>
      </w:r>
      <w:r w:rsidR="6E516FF6" w:rsidRPr="5937A937">
        <w:rPr>
          <w:rFonts w:asciiTheme="majorHAnsi" w:hAnsiTheme="majorHAnsi" w:cstheme="majorBidi"/>
          <w:sz w:val="22"/>
          <w:szCs w:val="22"/>
          <w:lang w:val="en-GB"/>
        </w:rPr>
        <w:t>capital expenditures</w:t>
      </w:r>
      <w:r w:rsidR="4F7C05CA" w:rsidRPr="5937A937">
        <w:rPr>
          <w:rFonts w:asciiTheme="majorHAnsi" w:hAnsiTheme="majorHAnsi" w:cstheme="majorBidi"/>
          <w:sz w:val="22"/>
          <w:szCs w:val="22"/>
          <w:lang w:val="en-GB"/>
        </w:rPr>
        <w:t xml:space="preserve">. </w:t>
      </w:r>
      <w:r w:rsidR="0453FC8C" w:rsidRPr="5937A937">
        <w:rPr>
          <w:rFonts w:asciiTheme="majorHAnsi" w:hAnsiTheme="majorHAnsi" w:cstheme="majorBidi"/>
          <w:sz w:val="22"/>
          <w:szCs w:val="22"/>
          <w:lang w:val="en-GB"/>
        </w:rPr>
        <w:t>Three types of hydrogen can be produced, depending on the process pathway. Grey hydrogen is</w:t>
      </w:r>
      <w:r w:rsidR="3DE378EB" w:rsidRPr="5937A937">
        <w:rPr>
          <w:rFonts w:asciiTheme="majorHAnsi" w:hAnsiTheme="majorHAnsi" w:cstheme="majorBidi"/>
          <w:sz w:val="22"/>
          <w:szCs w:val="22"/>
          <w:lang w:val="en-GB"/>
        </w:rPr>
        <w:t xml:space="preserve"> </w:t>
      </w:r>
      <w:r w:rsidR="0453FC8C" w:rsidRPr="5937A937">
        <w:rPr>
          <w:rFonts w:asciiTheme="majorHAnsi" w:hAnsiTheme="majorHAnsi" w:cstheme="majorBidi"/>
          <w:sz w:val="22"/>
          <w:szCs w:val="22"/>
          <w:lang w:val="en-GB"/>
        </w:rPr>
        <w:t>produced</w:t>
      </w:r>
      <w:r w:rsidR="3DE378EB" w:rsidRPr="5937A937">
        <w:rPr>
          <w:rFonts w:asciiTheme="majorHAnsi" w:hAnsiTheme="majorHAnsi" w:cstheme="majorBidi"/>
          <w:sz w:val="22"/>
          <w:szCs w:val="22"/>
          <w:lang w:val="en-GB"/>
        </w:rPr>
        <w:t xml:space="preserve"> </w:t>
      </w:r>
      <w:r w:rsidR="0453FC8C" w:rsidRPr="5937A937">
        <w:rPr>
          <w:rFonts w:asciiTheme="majorHAnsi" w:hAnsiTheme="majorHAnsi" w:cstheme="majorBidi"/>
          <w:sz w:val="22"/>
          <w:szCs w:val="22"/>
          <w:lang w:val="en-GB"/>
        </w:rPr>
        <w:t>via</w:t>
      </w:r>
      <w:r w:rsidR="3DE378EB" w:rsidRPr="5937A937">
        <w:rPr>
          <w:rFonts w:asciiTheme="majorHAnsi" w:hAnsiTheme="majorHAnsi" w:cstheme="majorBidi"/>
          <w:sz w:val="22"/>
          <w:szCs w:val="22"/>
          <w:lang w:val="en-GB"/>
        </w:rPr>
        <w:t xml:space="preserve"> natural gas reforming</w:t>
      </w:r>
      <w:proofErr w:type="gramStart"/>
      <w:r w:rsidR="11CF52E6" w:rsidRPr="5937A937">
        <w:rPr>
          <w:rFonts w:asciiTheme="majorHAnsi" w:hAnsiTheme="majorHAnsi" w:cstheme="majorBidi"/>
          <w:sz w:val="22"/>
          <w:szCs w:val="22"/>
          <w:lang w:val="en-GB"/>
        </w:rPr>
        <w:t xml:space="preserve">. </w:t>
      </w:r>
      <w:r w:rsidR="3DE378EB" w:rsidRPr="5937A937">
        <w:rPr>
          <w:rFonts w:asciiTheme="majorHAnsi" w:hAnsiTheme="majorHAnsi" w:cstheme="majorBidi"/>
          <w:sz w:val="22"/>
          <w:szCs w:val="22"/>
          <w:lang w:val="en-GB"/>
        </w:rPr>
        <w:t xml:space="preserve"> </w:t>
      </w:r>
      <w:proofErr w:type="gramEnd"/>
      <w:r w:rsidR="0453FC8C" w:rsidRPr="5937A937">
        <w:rPr>
          <w:rFonts w:asciiTheme="majorHAnsi" w:hAnsiTheme="majorHAnsi" w:cstheme="majorBidi"/>
          <w:sz w:val="22"/>
          <w:szCs w:val="22"/>
          <w:lang w:val="en-GB"/>
        </w:rPr>
        <w:t>Blue hydrogen is produced by</w:t>
      </w:r>
      <w:r w:rsidR="3DE378EB" w:rsidRPr="5937A937">
        <w:rPr>
          <w:rFonts w:asciiTheme="majorHAnsi" w:hAnsiTheme="majorHAnsi" w:cstheme="majorBidi"/>
          <w:sz w:val="22"/>
          <w:szCs w:val="22"/>
          <w:lang w:val="en-GB"/>
        </w:rPr>
        <w:t xml:space="preserve"> coupl</w:t>
      </w:r>
      <w:r w:rsidR="0453FC8C" w:rsidRPr="5937A937">
        <w:rPr>
          <w:rFonts w:asciiTheme="majorHAnsi" w:hAnsiTheme="majorHAnsi" w:cstheme="majorBidi"/>
          <w:sz w:val="22"/>
          <w:szCs w:val="22"/>
          <w:lang w:val="en-GB"/>
        </w:rPr>
        <w:t>ing</w:t>
      </w:r>
      <w:r w:rsidR="3DE378EB" w:rsidRPr="5937A937">
        <w:rPr>
          <w:rFonts w:asciiTheme="majorHAnsi" w:hAnsiTheme="majorHAnsi" w:cstheme="majorBidi"/>
          <w:sz w:val="22"/>
          <w:szCs w:val="22"/>
          <w:lang w:val="en-GB"/>
        </w:rPr>
        <w:t xml:space="preserve"> carbon capture and storage (CCS)</w:t>
      </w:r>
      <w:r w:rsidR="70071FCB" w:rsidRPr="5937A937">
        <w:rPr>
          <w:rFonts w:asciiTheme="majorHAnsi" w:hAnsiTheme="majorHAnsi" w:cstheme="majorBidi"/>
          <w:sz w:val="22"/>
          <w:szCs w:val="22"/>
          <w:lang w:val="en-GB"/>
        </w:rPr>
        <w:t xml:space="preserve"> to the production of grey hydrogen</w:t>
      </w:r>
      <w:r w:rsidR="3DE378EB" w:rsidRPr="5937A937">
        <w:rPr>
          <w:rFonts w:asciiTheme="majorHAnsi" w:hAnsiTheme="majorHAnsi" w:cstheme="majorBidi"/>
          <w:sz w:val="22"/>
          <w:szCs w:val="22"/>
          <w:lang w:val="en-GB"/>
        </w:rPr>
        <w:t xml:space="preserve">. </w:t>
      </w:r>
      <w:r w:rsidR="70071FCB" w:rsidRPr="5937A937">
        <w:rPr>
          <w:rFonts w:asciiTheme="majorHAnsi" w:hAnsiTheme="majorHAnsi" w:cstheme="majorBidi"/>
          <w:sz w:val="22"/>
          <w:szCs w:val="22"/>
          <w:lang w:val="en-GB"/>
        </w:rPr>
        <w:t xml:space="preserve">Finally, </w:t>
      </w:r>
      <w:r w:rsidR="3DE378EB" w:rsidRPr="5937A937">
        <w:rPr>
          <w:rFonts w:asciiTheme="majorHAnsi" w:hAnsiTheme="majorHAnsi" w:cstheme="majorBidi"/>
          <w:sz w:val="22"/>
          <w:szCs w:val="22"/>
          <w:lang w:val="en-GB"/>
        </w:rPr>
        <w:t>green hydrogen is produced from renewable feedstock associated with renewable energy, for instance water electrolysis powered with solar electricity.</w:t>
      </w:r>
      <w:r w:rsidR="641856BC" w:rsidRPr="5937A937">
        <w:rPr>
          <w:rFonts w:asciiTheme="majorHAnsi" w:hAnsiTheme="majorHAnsi" w:cstheme="majorBidi"/>
          <w:sz w:val="22"/>
          <w:szCs w:val="22"/>
          <w:lang w:val="en-GB"/>
        </w:rPr>
        <w:t xml:space="preserve"> Hydrogen is, therefore, the alternative fuel which has the largest range on profile emissions.</w:t>
      </w:r>
      <w:r w:rsidR="3DE378EB" w:rsidRPr="5937A937">
        <w:rPr>
          <w:rFonts w:asciiTheme="majorHAnsi" w:hAnsiTheme="majorHAnsi" w:cstheme="majorBidi"/>
          <w:sz w:val="22"/>
          <w:szCs w:val="22"/>
          <w:lang w:val="en-GB"/>
        </w:rPr>
        <w:t xml:space="preserve"> </w:t>
      </w:r>
    </w:p>
    <w:p w14:paraId="2E92A715" w14:textId="4D74D9E3" w:rsidR="00D77FA1" w:rsidRPr="000D7D19" w:rsidRDefault="3A614F21" w:rsidP="5937A937">
      <w:pPr>
        <w:spacing w:after="120" w:line="360" w:lineRule="auto"/>
        <w:ind w:firstLine="720"/>
        <w:rPr>
          <w:rFonts w:asciiTheme="majorHAnsi" w:hAnsiTheme="majorHAnsi" w:cstheme="majorBidi"/>
          <w:sz w:val="22"/>
          <w:szCs w:val="22"/>
          <w:lang w:val="en-GB"/>
        </w:rPr>
      </w:pPr>
      <w:r w:rsidRPr="5937A937">
        <w:rPr>
          <w:rFonts w:asciiTheme="majorHAnsi" w:hAnsiTheme="majorHAnsi" w:cstheme="majorBidi"/>
          <w:b/>
          <w:bCs/>
          <w:sz w:val="22"/>
          <w:szCs w:val="22"/>
          <w:lang w:val="en-GB"/>
        </w:rPr>
        <w:t>Methanol</w:t>
      </w:r>
      <w:r w:rsidR="6F283FD5" w:rsidRPr="5937A937">
        <w:rPr>
          <w:rFonts w:asciiTheme="majorHAnsi" w:hAnsiTheme="majorHAnsi" w:cstheme="majorBidi"/>
          <w:b/>
          <w:bCs/>
          <w:sz w:val="22"/>
          <w:szCs w:val="22"/>
          <w:lang w:val="en-GB"/>
        </w:rPr>
        <w:t xml:space="preserve"> </w:t>
      </w:r>
      <w:r w:rsidR="6F283FD5" w:rsidRPr="5937A937">
        <w:rPr>
          <w:rFonts w:asciiTheme="majorHAnsi" w:hAnsiTheme="majorHAnsi" w:cstheme="majorBidi"/>
          <w:sz w:val="22"/>
          <w:szCs w:val="22"/>
          <w:lang w:val="en-GB"/>
        </w:rPr>
        <w:t xml:space="preserve">is </w:t>
      </w:r>
      <w:r w:rsidR="384E4D5C" w:rsidRPr="5937A937">
        <w:rPr>
          <w:rFonts w:asciiTheme="majorHAnsi" w:hAnsiTheme="majorHAnsi" w:cstheme="majorBidi"/>
          <w:sz w:val="22"/>
          <w:szCs w:val="22"/>
          <w:lang w:val="en-GB"/>
        </w:rPr>
        <w:t xml:space="preserve">an </w:t>
      </w:r>
      <w:r w:rsidR="6F283FD5" w:rsidRPr="5937A937">
        <w:rPr>
          <w:rFonts w:asciiTheme="majorHAnsi" w:hAnsiTheme="majorHAnsi" w:cstheme="majorBidi"/>
          <w:sz w:val="22"/>
          <w:szCs w:val="22"/>
          <w:lang w:val="en-GB"/>
        </w:rPr>
        <w:t xml:space="preserve">alcohol with the lowest carbon/ hydrogen proportion among all liquid fuels. It is liquid at ambient </w:t>
      </w:r>
      <w:proofErr w:type="gramStart"/>
      <w:r w:rsidR="6F283FD5" w:rsidRPr="5937A937">
        <w:rPr>
          <w:rFonts w:asciiTheme="majorHAnsi" w:hAnsiTheme="majorHAnsi" w:cstheme="majorBidi"/>
          <w:sz w:val="22"/>
          <w:szCs w:val="22"/>
          <w:lang w:val="en-GB"/>
        </w:rPr>
        <w:t>temperatures</w:t>
      </w:r>
      <w:r w:rsidR="5787BC13" w:rsidRPr="5937A937">
        <w:rPr>
          <w:rFonts w:asciiTheme="majorHAnsi" w:hAnsiTheme="majorHAnsi" w:cstheme="majorBidi"/>
          <w:sz w:val="22"/>
          <w:szCs w:val="22"/>
          <w:lang w:val="en-GB"/>
        </w:rPr>
        <w:t>;</w:t>
      </w:r>
      <w:proofErr w:type="gramEnd"/>
      <w:r w:rsidR="5787BC13" w:rsidRPr="5937A937">
        <w:rPr>
          <w:rFonts w:asciiTheme="majorHAnsi" w:hAnsiTheme="majorHAnsi" w:cstheme="majorBidi"/>
          <w:sz w:val="22"/>
          <w:szCs w:val="22"/>
          <w:lang w:val="en-GB"/>
        </w:rPr>
        <w:t xml:space="preserve"> which facilitates its</w:t>
      </w:r>
      <w:r w:rsidR="6F283FD5" w:rsidRPr="5937A937">
        <w:rPr>
          <w:rFonts w:asciiTheme="majorHAnsi" w:hAnsiTheme="majorHAnsi" w:cstheme="majorBidi"/>
          <w:sz w:val="22"/>
          <w:szCs w:val="22"/>
          <w:lang w:val="en-GB"/>
        </w:rPr>
        <w:t xml:space="preserve"> stor</w:t>
      </w:r>
      <w:r w:rsidR="5787BC13" w:rsidRPr="5937A937">
        <w:rPr>
          <w:rFonts w:asciiTheme="majorHAnsi" w:hAnsiTheme="majorHAnsi" w:cstheme="majorBidi"/>
          <w:sz w:val="22"/>
          <w:szCs w:val="22"/>
          <w:lang w:val="en-GB"/>
        </w:rPr>
        <w:t>age</w:t>
      </w:r>
      <w:r w:rsidR="6F283FD5" w:rsidRPr="5937A937">
        <w:rPr>
          <w:rFonts w:asciiTheme="majorHAnsi" w:hAnsiTheme="majorHAnsi" w:cstheme="majorBidi"/>
          <w:sz w:val="22"/>
          <w:szCs w:val="22"/>
          <w:lang w:val="en-GB"/>
        </w:rPr>
        <w:t xml:space="preserve"> and </w:t>
      </w:r>
      <w:r w:rsidR="21211895" w:rsidRPr="5937A937">
        <w:rPr>
          <w:rFonts w:asciiTheme="majorHAnsi" w:hAnsiTheme="majorHAnsi" w:cstheme="majorBidi"/>
          <w:sz w:val="22"/>
          <w:szCs w:val="22"/>
          <w:lang w:val="en-GB"/>
        </w:rPr>
        <w:t>transportation</w:t>
      </w:r>
      <w:r w:rsidR="6F283FD5" w:rsidRPr="5937A937">
        <w:rPr>
          <w:rFonts w:asciiTheme="majorHAnsi" w:hAnsiTheme="majorHAnsi" w:cstheme="majorBidi"/>
          <w:sz w:val="22"/>
          <w:szCs w:val="22"/>
          <w:lang w:val="en-GB"/>
        </w:rPr>
        <w:t xml:space="preserve"> in comparison with the gas</w:t>
      </w:r>
      <w:r w:rsidR="308600ED" w:rsidRPr="5937A937">
        <w:rPr>
          <w:rFonts w:asciiTheme="majorHAnsi" w:hAnsiTheme="majorHAnsi" w:cstheme="majorBidi"/>
          <w:sz w:val="22"/>
          <w:szCs w:val="22"/>
          <w:lang w:val="en-GB"/>
        </w:rPr>
        <w:t>eous</w:t>
      </w:r>
      <w:r w:rsidR="6F283FD5" w:rsidRPr="5937A937">
        <w:rPr>
          <w:rFonts w:asciiTheme="majorHAnsi" w:hAnsiTheme="majorHAnsi" w:cstheme="majorBidi"/>
          <w:sz w:val="22"/>
          <w:szCs w:val="22"/>
          <w:lang w:val="en-GB"/>
        </w:rPr>
        <w:t xml:space="preserve"> alternatives. Nevertheless, it has a lower energetic content and, therefore, require</w:t>
      </w:r>
      <w:r w:rsidR="1B3F6174" w:rsidRPr="5937A937">
        <w:rPr>
          <w:rFonts w:asciiTheme="majorHAnsi" w:hAnsiTheme="majorHAnsi" w:cstheme="majorBidi"/>
          <w:sz w:val="22"/>
          <w:szCs w:val="22"/>
          <w:lang w:val="en-GB"/>
        </w:rPr>
        <w:t>s</w:t>
      </w:r>
      <w:r w:rsidR="6F283FD5" w:rsidRPr="5937A937">
        <w:rPr>
          <w:rFonts w:asciiTheme="majorHAnsi" w:hAnsiTheme="majorHAnsi" w:cstheme="majorBidi"/>
          <w:sz w:val="22"/>
          <w:szCs w:val="22"/>
          <w:lang w:val="en-GB"/>
        </w:rPr>
        <w:t xml:space="preserve"> larger fuel tanks to keep the same autonomy in comparison to regular liquid fossil fuels.</w:t>
      </w:r>
      <w:r w:rsidR="4A507EEE" w:rsidRPr="5937A937">
        <w:rPr>
          <w:rFonts w:asciiTheme="majorHAnsi" w:hAnsiTheme="majorHAnsi" w:cstheme="majorBidi"/>
          <w:sz w:val="22"/>
          <w:szCs w:val="22"/>
          <w:lang w:val="en-GB"/>
        </w:rPr>
        <w:t xml:space="preserve"> The </w:t>
      </w:r>
      <w:r w:rsidR="05EFC854" w:rsidRPr="5937A937">
        <w:rPr>
          <w:rFonts w:asciiTheme="majorHAnsi" w:hAnsiTheme="majorHAnsi" w:cstheme="majorBidi"/>
          <w:sz w:val="22"/>
          <w:szCs w:val="22"/>
          <w:lang w:val="en-GB"/>
        </w:rPr>
        <w:t xml:space="preserve">typical reduction in </w:t>
      </w:r>
      <w:r w:rsidR="4A507EEE" w:rsidRPr="5937A937">
        <w:rPr>
          <w:rFonts w:asciiTheme="majorHAnsi" w:hAnsiTheme="majorHAnsi" w:cstheme="majorBidi"/>
          <w:sz w:val="22"/>
          <w:szCs w:val="22"/>
          <w:lang w:val="en-GB"/>
        </w:rPr>
        <w:t xml:space="preserve">engine emissions </w:t>
      </w:r>
      <w:r w:rsidR="3CD030F3" w:rsidRPr="5937A937">
        <w:rPr>
          <w:rFonts w:asciiTheme="majorHAnsi" w:hAnsiTheme="majorHAnsi" w:cstheme="majorBidi"/>
          <w:sz w:val="22"/>
          <w:szCs w:val="22"/>
          <w:lang w:val="en-GB"/>
        </w:rPr>
        <w:t>is</w:t>
      </w:r>
      <w:r w:rsidR="4A507EEE" w:rsidRPr="5937A937">
        <w:rPr>
          <w:rFonts w:asciiTheme="majorHAnsi" w:hAnsiTheme="majorHAnsi" w:cstheme="majorBidi"/>
          <w:sz w:val="22"/>
          <w:szCs w:val="22"/>
          <w:lang w:val="en-GB"/>
        </w:rPr>
        <w:t xml:space="preserve"> </w:t>
      </w:r>
      <w:r w:rsidR="05EFC854" w:rsidRPr="5937A937">
        <w:rPr>
          <w:rFonts w:asciiTheme="majorHAnsi" w:hAnsiTheme="majorHAnsi" w:cstheme="majorBidi"/>
          <w:sz w:val="22"/>
          <w:szCs w:val="22"/>
          <w:lang w:val="en-GB"/>
        </w:rPr>
        <w:t xml:space="preserve">99 % for </w:t>
      </w:r>
      <w:proofErr w:type="spellStart"/>
      <w:r w:rsidR="05EFC854" w:rsidRPr="5937A937">
        <w:rPr>
          <w:rFonts w:asciiTheme="majorHAnsi" w:hAnsiTheme="majorHAnsi" w:cstheme="majorBidi"/>
          <w:sz w:val="22"/>
          <w:szCs w:val="22"/>
          <w:lang w:val="en-GB"/>
        </w:rPr>
        <w:t>SO</w:t>
      </w:r>
      <w:r w:rsidR="05EFC854" w:rsidRPr="00EF56D6">
        <w:rPr>
          <w:rFonts w:asciiTheme="majorHAnsi" w:hAnsiTheme="majorHAnsi" w:cstheme="majorBidi"/>
          <w:sz w:val="22"/>
          <w:szCs w:val="22"/>
          <w:vertAlign w:val="subscript"/>
          <w:lang w:val="en-GB"/>
        </w:rPr>
        <w:t>x</w:t>
      </w:r>
      <w:proofErr w:type="spellEnd"/>
      <w:r w:rsidR="05EFC854" w:rsidRPr="5937A937">
        <w:rPr>
          <w:rFonts w:asciiTheme="majorHAnsi" w:hAnsiTheme="majorHAnsi" w:cstheme="majorBidi"/>
          <w:sz w:val="22"/>
          <w:szCs w:val="22"/>
          <w:lang w:val="en-GB"/>
        </w:rPr>
        <w:t>, 60 % NO</w:t>
      </w:r>
      <w:r w:rsidR="05EFC854" w:rsidRPr="00EF56D6">
        <w:rPr>
          <w:rFonts w:asciiTheme="majorHAnsi" w:hAnsiTheme="majorHAnsi" w:cstheme="majorBidi"/>
          <w:sz w:val="22"/>
          <w:szCs w:val="22"/>
          <w:vertAlign w:val="subscript"/>
          <w:lang w:val="en-GB"/>
        </w:rPr>
        <w:t>x</w:t>
      </w:r>
      <w:r w:rsidR="05EFC854" w:rsidRPr="5937A937">
        <w:rPr>
          <w:rFonts w:asciiTheme="majorHAnsi" w:hAnsiTheme="majorHAnsi" w:cstheme="majorBidi"/>
          <w:sz w:val="22"/>
          <w:szCs w:val="22"/>
          <w:lang w:val="en-GB"/>
        </w:rPr>
        <w:t xml:space="preserve">, 95 % </w:t>
      </w:r>
      <w:r w:rsidR="56E64B07" w:rsidRPr="5937A937">
        <w:rPr>
          <w:rFonts w:asciiTheme="majorHAnsi" w:hAnsiTheme="majorHAnsi" w:cstheme="majorBidi"/>
          <w:sz w:val="22"/>
          <w:szCs w:val="22"/>
          <w:lang w:val="en-GB"/>
        </w:rPr>
        <w:t>PMs</w:t>
      </w:r>
      <w:r w:rsidR="05EFC854" w:rsidRPr="5937A937">
        <w:rPr>
          <w:rFonts w:asciiTheme="majorHAnsi" w:hAnsiTheme="majorHAnsi" w:cstheme="majorBidi"/>
          <w:sz w:val="22"/>
          <w:szCs w:val="22"/>
          <w:lang w:val="en-GB"/>
        </w:rPr>
        <w:t xml:space="preserve"> and 25 % </w:t>
      </w:r>
      <w:proofErr w:type="spellStart"/>
      <w:r w:rsidR="05EFC854" w:rsidRPr="5937A937">
        <w:rPr>
          <w:rFonts w:asciiTheme="majorHAnsi" w:hAnsiTheme="majorHAnsi" w:cstheme="majorBidi"/>
          <w:sz w:val="22"/>
          <w:szCs w:val="22"/>
          <w:lang w:val="en-GB"/>
        </w:rPr>
        <w:t>CO</w:t>
      </w:r>
      <w:r w:rsidR="05EFC854" w:rsidRPr="00EF56D6">
        <w:rPr>
          <w:rFonts w:asciiTheme="majorHAnsi" w:hAnsiTheme="majorHAnsi" w:cstheme="majorBidi"/>
          <w:sz w:val="22"/>
          <w:szCs w:val="22"/>
          <w:vertAlign w:val="subscript"/>
          <w:lang w:val="en-GB"/>
        </w:rPr>
        <w:t>x</w:t>
      </w:r>
      <w:proofErr w:type="spellEnd"/>
      <w:r w:rsidR="05EFC854" w:rsidRPr="5937A937">
        <w:rPr>
          <w:rFonts w:asciiTheme="majorHAnsi" w:hAnsiTheme="majorHAnsi" w:cstheme="majorBidi"/>
          <w:sz w:val="22"/>
          <w:szCs w:val="22"/>
          <w:lang w:val="en-GB"/>
        </w:rPr>
        <w:t xml:space="preserve"> </w:t>
      </w:r>
      <w:r w:rsidR="00D0363C" w:rsidRPr="5937A937">
        <w:rPr>
          <w:rFonts w:asciiTheme="majorHAnsi" w:hAnsiTheme="majorHAnsi" w:cstheme="majorBidi"/>
          <w:sz w:val="22"/>
          <w:szCs w:val="22"/>
          <w:lang w:val="en-GB"/>
        </w:rPr>
        <w:fldChar w:fldCharType="begin" w:fldLock="1"/>
      </w:r>
      <w:r w:rsidR="00D0363C" w:rsidRPr="5937A937">
        <w:rPr>
          <w:rFonts w:asciiTheme="majorHAnsi" w:hAnsiTheme="majorHAnsi" w:cstheme="majorBidi"/>
          <w:sz w:val="22"/>
          <w:szCs w:val="22"/>
          <w:lang w:val="en-GB"/>
        </w:rPr>
        <w:instrText>ADDIN CSL_CITATION {"citationItems":[{"id":"ITEM-1","itemData":{"DOI":"10.1016/j.enconman.2018.12.080","ISSN":"01968904","abstract":"International shipping provides 80–90% of global trade, but strict environmental regulations around NOX, SOX and greenhouse gas (GHG) emissions are set to cause major technological shifts. The pathway to achieving the international target of 50% GHG reduction by 2050 is unclear, but numerous promising options exist. This study provides a holistic assessment of these options and their combined potential to decarbonise international shipping, from a technology, environmental and policy perspective. Liquefied natural gas (LNG) is reaching mainstream and provides 20–30% CO2 reductions whilst minimising SOX and other emissions. Costs are favourable, but GHG benefits are reduced by methane slip, which varies across engine types. Biofuels, hydrogen, nuclear and carbon capture and storage (CCS) could all decarbonise much further, but each faces significant barriers around their economics, resource potentials and public acceptability. Regarding efficiency measures, considerable fuel and GHG savings could be attained by slow-steaming, ship design changes and utilising renewable resources. There is clearly no single route and a multifaceted response is required for deep decarbonisation. The scale of this challenge is explored by estimating the combined decarbonisation potential of multiple options. Achieving 50% decarbonisation with LNG or electric propulsion would likely require 4 or more complementary efficiency measures to be applied simultaneously. Broadly, larger GHG reductions require stronger policy and may differentiate between short- and long-term approaches. With LNG being economically feasible and offering moderate environmental benefits, this may have short-term promise with minor policy intervention. Longer term, deeper decarbonisation will require strong financial incentives. Lowest-cost policy options should be fuel- or technology-agnostic, internationally applied and will require action now to ensure targets are met by 2050.","author":[{"dropping-particle":"","family":"Balcombe","given":"Paul","non-dropping-particle":"","parse-names":false,"suffix":""},{"dropping-particle":"","family":"Brierley","given":"James","non-dropping-particle":"","parse-names":false,"suffix":""},{"dropping-particle":"","family":"Lewis","given":"Chester","non-dropping-particle":"","parse-names":false,"suffix":""},{"dropping-particle":"","family":"Skatvedt","given":"Line","non-dropping-particle":"","parse-names":false,"suffix":""},{"dropping-particle":"","family":"Speirs","given":"Jamie","non-dropping-particle":"","parse-names":false,"suffix":""},{"dropping-particle":"","family":"Hawkes","given":"Adam","non-dropping-particle":"","parse-names":false,"suffix":""},{"dropping-particle":"","family":"Staffell","given":"Iain","non-dropping-particle":"","parse-names":false,"suffix":""}],"container-title":"Energy Conversion and Management","id":"ITEM-1","issue":"December 2018","issued":{"date-parts":[["2019"]]},"page":"72-88","title":"How to decarbonise international shipping: Options for fuels, technologies and policies","type":"article-journal","volume":"182"},"uris":["http://www.mendeley.com/documents/?uuid=96546af7-7da1-41da-8ebe-86d293776d81"]}],"mendeley":{"formattedCitation":"(Balcombe et al., 2019)","plainTextFormattedCitation":"(Balcombe et al., 2019)","previouslyFormattedCitation":"(Balcombe et al., 2019)"},"properties":{"noteIndex":0},"schema":"https://github.com/citation-style-language/schema/raw/master/csl-citation.json"}</w:instrText>
      </w:r>
      <w:r w:rsidR="00D0363C" w:rsidRPr="5937A937">
        <w:rPr>
          <w:rFonts w:asciiTheme="majorHAnsi" w:hAnsiTheme="majorHAnsi" w:cstheme="majorBidi"/>
          <w:sz w:val="22"/>
          <w:szCs w:val="22"/>
          <w:lang w:val="en-GB"/>
        </w:rPr>
        <w:fldChar w:fldCharType="separate"/>
      </w:r>
      <w:r w:rsidR="21211895" w:rsidRPr="5937A937">
        <w:rPr>
          <w:rFonts w:asciiTheme="majorHAnsi" w:hAnsiTheme="majorHAnsi" w:cstheme="majorBidi"/>
          <w:noProof/>
          <w:sz w:val="22"/>
          <w:szCs w:val="22"/>
          <w:lang w:val="en-GB"/>
        </w:rPr>
        <w:t>(Balcombe et al., 2019)</w:t>
      </w:r>
      <w:r w:rsidR="00D0363C" w:rsidRPr="5937A937">
        <w:rPr>
          <w:rFonts w:asciiTheme="majorHAnsi" w:hAnsiTheme="majorHAnsi" w:cstheme="majorBidi"/>
          <w:sz w:val="22"/>
          <w:szCs w:val="22"/>
          <w:lang w:val="en-GB"/>
        </w:rPr>
        <w:fldChar w:fldCharType="end"/>
      </w:r>
      <w:r w:rsidR="05EFC854" w:rsidRPr="5937A937">
        <w:rPr>
          <w:rFonts w:asciiTheme="majorHAnsi" w:hAnsiTheme="majorHAnsi" w:cstheme="majorBidi"/>
          <w:sz w:val="22"/>
          <w:szCs w:val="22"/>
          <w:lang w:val="en-GB"/>
        </w:rPr>
        <w:t xml:space="preserve">. </w:t>
      </w:r>
      <w:r w:rsidR="4A507EEE" w:rsidRPr="5937A937">
        <w:rPr>
          <w:rFonts w:asciiTheme="majorHAnsi" w:hAnsiTheme="majorHAnsi" w:cstheme="majorBidi"/>
          <w:sz w:val="22"/>
          <w:szCs w:val="22"/>
          <w:lang w:val="en-GB"/>
        </w:rPr>
        <w:t xml:space="preserve">Methanol can be operated in a range of combustion engines, </w:t>
      </w:r>
      <w:proofErr w:type="spellStart"/>
      <w:r w:rsidR="4A507EEE" w:rsidRPr="5937A937">
        <w:rPr>
          <w:rFonts w:asciiTheme="majorHAnsi" w:hAnsiTheme="majorHAnsi" w:cstheme="majorBidi"/>
          <w:sz w:val="22"/>
          <w:szCs w:val="22"/>
          <w:lang w:val="en-GB"/>
        </w:rPr>
        <w:t>e.g</w:t>
      </w:r>
      <w:proofErr w:type="spellEnd"/>
      <w:r w:rsidR="4A507EEE" w:rsidRPr="5937A937">
        <w:rPr>
          <w:rFonts w:asciiTheme="majorHAnsi" w:hAnsiTheme="majorHAnsi" w:cstheme="majorBidi"/>
          <w:sz w:val="22"/>
          <w:szCs w:val="22"/>
          <w:lang w:val="en-GB"/>
        </w:rPr>
        <w:t xml:space="preserve">, 2 and 4 strokes and Otto. </w:t>
      </w:r>
      <w:r w:rsidR="05EFC854" w:rsidRPr="5937A937">
        <w:rPr>
          <w:rFonts w:asciiTheme="majorHAnsi" w:hAnsiTheme="majorHAnsi" w:cstheme="majorBidi"/>
          <w:sz w:val="22"/>
          <w:szCs w:val="22"/>
          <w:lang w:val="en-GB"/>
        </w:rPr>
        <w:t>In</w:t>
      </w:r>
      <w:r w:rsidR="4A507EEE" w:rsidRPr="5937A937">
        <w:rPr>
          <w:rFonts w:asciiTheme="majorHAnsi" w:hAnsiTheme="majorHAnsi" w:cstheme="majorBidi"/>
          <w:sz w:val="22"/>
          <w:szCs w:val="22"/>
          <w:lang w:val="en-GB"/>
        </w:rPr>
        <w:t xml:space="preserve"> dual fuel engines methanol-air mixture is compressed and ignited by a diesel injection, or it is injected in </w:t>
      </w:r>
      <w:r w:rsidR="6024233E" w:rsidRPr="5937A937">
        <w:rPr>
          <w:rFonts w:asciiTheme="majorHAnsi" w:hAnsiTheme="majorHAnsi" w:cstheme="majorBidi"/>
          <w:sz w:val="22"/>
          <w:szCs w:val="22"/>
          <w:lang w:val="en-GB"/>
        </w:rPr>
        <w:t xml:space="preserve">a </w:t>
      </w:r>
      <w:r w:rsidR="4A507EEE" w:rsidRPr="5937A937">
        <w:rPr>
          <w:rFonts w:asciiTheme="majorHAnsi" w:hAnsiTheme="majorHAnsi" w:cstheme="majorBidi"/>
          <w:sz w:val="22"/>
          <w:szCs w:val="22"/>
          <w:lang w:val="en-GB"/>
        </w:rPr>
        <w:t>diesel</w:t>
      </w:r>
      <w:r w:rsidR="6F8E54D3" w:rsidRPr="5937A937">
        <w:rPr>
          <w:rFonts w:asciiTheme="majorHAnsi" w:hAnsiTheme="majorHAnsi" w:cstheme="majorBidi"/>
          <w:sz w:val="22"/>
          <w:szCs w:val="22"/>
          <w:lang w:val="en-GB"/>
        </w:rPr>
        <w:t xml:space="preserve"> pilot</w:t>
      </w:r>
      <w:r w:rsidR="4A507EEE" w:rsidRPr="5937A937">
        <w:rPr>
          <w:rFonts w:asciiTheme="majorHAnsi" w:hAnsiTheme="majorHAnsi" w:cstheme="majorBidi"/>
          <w:sz w:val="22"/>
          <w:szCs w:val="22"/>
          <w:lang w:val="en-GB"/>
        </w:rPr>
        <w:t>, similarly to gas-diesel system</w:t>
      </w:r>
      <w:r w:rsidR="28E12C3A" w:rsidRPr="5937A937">
        <w:rPr>
          <w:rFonts w:asciiTheme="majorHAnsi" w:hAnsiTheme="majorHAnsi" w:cstheme="majorBidi"/>
          <w:sz w:val="22"/>
          <w:szCs w:val="22"/>
          <w:lang w:val="en-GB"/>
        </w:rPr>
        <w:t xml:space="preserve"> </w:t>
      </w:r>
      <w:r w:rsidR="00D0363C" w:rsidRPr="5937A937">
        <w:rPr>
          <w:rFonts w:asciiTheme="majorHAnsi" w:hAnsiTheme="majorHAnsi" w:cstheme="majorBidi"/>
          <w:sz w:val="22"/>
          <w:szCs w:val="22"/>
          <w:lang w:val="en-GB"/>
        </w:rPr>
        <w:fldChar w:fldCharType="begin" w:fldLock="1"/>
      </w:r>
      <w:r w:rsidR="00D0363C" w:rsidRPr="5937A937">
        <w:rPr>
          <w:rFonts w:asciiTheme="majorHAnsi" w:hAnsiTheme="majorHAnsi" w:cstheme="majorBidi"/>
          <w:sz w:val="22"/>
          <w:szCs w:val="22"/>
          <w:lang w:val="en-GB"/>
        </w:rPr>
        <w:instrText>ADDIN CSL_CITATION {"citationItems":[{"id":"ITEM-1","itemData":{"DOI":"10.1016/j.jclepro.2014.03.052","ISSN":"09596526","abstract":"The combined effort of reducing the emissions of sulphur dioxide, nitrogen oxides and greenhouse gases to comply with future regulations and reduce impact on climate change will require a significant change in ship propulsion. One alternative is to change fuels. In this study we compare the life cycle environmental performance of liquefied natural gas (LNG), liquefied biogas (LBG), methanol and bio-methanol. We also highlight a number of important aspects to consider when selecting marine fuels. A transition to use of LNG or methanol produced from natural gas would significantly improve the overall environmental performance. However, the impact on climate change is of the same order of magnitude as with use of heavy fuel oil. It is only the use of LBG and bio-methanol that has the potential to reduce the climate impact. The analysis did not show any significant differences in environmental performance between methane and methanol when produced from the same raw materials, but the performance of the methanol engines are yet to be validated. © 2014 Elsevier Ltd. All rights reserved.","author":[{"dropping-particle":"","family":"Brynolf","given":"Selma","non-dropping-particle":"","parse-names":false,"suffix":""},{"dropping-particle":"","family":"Fridell","given":"Erik","non-dropping-particle":"","parse-names":false,"suffix":""},{"dropping-particle":"","family":"Andersson","given":"Karin","non-dropping-particle":"","parse-names":false,"suffix":""}],"container-title":"Journal of Cleaner Production","id":"ITEM-1","issue":"X","issued":{"date-parts":[["2014"]]},"page":"86-95","title":"Environmental assessment of marine fuels: Liquefied natural gas, liquefied biogas, methanol and bio-methanol","type":"article-journal","volume":"74"},"uris":["http://www.mendeley.com/documents/?uuid=4b4b5665-fff8-4dd6-a44a-12c90be3c561"]}],"mendeley":{"formattedCitation":"(Brynolf et al., 2014)","plainTextFormattedCitation":"(Brynolf et al., 2014)","previouslyFormattedCitation":"(Brynolf et al., 2014)"},"properties":{"noteIndex":0},"schema":"https://github.com/citation-style-language/schema/raw/master/csl-citation.json"}</w:instrText>
      </w:r>
      <w:r w:rsidR="00D0363C" w:rsidRPr="5937A937">
        <w:rPr>
          <w:rFonts w:asciiTheme="majorHAnsi" w:hAnsiTheme="majorHAnsi" w:cstheme="majorBidi"/>
          <w:sz w:val="22"/>
          <w:szCs w:val="22"/>
          <w:lang w:val="en-GB"/>
        </w:rPr>
        <w:fldChar w:fldCharType="separate"/>
      </w:r>
      <w:r w:rsidR="28E12C3A" w:rsidRPr="5937A937">
        <w:rPr>
          <w:rFonts w:asciiTheme="majorHAnsi" w:hAnsiTheme="majorHAnsi" w:cstheme="majorBidi"/>
          <w:noProof/>
          <w:sz w:val="22"/>
          <w:szCs w:val="22"/>
          <w:lang w:val="en-GB"/>
        </w:rPr>
        <w:t>(Brynolf et al., 2014)</w:t>
      </w:r>
      <w:r w:rsidR="00D0363C" w:rsidRPr="5937A937">
        <w:rPr>
          <w:rFonts w:asciiTheme="majorHAnsi" w:hAnsiTheme="majorHAnsi" w:cstheme="majorBidi"/>
          <w:sz w:val="22"/>
          <w:szCs w:val="22"/>
          <w:lang w:val="en-GB"/>
        </w:rPr>
        <w:fldChar w:fldCharType="end"/>
      </w:r>
      <w:r w:rsidR="4A507EEE" w:rsidRPr="5937A937">
        <w:rPr>
          <w:rFonts w:asciiTheme="majorHAnsi" w:hAnsiTheme="majorHAnsi" w:cstheme="majorBidi"/>
          <w:sz w:val="22"/>
          <w:szCs w:val="22"/>
          <w:lang w:val="en-GB"/>
        </w:rPr>
        <w:t>.</w:t>
      </w:r>
      <w:r w:rsidR="0B3846CE" w:rsidRPr="5937A937">
        <w:rPr>
          <w:rFonts w:asciiTheme="majorHAnsi" w:hAnsiTheme="majorHAnsi" w:cstheme="majorBidi"/>
          <w:sz w:val="22"/>
          <w:szCs w:val="22"/>
          <w:lang w:val="en-GB"/>
        </w:rPr>
        <w:t xml:space="preserve"> Methanol can also be used in fuel cells engines, but technology is </w:t>
      </w:r>
      <w:r w:rsidR="35411192" w:rsidRPr="5937A937">
        <w:rPr>
          <w:rFonts w:asciiTheme="majorHAnsi" w:hAnsiTheme="majorHAnsi" w:cstheme="majorBidi"/>
          <w:sz w:val="22"/>
          <w:szCs w:val="22"/>
          <w:lang w:val="en-GB"/>
        </w:rPr>
        <w:t xml:space="preserve">still </w:t>
      </w:r>
      <w:r w:rsidR="0B3846CE" w:rsidRPr="5937A937">
        <w:rPr>
          <w:rFonts w:asciiTheme="majorHAnsi" w:hAnsiTheme="majorHAnsi" w:cstheme="majorBidi"/>
          <w:sz w:val="22"/>
          <w:szCs w:val="22"/>
          <w:lang w:val="en-GB"/>
        </w:rPr>
        <w:t>immature.</w:t>
      </w:r>
      <w:r w:rsidR="05EFC854" w:rsidRPr="5937A937">
        <w:rPr>
          <w:rFonts w:asciiTheme="majorHAnsi" w:hAnsiTheme="majorHAnsi" w:cstheme="majorBidi"/>
          <w:sz w:val="22"/>
          <w:szCs w:val="22"/>
          <w:lang w:val="en-GB"/>
        </w:rPr>
        <w:t xml:space="preserve"> The global market for methanol is about </w:t>
      </w:r>
      <w:r w:rsidR="35DB8914" w:rsidRPr="5937A937">
        <w:rPr>
          <w:rFonts w:asciiTheme="majorHAnsi" w:hAnsiTheme="majorHAnsi" w:cstheme="majorBidi"/>
          <w:sz w:val="22"/>
          <w:szCs w:val="22"/>
          <w:lang w:val="en-GB"/>
        </w:rPr>
        <w:t>100 million tons</w:t>
      </w:r>
      <w:r w:rsidR="0B3846CE" w:rsidRPr="5937A937">
        <w:rPr>
          <w:rFonts w:asciiTheme="majorHAnsi" w:hAnsiTheme="majorHAnsi" w:cstheme="majorBidi"/>
          <w:sz w:val="22"/>
          <w:szCs w:val="22"/>
          <w:lang w:val="en-GB"/>
        </w:rPr>
        <w:t>,</w:t>
      </w:r>
      <w:r w:rsidR="35DB8914" w:rsidRPr="5937A937">
        <w:rPr>
          <w:rFonts w:asciiTheme="majorHAnsi" w:hAnsiTheme="majorHAnsi" w:cstheme="majorBidi"/>
          <w:sz w:val="22"/>
          <w:szCs w:val="22"/>
          <w:lang w:val="en-GB"/>
        </w:rPr>
        <w:t xml:space="preserve"> </w:t>
      </w:r>
      <w:r w:rsidR="783BE2F4" w:rsidRPr="5937A937">
        <w:rPr>
          <w:rFonts w:asciiTheme="majorHAnsi" w:hAnsiTheme="majorHAnsi" w:cstheme="majorBidi"/>
          <w:sz w:val="22"/>
          <w:szCs w:val="22"/>
          <w:lang w:val="en-GB"/>
        </w:rPr>
        <w:t>primarily</w:t>
      </w:r>
      <w:r w:rsidR="35DB8914" w:rsidRPr="5937A937">
        <w:rPr>
          <w:rFonts w:asciiTheme="majorHAnsi" w:hAnsiTheme="majorHAnsi" w:cstheme="majorBidi"/>
          <w:sz w:val="22"/>
          <w:szCs w:val="22"/>
          <w:lang w:val="en-GB"/>
        </w:rPr>
        <w:t xml:space="preserve"> for chemical applications, placing it as one of the top five chemicals commodities</w:t>
      </w:r>
      <w:r w:rsidR="64AD3CF4" w:rsidRPr="5937A937">
        <w:rPr>
          <w:rFonts w:asciiTheme="majorHAnsi" w:hAnsiTheme="majorHAnsi" w:cstheme="majorBidi"/>
          <w:sz w:val="22"/>
          <w:szCs w:val="22"/>
          <w:lang w:val="en-GB"/>
        </w:rPr>
        <w:t xml:space="preserve"> </w:t>
      </w:r>
      <w:r w:rsidR="00D0363C" w:rsidRPr="5937A937">
        <w:rPr>
          <w:rFonts w:asciiTheme="majorHAnsi" w:hAnsiTheme="majorHAnsi" w:cstheme="majorBidi"/>
          <w:sz w:val="22"/>
          <w:szCs w:val="22"/>
          <w:lang w:val="en-GB"/>
        </w:rPr>
        <w:fldChar w:fldCharType="begin" w:fldLock="1"/>
      </w:r>
      <w:r w:rsidR="00D0363C" w:rsidRPr="5937A937">
        <w:rPr>
          <w:rFonts w:asciiTheme="majorHAnsi" w:hAnsiTheme="majorHAnsi" w:cstheme="majorBidi"/>
          <w:sz w:val="22"/>
          <w:szCs w:val="22"/>
          <w:lang w:val="en-GB"/>
        </w:rPr>
        <w:instrText>ADDIN CSL_CITATION {"citationItems":[{"id":"ITEM-1","itemData":{"DOI":"10.1595/205651320x15924055217177","ISBN":"205651320X","ISSN":"20565135","abstract":"One of the more evocative cases of disruptive innovation is how steam powered vessels displaced sailing ships in the 19th century. Independent of wind and currents, shipping entered a new age. Faster shipping enabled more efficient trading and easier international travel. It fuelled economic growth and wealth creation. This transition was not rapid, taking half a century to evolve, a period in which hybrid vessels, those using sails and steam generated power were a common sight. The age of steam brought a period of change which affected many aspects of shipping, not only its appearance and practices but also its environmental impact. It facilitated further disruption and the emergence of what has become the industry standard for a ‘prime mover’: the diesel engine. Achieving the decarbonisation of the shipping fleet as soon as possible this century will be one of the most significant disruptions the shipping sector has had to manage. Meaningful change by 2050 requires strategic development and decisive action today, made all the more complicated by the immediate demands that the sector manages both the current and longer term impact that the COVID-19 pandemic will have on the shipping industry. This paper looks briefly at the transition from wind power to carbon based fuel power to gain insight into how the shipping sector manages disruptive change. It also reviews some technology options the shipping sector could adopt to reduce its environmental impact to meet a timetable of international requirements on ship emissions limits. The paper will focus on how the engine room might evolve with changes in: (i) energy conversion, how power is generated on board, i.e. the engine; and (ii) energy storage, i.e. choice of fuel.","author":[{"dropping-particle":"","family":"McCarney","given":"Joseph","non-dropping-particle":"","parse-names":false,"suffix":""}],"container-title":"Johnson Matthey Technology Review","id":"ITEM-1","issue":"3","issued":{"date-parts":[["2020"]]},"page":"374-392","title":"Evolution in the engine room: A review of technologies to deliver decarbonised, sustainable shipping technology options for the shipping sector to meet international ship emissions limits","type":"article-journal","volume":"64"},"uris":["http://www.mendeley.com/documents/?uuid=991342a3-a5df-4350-b415-07d18be0eb4c"]}],"mendeley":{"formattedCitation":"(McCarney, 2020)","plainTextFormattedCitation":"(McCarney, 2020)","previouslyFormattedCitation":"(McCarney, 2020)"},"properties":{"noteIndex":0},"schema":"https://github.com/citation-style-language/schema/raw/master/csl-citation.json"}</w:instrText>
      </w:r>
      <w:r w:rsidR="00D0363C" w:rsidRPr="5937A937">
        <w:rPr>
          <w:rFonts w:asciiTheme="majorHAnsi" w:hAnsiTheme="majorHAnsi" w:cstheme="majorBidi"/>
          <w:sz w:val="22"/>
          <w:szCs w:val="22"/>
          <w:lang w:val="en-GB"/>
        </w:rPr>
        <w:fldChar w:fldCharType="separate"/>
      </w:r>
      <w:r w:rsidR="64AD3CF4" w:rsidRPr="5937A937">
        <w:rPr>
          <w:rFonts w:asciiTheme="majorHAnsi" w:hAnsiTheme="majorHAnsi" w:cstheme="majorBidi"/>
          <w:noProof/>
          <w:sz w:val="22"/>
          <w:szCs w:val="22"/>
          <w:lang w:val="en-GB"/>
        </w:rPr>
        <w:t>(McCarney, 2020)</w:t>
      </w:r>
      <w:r w:rsidR="00D0363C" w:rsidRPr="5937A937">
        <w:rPr>
          <w:rFonts w:asciiTheme="majorHAnsi" w:hAnsiTheme="majorHAnsi" w:cstheme="majorBidi"/>
          <w:sz w:val="22"/>
          <w:szCs w:val="22"/>
          <w:lang w:val="en-GB"/>
        </w:rPr>
        <w:fldChar w:fldCharType="end"/>
      </w:r>
      <w:r w:rsidR="35DB8914" w:rsidRPr="5937A937">
        <w:rPr>
          <w:rFonts w:asciiTheme="majorHAnsi" w:hAnsiTheme="majorHAnsi" w:cstheme="majorBidi"/>
          <w:sz w:val="22"/>
          <w:szCs w:val="22"/>
          <w:lang w:val="en-GB"/>
        </w:rPr>
        <w:t xml:space="preserve">. The structure and knowledge already in place </w:t>
      </w:r>
      <w:r w:rsidR="0B3846CE" w:rsidRPr="5937A937">
        <w:rPr>
          <w:rFonts w:asciiTheme="majorHAnsi" w:hAnsiTheme="majorHAnsi" w:cstheme="majorBidi"/>
          <w:sz w:val="22"/>
          <w:szCs w:val="22"/>
          <w:lang w:val="en-GB"/>
        </w:rPr>
        <w:t>could benefit its eventual use in the transport sector.</w:t>
      </w:r>
      <w:r w:rsidR="35DB8914" w:rsidRPr="5937A937">
        <w:rPr>
          <w:rFonts w:asciiTheme="majorHAnsi" w:hAnsiTheme="majorHAnsi" w:cstheme="majorBidi"/>
          <w:sz w:val="22"/>
          <w:szCs w:val="22"/>
          <w:lang w:val="en-GB"/>
        </w:rPr>
        <w:t xml:space="preserve"> </w:t>
      </w:r>
      <w:r w:rsidR="05EFC854" w:rsidRPr="5937A937">
        <w:rPr>
          <w:rFonts w:asciiTheme="majorHAnsi" w:hAnsiTheme="majorHAnsi" w:cstheme="majorBidi"/>
          <w:sz w:val="22"/>
          <w:szCs w:val="22"/>
          <w:lang w:val="en-GB"/>
        </w:rPr>
        <w:t>Comparably to the other alternative fuels, the production background of methanol has a significant impact on its total emissions.</w:t>
      </w:r>
      <w:r w:rsidR="783BE2F4" w:rsidRPr="5937A937">
        <w:rPr>
          <w:rFonts w:asciiTheme="majorHAnsi" w:hAnsiTheme="majorHAnsi" w:cstheme="majorBidi"/>
          <w:sz w:val="22"/>
          <w:szCs w:val="22"/>
          <w:lang w:val="en-GB"/>
        </w:rPr>
        <w:t xml:space="preserve"> </w:t>
      </w:r>
      <w:r w:rsidR="4A80B090" w:rsidRPr="5937A937">
        <w:rPr>
          <w:rFonts w:asciiTheme="majorHAnsi" w:hAnsiTheme="majorHAnsi" w:cstheme="majorBidi"/>
          <w:sz w:val="22"/>
          <w:szCs w:val="22"/>
          <w:lang w:val="en-GB"/>
        </w:rPr>
        <w:t xml:space="preserve">It can be produced from many sources, for </w:t>
      </w:r>
      <w:r w:rsidR="4A80B090" w:rsidRPr="5937A937">
        <w:rPr>
          <w:rFonts w:asciiTheme="majorHAnsi" w:hAnsiTheme="majorHAnsi" w:cstheme="majorBidi"/>
          <w:sz w:val="22"/>
          <w:szCs w:val="22"/>
          <w:lang w:val="en-GB"/>
        </w:rPr>
        <w:lastRenderedPageBreak/>
        <w:t xml:space="preserve">instance, natural gas reforming, </w:t>
      </w:r>
      <w:r w:rsidR="0BACE6A1" w:rsidRPr="5937A937">
        <w:rPr>
          <w:rFonts w:asciiTheme="majorHAnsi" w:hAnsiTheme="majorHAnsi" w:cstheme="majorBidi"/>
          <w:sz w:val="22"/>
          <w:szCs w:val="22"/>
          <w:lang w:val="en-GB"/>
        </w:rPr>
        <w:t>catalytic hydrogenation of CO</w:t>
      </w:r>
      <w:r w:rsidR="0BACE6A1" w:rsidRPr="5937A937">
        <w:rPr>
          <w:rFonts w:asciiTheme="majorHAnsi" w:hAnsiTheme="majorHAnsi" w:cstheme="majorBidi"/>
          <w:sz w:val="22"/>
          <w:szCs w:val="22"/>
          <w:vertAlign w:val="subscript"/>
          <w:lang w:val="en-GB"/>
        </w:rPr>
        <w:t>2</w:t>
      </w:r>
      <w:r w:rsidR="0BACE6A1" w:rsidRPr="5937A937">
        <w:rPr>
          <w:rFonts w:asciiTheme="majorHAnsi" w:hAnsiTheme="majorHAnsi" w:cstheme="majorBidi"/>
          <w:sz w:val="22"/>
          <w:szCs w:val="22"/>
          <w:lang w:val="en-GB"/>
        </w:rPr>
        <w:t xml:space="preserve"> waste streams or from biomass </w:t>
      </w:r>
      <w:r w:rsidR="2A37D4F1" w:rsidRPr="5937A937">
        <w:rPr>
          <w:rFonts w:asciiTheme="majorHAnsi" w:hAnsiTheme="majorHAnsi" w:cstheme="majorBidi"/>
          <w:sz w:val="22"/>
          <w:szCs w:val="22"/>
          <w:lang w:val="en-GB"/>
        </w:rPr>
        <w:t xml:space="preserve">feedstock </w:t>
      </w:r>
      <w:r w:rsidR="00D0363C" w:rsidRPr="5937A937">
        <w:rPr>
          <w:rFonts w:asciiTheme="majorHAnsi" w:hAnsiTheme="majorHAnsi" w:cstheme="majorBidi"/>
          <w:sz w:val="22"/>
          <w:szCs w:val="22"/>
          <w:lang w:val="en-GB"/>
        </w:rPr>
        <w:fldChar w:fldCharType="begin" w:fldLock="1"/>
      </w:r>
      <w:r w:rsidR="00D0363C" w:rsidRPr="5937A937">
        <w:rPr>
          <w:rFonts w:asciiTheme="majorHAnsi" w:hAnsiTheme="majorHAnsi" w:cstheme="majorBidi"/>
          <w:sz w:val="22"/>
          <w:szCs w:val="22"/>
          <w:lang w:val="en-GB"/>
        </w:rPr>
        <w:instrText>ADDIN CSL_CITATION {"citationItems":[{"id":"ITEM-1","itemData":{"DOI":"10.1016/j.enconman.2018.12.080","ISSN":"01968904","abstract":"International shipping provides 80–90% of global trade, but strict environmental regulations around NOX, SOX and greenhouse gas (GHG) emissions are set to cause major technological shifts. The pathway to achieving the international target of 50% GHG reduction by 2050 is unclear, but numerous promising options exist. This study provides a holistic assessment of these options and their combined potential to decarbonise international shipping, from a technology, environmental and policy perspective. Liquefied natural gas (LNG) is reaching mainstream and provides 20–30% CO2 reductions whilst minimising SOX and other emissions. Costs are favourable, but GHG benefits are reduced by methane slip, which varies across engine types. Biofuels, hydrogen, nuclear and carbon capture and storage (CCS) could all decarbonise much further, but each faces significant barriers around their economics, resource potentials and public acceptability. Regarding efficiency measures, considerable fuel and GHG savings could be attained by slow-steaming, ship design changes and utilising renewable resources. There is clearly no single route and a multifaceted response is required for deep decarbonisation. The scale of this challenge is explored by estimating the combined decarbonisation potential of multiple options. Achieving 50% decarbonisation with LNG or electric propulsion would likely require 4 or more complementary efficiency measures to be applied simultaneously. Broadly, larger GHG reductions require stronger policy and may differentiate between short- and long-term approaches. With LNG being economically feasible and offering moderate environmental benefits, this may have short-term promise with minor policy intervention. Longer term, deeper decarbonisation will require strong financial incentives. Lowest-cost policy options should be fuel- or technology-agnostic, internationally applied and will require action now to ensure targets are met by 2050.","author":[{"dropping-particle":"","family":"Balcombe","given":"Paul","non-dropping-particle":"","parse-names":false,"suffix":""},{"dropping-particle":"","family":"Brierley","given":"James","non-dropping-particle":"","parse-names":false,"suffix":""},{"dropping-particle":"","family":"Lewis","given":"Chester","non-dropping-particle":"","parse-names":false,"suffix":""},{"dropping-particle":"","family":"Skatvedt","given":"Line","non-dropping-particle":"","parse-names":false,"suffix":""},{"dropping-particle":"","family":"Speirs","given":"Jamie","non-dropping-particle":"","parse-names":false,"suffix":""},{"dropping-particle":"","family":"Hawkes","given":"Adam","non-dropping-particle":"","parse-names":false,"suffix":""},{"dropping-particle":"","family":"Staffell","given":"Iain","non-dropping-particle":"","parse-names":false,"suffix":""}],"container-title":"Energy Conversion and Management","id":"ITEM-1","issue":"December 2018","issued":{"date-parts":[["2019"]]},"page":"72-88","title":"How to decarbonise international shipping: Options for fuels, technologies and policies","type":"article-journal","volume":"182"},"uris":["http://www.mendeley.com/documents/?uuid=96546af7-7da1-41da-8ebe-86d293776d81"]},{"id":"ITEM-2","itemData":{"DOI":"10.1016/j.jclepro.2014.03.052","ISSN":"09596526","abstract":"The combined effort of reducing the emissions of sulphur dioxide, nitrogen oxides and greenhouse gases to comply with future regulations and reduce impact on climate change will require a significant change in ship propulsion. One alternative is to change fuels. In this study we compare the life cycle environmental performance of liquefied natural gas (LNG), liquefied biogas (LBG), methanol and bio-methanol. We also highlight a number of important aspects to consider when selecting marine fuels. A transition to use of LNG or methanol produced from natural gas would significantly improve the overall environmental performance. However, the impact on climate change is of the same order of magnitude as with use of heavy fuel oil. It is only the use of LBG and bio-methanol that has the potential to reduce the climate impact. The analysis did not show any significant differences in environmental performance between methane and methanol when produced from the same raw materials, but the performance of the methanol engines are yet to be validated. © 2014 Elsevier Ltd. All rights reserved.","author":[{"dropping-particle":"","family":"Brynolf","given":"Selma","non-dropping-particle":"","parse-names":false,"suffix":""},{"dropping-particle":"","family":"Fridell","given":"Erik","non-dropping-particle":"","parse-names":false,"suffix":""},{"dropping-particle":"","family":"Andersson","given":"Karin","non-dropping-particle":"","parse-names":false,"suffix":""}],"container-title":"Journal of Cleaner Production","id":"ITEM-2","issue":"X","issued":{"date-parts":[["2014"]]},"page":"86-95","title":"Environmental assessment of marine fuels: Liquefied natural gas, liquefied biogas, methanol and bio-methanol","type":"article-journal","volume":"74"},"uris":["http://www.mendeley.com/documents/?uuid=4b4b5665-fff8-4dd6-a44a-12c90be3c561"]}],"mendeley":{"formattedCitation":"(Balcombe et al., 2019; Brynolf et al., 2014)","plainTextFormattedCitation":"(Balcombe et al., 2019; Brynolf et al., 2014)","previouslyFormattedCitation":"(Balcombe et al., 2019; Brynolf et al., 2014)"},"properties":{"noteIndex":0},"schema":"https://github.com/citation-style-language/schema/raw/master/csl-citation.json"}</w:instrText>
      </w:r>
      <w:r w:rsidR="00D0363C" w:rsidRPr="5937A937">
        <w:rPr>
          <w:rFonts w:asciiTheme="majorHAnsi" w:hAnsiTheme="majorHAnsi" w:cstheme="majorBidi"/>
          <w:sz w:val="22"/>
          <w:szCs w:val="22"/>
          <w:lang w:val="en-GB"/>
        </w:rPr>
        <w:fldChar w:fldCharType="separate"/>
      </w:r>
      <w:r w:rsidR="2A37D4F1" w:rsidRPr="5937A937">
        <w:rPr>
          <w:rFonts w:asciiTheme="majorHAnsi" w:hAnsiTheme="majorHAnsi" w:cstheme="majorBidi"/>
          <w:noProof/>
          <w:sz w:val="22"/>
          <w:szCs w:val="22"/>
          <w:lang w:val="en-GB"/>
        </w:rPr>
        <w:t>(Balcombe et al., 2019; Brynolf et al., 2014)</w:t>
      </w:r>
      <w:r w:rsidR="00D0363C" w:rsidRPr="5937A937">
        <w:rPr>
          <w:rFonts w:asciiTheme="majorHAnsi" w:hAnsiTheme="majorHAnsi" w:cstheme="majorBidi"/>
          <w:sz w:val="22"/>
          <w:szCs w:val="22"/>
          <w:lang w:val="en-GB"/>
        </w:rPr>
        <w:fldChar w:fldCharType="end"/>
      </w:r>
      <w:r w:rsidR="0BACE6A1" w:rsidRPr="5937A937">
        <w:rPr>
          <w:rFonts w:asciiTheme="majorHAnsi" w:hAnsiTheme="majorHAnsi" w:cstheme="majorBidi"/>
          <w:sz w:val="22"/>
          <w:szCs w:val="22"/>
          <w:lang w:val="en-GB"/>
        </w:rPr>
        <w:t xml:space="preserve">. Considering the natural gas path, the </w:t>
      </w:r>
      <w:proofErr w:type="spellStart"/>
      <w:r w:rsidR="0BACE6A1" w:rsidRPr="5937A937">
        <w:rPr>
          <w:rFonts w:asciiTheme="majorHAnsi" w:hAnsiTheme="majorHAnsi" w:cstheme="majorBidi"/>
          <w:sz w:val="22"/>
          <w:szCs w:val="22"/>
          <w:lang w:val="en-GB"/>
        </w:rPr>
        <w:t>CO</w:t>
      </w:r>
      <w:r w:rsidR="0BACE6A1" w:rsidRPr="00D6557E">
        <w:rPr>
          <w:rFonts w:asciiTheme="majorHAnsi" w:hAnsiTheme="majorHAnsi" w:cstheme="majorBidi"/>
          <w:sz w:val="22"/>
          <w:szCs w:val="22"/>
          <w:vertAlign w:val="subscript"/>
          <w:lang w:val="en-GB"/>
        </w:rPr>
        <w:t>x</w:t>
      </w:r>
      <w:proofErr w:type="spellEnd"/>
      <w:r w:rsidR="0BACE6A1" w:rsidRPr="5937A937">
        <w:rPr>
          <w:rFonts w:asciiTheme="majorHAnsi" w:hAnsiTheme="majorHAnsi" w:cstheme="majorBidi"/>
          <w:sz w:val="22"/>
          <w:szCs w:val="22"/>
          <w:lang w:val="en-GB"/>
        </w:rPr>
        <w:t xml:space="preserve"> emissions can be even superior </w:t>
      </w:r>
      <w:proofErr w:type="gramStart"/>
      <w:r w:rsidR="0BACE6A1" w:rsidRPr="5937A937">
        <w:rPr>
          <w:rFonts w:asciiTheme="majorHAnsi" w:hAnsiTheme="majorHAnsi" w:cstheme="majorBidi"/>
          <w:sz w:val="22"/>
          <w:szCs w:val="22"/>
          <w:lang w:val="en-GB"/>
        </w:rPr>
        <w:t>than</w:t>
      </w:r>
      <w:proofErr w:type="gramEnd"/>
      <w:r w:rsidR="0BACE6A1" w:rsidRPr="5937A937">
        <w:rPr>
          <w:rFonts w:asciiTheme="majorHAnsi" w:hAnsiTheme="majorHAnsi" w:cstheme="majorBidi"/>
          <w:sz w:val="22"/>
          <w:szCs w:val="22"/>
          <w:lang w:val="en-GB"/>
        </w:rPr>
        <w:t xml:space="preserve"> HFO, as </w:t>
      </w:r>
      <w:r w:rsidR="0C5A3D89" w:rsidRPr="5937A937">
        <w:rPr>
          <w:rFonts w:asciiTheme="majorHAnsi" w:hAnsiTheme="majorHAnsi" w:cstheme="majorBidi"/>
          <w:sz w:val="22"/>
          <w:szCs w:val="22"/>
          <w:lang w:val="en-GB"/>
        </w:rPr>
        <w:t>shown in the emission section</w:t>
      </w:r>
      <w:r w:rsidR="0BACE6A1" w:rsidRPr="5937A937">
        <w:rPr>
          <w:rFonts w:asciiTheme="majorHAnsi" w:hAnsiTheme="majorHAnsi" w:cstheme="majorBidi"/>
          <w:sz w:val="22"/>
          <w:szCs w:val="22"/>
          <w:lang w:val="en-GB"/>
        </w:rPr>
        <w:t>.</w:t>
      </w:r>
      <w:r w:rsidR="05EFC854" w:rsidRPr="5937A937">
        <w:rPr>
          <w:rFonts w:asciiTheme="majorHAnsi" w:hAnsiTheme="majorHAnsi" w:cstheme="majorBidi"/>
          <w:sz w:val="22"/>
          <w:szCs w:val="22"/>
          <w:lang w:val="en-GB"/>
        </w:rPr>
        <w:t xml:space="preserve"> </w:t>
      </w:r>
      <w:r w:rsidR="0BACE6A1" w:rsidRPr="5937A937">
        <w:rPr>
          <w:rFonts w:asciiTheme="majorHAnsi" w:hAnsiTheme="majorHAnsi" w:cstheme="majorBidi"/>
          <w:sz w:val="22"/>
          <w:szCs w:val="22"/>
          <w:lang w:val="en-GB"/>
        </w:rPr>
        <w:t xml:space="preserve">On the other hand, the use of waste </w:t>
      </w:r>
      <w:proofErr w:type="spellStart"/>
      <w:r w:rsidR="0BACE6A1" w:rsidRPr="5937A937">
        <w:rPr>
          <w:rFonts w:asciiTheme="majorHAnsi" w:hAnsiTheme="majorHAnsi" w:cstheme="majorBidi"/>
          <w:sz w:val="22"/>
          <w:szCs w:val="22"/>
          <w:lang w:val="en-GB"/>
        </w:rPr>
        <w:t>CO</w:t>
      </w:r>
      <w:r w:rsidR="0BACE6A1" w:rsidRPr="00D6557E">
        <w:rPr>
          <w:rFonts w:asciiTheme="majorHAnsi" w:hAnsiTheme="majorHAnsi" w:cstheme="majorBidi"/>
          <w:sz w:val="22"/>
          <w:szCs w:val="22"/>
          <w:vertAlign w:val="subscript"/>
          <w:lang w:val="en-GB"/>
        </w:rPr>
        <w:t>x</w:t>
      </w:r>
      <w:proofErr w:type="spellEnd"/>
      <w:r w:rsidR="0BACE6A1" w:rsidRPr="5937A937">
        <w:rPr>
          <w:rFonts w:asciiTheme="majorHAnsi" w:hAnsiTheme="majorHAnsi" w:cstheme="majorBidi"/>
          <w:sz w:val="22"/>
          <w:szCs w:val="22"/>
          <w:lang w:val="en-GB"/>
        </w:rPr>
        <w:t xml:space="preserve"> streams</w:t>
      </w:r>
      <w:r w:rsidR="4A507EEE" w:rsidRPr="5937A937">
        <w:rPr>
          <w:rFonts w:asciiTheme="majorHAnsi" w:hAnsiTheme="majorHAnsi" w:cstheme="majorBidi"/>
          <w:sz w:val="22"/>
          <w:szCs w:val="22"/>
          <w:lang w:val="en-GB"/>
        </w:rPr>
        <w:t xml:space="preserve"> </w:t>
      </w:r>
      <w:r w:rsidR="0BACE6A1" w:rsidRPr="5937A937">
        <w:rPr>
          <w:rFonts w:asciiTheme="majorHAnsi" w:hAnsiTheme="majorHAnsi" w:cstheme="majorBidi"/>
          <w:sz w:val="22"/>
          <w:szCs w:val="22"/>
          <w:lang w:val="en-GB"/>
        </w:rPr>
        <w:t>will reduce the overall emission remarkably w</w:t>
      </w:r>
      <w:r w:rsidR="7783E059" w:rsidRPr="5937A937">
        <w:rPr>
          <w:rFonts w:asciiTheme="majorHAnsi" w:hAnsiTheme="majorHAnsi" w:cstheme="majorBidi"/>
          <w:sz w:val="22"/>
          <w:szCs w:val="22"/>
          <w:lang w:val="en-GB"/>
        </w:rPr>
        <w:t>hen considering the</w:t>
      </w:r>
      <w:r w:rsidR="0BACE6A1" w:rsidRPr="5937A937">
        <w:rPr>
          <w:rFonts w:asciiTheme="majorHAnsi" w:hAnsiTheme="majorHAnsi" w:cstheme="majorBidi"/>
          <w:sz w:val="22"/>
          <w:szCs w:val="22"/>
          <w:lang w:val="en-GB"/>
        </w:rPr>
        <w:t xml:space="preserve"> blue or green hydrogen</w:t>
      </w:r>
      <w:r w:rsidR="2C66539A" w:rsidRPr="5937A937">
        <w:rPr>
          <w:rFonts w:asciiTheme="majorHAnsi" w:hAnsiTheme="majorHAnsi" w:cstheme="majorBidi"/>
          <w:sz w:val="22"/>
          <w:szCs w:val="22"/>
          <w:lang w:val="en-GB"/>
        </w:rPr>
        <w:t xml:space="preserve"> alternatives</w:t>
      </w:r>
      <w:r w:rsidR="0BACE6A1" w:rsidRPr="5937A937">
        <w:rPr>
          <w:rFonts w:asciiTheme="majorHAnsi" w:hAnsiTheme="majorHAnsi" w:cstheme="majorBidi"/>
          <w:sz w:val="22"/>
          <w:szCs w:val="22"/>
          <w:lang w:val="en-GB"/>
        </w:rPr>
        <w:t xml:space="preserve">. </w:t>
      </w:r>
      <w:r w:rsidR="47F90F20" w:rsidRPr="5937A937">
        <w:rPr>
          <w:rFonts w:asciiTheme="majorHAnsi" w:hAnsiTheme="majorHAnsi" w:cstheme="majorBidi"/>
          <w:sz w:val="22"/>
          <w:szCs w:val="22"/>
          <w:lang w:val="en-GB"/>
        </w:rPr>
        <w:t xml:space="preserve">The tank to wake emissions might be assigned as biogenic </w:t>
      </w:r>
      <w:proofErr w:type="spellStart"/>
      <w:r w:rsidR="47F90F20" w:rsidRPr="5937A937">
        <w:rPr>
          <w:rFonts w:asciiTheme="majorHAnsi" w:hAnsiTheme="majorHAnsi" w:cstheme="majorBidi"/>
          <w:sz w:val="22"/>
          <w:szCs w:val="22"/>
          <w:lang w:val="en-GB"/>
        </w:rPr>
        <w:t>CO</w:t>
      </w:r>
      <w:r w:rsidR="47F90F20" w:rsidRPr="00D6557E">
        <w:rPr>
          <w:rFonts w:asciiTheme="majorHAnsi" w:hAnsiTheme="majorHAnsi" w:cstheme="majorBidi"/>
          <w:sz w:val="22"/>
          <w:szCs w:val="22"/>
          <w:vertAlign w:val="subscript"/>
          <w:lang w:val="en-GB"/>
        </w:rPr>
        <w:t>x</w:t>
      </w:r>
      <w:proofErr w:type="spellEnd"/>
      <w:r w:rsidR="47F90F20" w:rsidRPr="00D6557E">
        <w:rPr>
          <w:rFonts w:asciiTheme="majorHAnsi" w:hAnsiTheme="majorHAnsi" w:cstheme="majorBidi"/>
          <w:sz w:val="22"/>
          <w:szCs w:val="22"/>
          <w:vertAlign w:val="subscript"/>
          <w:lang w:val="en-GB"/>
        </w:rPr>
        <w:t xml:space="preserve"> </w:t>
      </w:r>
      <w:r w:rsidR="47F90F20" w:rsidRPr="5937A937">
        <w:rPr>
          <w:rFonts w:asciiTheme="majorHAnsi" w:hAnsiTheme="majorHAnsi" w:cstheme="majorBidi"/>
          <w:sz w:val="22"/>
          <w:szCs w:val="22"/>
          <w:lang w:val="en-GB"/>
        </w:rPr>
        <w:t>when the production comes from biomass</w:t>
      </w:r>
      <w:r w:rsidR="3B3E813D" w:rsidRPr="5937A937">
        <w:rPr>
          <w:rFonts w:asciiTheme="majorHAnsi" w:hAnsiTheme="majorHAnsi" w:cstheme="majorBidi"/>
          <w:sz w:val="22"/>
          <w:szCs w:val="22"/>
          <w:lang w:val="en-GB"/>
        </w:rPr>
        <w:t xml:space="preserve">, </w:t>
      </w:r>
      <w:r w:rsidR="0BACE6A1" w:rsidRPr="5937A937">
        <w:rPr>
          <w:rFonts w:asciiTheme="majorHAnsi" w:hAnsiTheme="majorHAnsi" w:cstheme="majorBidi"/>
          <w:sz w:val="22"/>
          <w:szCs w:val="22"/>
          <w:lang w:val="en-GB"/>
        </w:rPr>
        <w:t xml:space="preserve">improving </w:t>
      </w:r>
      <w:r w:rsidR="6F8E54D3" w:rsidRPr="5937A937">
        <w:rPr>
          <w:rFonts w:asciiTheme="majorHAnsi" w:hAnsiTheme="majorHAnsi" w:cstheme="majorBidi"/>
          <w:sz w:val="22"/>
          <w:szCs w:val="22"/>
          <w:lang w:val="en-GB"/>
        </w:rPr>
        <w:t>its</w:t>
      </w:r>
      <w:r w:rsidR="0BACE6A1" w:rsidRPr="5937A937">
        <w:rPr>
          <w:rFonts w:asciiTheme="majorHAnsi" w:hAnsiTheme="majorHAnsi" w:cstheme="majorBidi"/>
          <w:sz w:val="22"/>
          <w:szCs w:val="22"/>
          <w:lang w:val="en-GB"/>
        </w:rPr>
        <w:t xml:space="preserve"> environmental performance</w:t>
      </w:r>
      <w:r w:rsidR="37A48608" w:rsidRPr="5937A937">
        <w:rPr>
          <w:rFonts w:asciiTheme="majorHAnsi" w:hAnsiTheme="majorHAnsi" w:cstheme="majorBidi"/>
          <w:sz w:val="22"/>
          <w:szCs w:val="22"/>
          <w:lang w:val="en-GB"/>
        </w:rPr>
        <w:t xml:space="preserve"> </w:t>
      </w:r>
      <w:r w:rsidR="00D0363C" w:rsidRPr="5937A937">
        <w:rPr>
          <w:rFonts w:asciiTheme="majorHAnsi" w:hAnsiTheme="majorHAnsi" w:cstheme="majorBidi"/>
          <w:sz w:val="22"/>
          <w:szCs w:val="22"/>
          <w:lang w:val="en-GB"/>
        </w:rPr>
        <w:fldChar w:fldCharType="begin" w:fldLock="1"/>
      </w:r>
      <w:r w:rsidR="00672453">
        <w:rPr>
          <w:rFonts w:asciiTheme="majorHAnsi" w:hAnsiTheme="majorHAnsi" w:cstheme="majorBidi"/>
          <w:sz w:val="22"/>
          <w:szCs w:val="22"/>
          <w:lang w:val="en-GB"/>
        </w:rPr>
        <w:instrText>ADDIN CSL_CITATION {"citationItems":[{"id":"ITEM-1","itemData":{"DOI":"10.1016/j.enconman.2018.12.080","ISSN":"01968904","abstract":"International shipping provides 80–90% of global trade, but strict environmental regulations around NOX, SOX and greenhouse gas (GHG) emissions are set to cause major technological shifts. The pathway to achieving the international target of 50% GHG reduction by 2050 is unclear, but numerous promising options exist. This study provides a holistic assessment of these options and their combined potential to decarbonise international shipping, from a technology, environmental and policy perspective. Liquefied natural gas (LNG) is reaching mainstream and provides 20–30% CO2 reductions whilst minimising SOX and other emissions. Costs are favourable, but GHG benefits are reduced by methane slip, which varies across engine types. Biofuels, hydrogen, nuclear and carbon capture and storage (CCS) could all decarbonise much further, but each faces significant barriers around their economics, resource potentials and public acceptability. Regarding efficiency measures, considerable fuel and GHG savings could be attained by slow-steaming, ship design changes and utilising renewable resources. There is clearly no single route and a multifaceted response is required for deep decarbonisation. The scale of this challenge is explored by estimating the combined decarbonisation potential of multiple options. Achieving 50% decarbonisation with LNG or electric propulsion would likely require 4 or more complementary efficiency measures to be applied simultaneously. Broadly, larger GHG reductions require stronger policy and may differentiate between short- and long-term approaches. With LNG being economically feasible and offering moderate environmental benefits, this may have short-term promise with minor policy intervention. Longer term, deeper decarbonisation will require strong financial incentives. Lowest-cost policy options should be fuel- or technology-agnostic, internationally applied and will require action now to ensure targets are met by 2050.","author":[{"dropping-particle":"","family":"Balcombe","given":"Paul","non-dropping-particle":"","parse-names":false,"suffix":""},{"dropping-particle":"","family":"Brierley","given":"James","non-dropping-particle":"","parse-names":false,"suffix":""},{"dropping-particle":"","family":"Lewis","given":"Chester","non-dropping-particle":"","parse-names":false,"suffix":""},{"dropping-particle":"","family":"Skatvedt","given":"Line","non-dropping-particle":"","parse-names":false,"suffix":""},{"dropping-particle":"","family":"Speirs","given":"Jamie","non-dropping-particle":"","parse-names":false,"suffix":""},{"dropping-particle":"","family":"Hawkes","given":"Adam","non-dropping-particle":"","parse-names":false,"suffix":""},{"dropping-particle":"","family":"Staffell","given":"Iain","non-dropping-particle":"","parse-names":false,"suffix":""}],"container-title":"Energy Conversion and Management","id":"ITEM-1","issue":"December 2018","issued":{"date-parts":[["2019"]]},"page":"72-88","title":"How to decarbonise international shipping: Options for fuels, technologies and policies","type":"article-journal","volume":"182"},"uris":["http://www.mendeley.com/documents/?uuid=96546af7-7da1-41da-8ebe-86d293776d81"]}],"mendeley":{"formattedCitation":"(Balcombe et al., 2019)","plainTextFormattedCitation":"(Balcombe et al., 2019)","previouslyFormattedCitation":"(Balcombe et al., 2019)"},"properties":{"noteIndex":0},"schema":"https://github.com/citation-style-language/schema/raw/master/csl-citation.json"}</w:instrText>
      </w:r>
      <w:r w:rsidR="00D0363C" w:rsidRPr="5937A937">
        <w:rPr>
          <w:rFonts w:asciiTheme="majorHAnsi" w:hAnsiTheme="majorHAnsi" w:cstheme="majorBidi"/>
          <w:sz w:val="22"/>
          <w:szCs w:val="22"/>
          <w:lang w:val="en-GB"/>
        </w:rPr>
        <w:fldChar w:fldCharType="separate"/>
      </w:r>
      <w:r w:rsidR="37A48608" w:rsidRPr="5937A937">
        <w:rPr>
          <w:rFonts w:asciiTheme="majorHAnsi" w:hAnsiTheme="majorHAnsi" w:cstheme="majorBidi"/>
          <w:noProof/>
          <w:sz w:val="22"/>
          <w:szCs w:val="22"/>
          <w:lang w:val="en-GB"/>
        </w:rPr>
        <w:t>(Balcombe et al., 2019)</w:t>
      </w:r>
      <w:r w:rsidR="00D0363C" w:rsidRPr="5937A937">
        <w:rPr>
          <w:rFonts w:asciiTheme="majorHAnsi" w:hAnsiTheme="majorHAnsi" w:cstheme="majorBidi"/>
          <w:sz w:val="22"/>
          <w:szCs w:val="22"/>
          <w:lang w:val="en-GB"/>
        </w:rPr>
        <w:fldChar w:fldCharType="end"/>
      </w:r>
      <w:r w:rsidR="0BACE6A1" w:rsidRPr="5937A937">
        <w:rPr>
          <w:rFonts w:asciiTheme="majorHAnsi" w:hAnsiTheme="majorHAnsi" w:cstheme="majorBidi"/>
          <w:sz w:val="22"/>
          <w:szCs w:val="22"/>
          <w:lang w:val="en-GB"/>
        </w:rPr>
        <w:t xml:space="preserve">. </w:t>
      </w:r>
    </w:p>
    <w:p w14:paraId="2F4E08BF" w14:textId="15E467CF" w:rsidR="00FF6150" w:rsidRDefault="00D77FA1" w:rsidP="791B8135">
      <w:pPr>
        <w:spacing w:after="120" w:line="360" w:lineRule="auto"/>
        <w:ind w:firstLine="720"/>
        <w:rPr>
          <w:rFonts w:asciiTheme="majorHAnsi" w:hAnsiTheme="majorHAnsi" w:cstheme="majorBidi"/>
          <w:sz w:val="22"/>
          <w:szCs w:val="22"/>
          <w:lang w:val="en-GB"/>
        </w:rPr>
      </w:pPr>
      <w:r w:rsidRPr="791B8135">
        <w:rPr>
          <w:rFonts w:asciiTheme="majorHAnsi" w:hAnsiTheme="majorHAnsi" w:cstheme="majorBidi"/>
          <w:b/>
          <w:bCs/>
          <w:sz w:val="22"/>
          <w:szCs w:val="22"/>
          <w:lang w:val="en-GB"/>
        </w:rPr>
        <w:t>Biofuels</w:t>
      </w:r>
      <w:r w:rsidR="00792BEC" w:rsidRPr="791B8135">
        <w:rPr>
          <w:rFonts w:asciiTheme="majorHAnsi" w:hAnsiTheme="majorHAnsi" w:cstheme="majorBidi"/>
          <w:b/>
          <w:bCs/>
          <w:sz w:val="22"/>
          <w:szCs w:val="22"/>
          <w:lang w:val="en-GB"/>
        </w:rPr>
        <w:t>,</w:t>
      </w:r>
      <w:r w:rsidR="49395FD6" w:rsidRPr="791B8135">
        <w:rPr>
          <w:rFonts w:asciiTheme="majorHAnsi" w:hAnsiTheme="majorHAnsi" w:cstheme="majorBidi"/>
          <w:b/>
          <w:bCs/>
          <w:sz w:val="22"/>
          <w:szCs w:val="22"/>
          <w:lang w:val="en-GB"/>
        </w:rPr>
        <w:t xml:space="preserve"> </w:t>
      </w:r>
      <w:r w:rsidR="00E91C43" w:rsidRPr="791B8135">
        <w:rPr>
          <w:rFonts w:asciiTheme="majorHAnsi" w:hAnsiTheme="majorHAnsi" w:cstheme="majorBidi"/>
          <w:sz w:val="22"/>
          <w:szCs w:val="22"/>
          <w:lang w:val="en-GB"/>
        </w:rPr>
        <w:t>liquids</w:t>
      </w:r>
      <w:r w:rsidR="00792BEC" w:rsidRPr="791B8135">
        <w:rPr>
          <w:rFonts w:asciiTheme="majorHAnsi" w:hAnsiTheme="majorHAnsi" w:cstheme="majorBidi"/>
          <w:sz w:val="22"/>
          <w:szCs w:val="22"/>
          <w:lang w:val="en-GB"/>
        </w:rPr>
        <w:t>,</w:t>
      </w:r>
      <w:r w:rsidR="00E91C43" w:rsidRPr="791B8135">
        <w:rPr>
          <w:rFonts w:asciiTheme="majorHAnsi" w:hAnsiTheme="majorHAnsi" w:cstheme="majorBidi"/>
          <w:b/>
          <w:bCs/>
          <w:sz w:val="22"/>
          <w:szCs w:val="22"/>
          <w:lang w:val="en-GB"/>
        </w:rPr>
        <w:t xml:space="preserve"> </w:t>
      </w:r>
      <w:r w:rsidRPr="791B8135">
        <w:rPr>
          <w:rFonts w:asciiTheme="majorHAnsi" w:hAnsiTheme="majorHAnsi" w:cstheme="majorBidi"/>
          <w:sz w:val="22"/>
          <w:szCs w:val="22"/>
          <w:lang w:val="en-GB"/>
        </w:rPr>
        <w:t>are among the alternatives here explored, the</w:t>
      </w:r>
      <w:r w:rsidR="00873D13" w:rsidRPr="791B8135">
        <w:rPr>
          <w:rFonts w:asciiTheme="majorHAnsi" w:hAnsiTheme="majorHAnsi" w:cstheme="majorBidi"/>
          <w:sz w:val="22"/>
          <w:szCs w:val="22"/>
          <w:lang w:val="en-GB"/>
        </w:rPr>
        <w:t xml:space="preserve"> fuels </w:t>
      </w:r>
      <w:r w:rsidR="00BF5548" w:rsidRPr="791B8135">
        <w:rPr>
          <w:rFonts w:asciiTheme="majorHAnsi" w:hAnsiTheme="majorHAnsi" w:cstheme="majorBidi"/>
          <w:sz w:val="22"/>
          <w:szCs w:val="22"/>
          <w:lang w:val="en-GB"/>
        </w:rPr>
        <w:t xml:space="preserve">with the greatest </w:t>
      </w:r>
      <w:r w:rsidR="008435E6" w:rsidRPr="791B8135">
        <w:rPr>
          <w:rFonts w:asciiTheme="majorHAnsi" w:hAnsiTheme="majorHAnsi" w:cstheme="majorBidi"/>
          <w:sz w:val="22"/>
          <w:szCs w:val="22"/>
          <w:lang w:val="en-GB"/>
        </w:rPr>
        <w:t>match to</w:t>
      </w:r>
      <w:r w:rsidR="00873D13" w:rsidRPr="791B8135">
        <w:rPr>
          <w:rFonts w:asciiTheme="majorHAnsi" w:hAnsiTheme="majorHAnsi" w:cstheme="majorBidi"/>
          <w:sz w:val="22"/>
          <w:szCs w:val="22"/>
          <w:lang w:val="en-GB"/>
        </w:rPr>
        <w:t xml:space="preserve"> the </w:t>
      </w:r>
      <w:r w:rsidR="00E91C43" w:rsidRPr="791B8135">
        <w:rPr>
          <w:rFonts w:asciiTheme="majorHAnsi" w:hAnsiTheme="majorHAnsi" w:cstheme="majorBidi"/>
          <w:sz w:val="22"/>
          <w:szCs w:val="22"/>
          <w:lang w:val="en-GB"/>
        </w:rPr>
        <w:t>available</w:t>
      </w:r>
      <w:r w:rsidR="00873D13" w:rsidRPr="791B8135">
        <w:rPr>
          <w:rFonts w:asciiTheme="majorHAnsi" w:hAnsiTheme="majorHAnsi" w:cstheme="majorBidi"/>
          <w:sz w:val="22"/>
          <w:szCs w:val="22"/>
          <w:lang w:val="en-GB"/>
        </w:rPr>
        <w:t xml:space="preserve"> infrastructure</w:t>
      </w:r>
      <w:proofErr w:type="gramStart"/>
      <w:r w:rsidR="00873D13" w:rsidRPr="791B8135">
        <w:rPr>
          <w:rFonts w:asciiTheme="majorHAnsi" w:hAnsiTheme="majorHAnsi" w:cstheme="majorBidi"/>
          <w:sz w:val="22"/>
          <w:szCs w:val="22"/>
          <w:lang w:val="en-GB"/>
        </w:rPr>
        <w:t xml:space="preserve">. </w:t>
      </w:r>
      <w:r w:rsidRPr="791B8135">
        <w:rPr>
          <w:rFonts w:asciiTheme="majorHAnsi" w:hAnsiTheme="majorHAnsi" w:cstheme="majorBidi"/>
          <w:sz w:val="22"/>
          <w:szCs w:val="22"/>
          <w:lang w:val="en-GB"/>
        </w:rPr>
        <w:t xml:space="preserve"> </w:t>
      </w:r>
      <w:proofErr w:type="gramEnd"/>
      <w:r w:rsidR="00E91C43" w:rsidRPr="791B8135">
        <w:rPr>
          <w:rFonts w:asciiTheme="majorHAnsi" w:hAnsiTheme="majorHAnsi" w:cstheme="majorBidi"/>
          <w:sz w:val="22"/>
          <w:szCs w:val="22"/>
          <w:lang w:val="en-GB"/>
        </w:rPr>
        <w:t>They can attain great decarbonization targets</w:t>
      </w:r>
      <w:r w:rsidR="008435E6" w:rsidRPr="791B8135">
        <w:rPr>
          <w:rFonts w:asciiTheme="majorHAnsi" w:hAnsiTheme="majorHAnsi" w:cstheme="majorBidi"/>
          <w:sz w:val="22"/>
          <w:szCs w:val="22"/>
          <w:lang w:val="en-GB"/>
        </w:rPr>
        <w:t>,</w:t>
      </w:r>
      <w:r w:rsidR="006A21C8" w:rsidRPr="791B8135">
        <w:rPr>
          <w:rFonts w:asciiTheme="majorHAnsi" w:hAnsiTheme="majorHAnsi" w:cstheme="majorBidi"/>
          <w:sz w:val="22"/>
          <w:szCs w:val="22"/>
          <w:lang w:val="en-GB"/>
        </w:rPr>
        <w:t xml:space="preserve"> </w:t>
      </w:r>
      <w:proofErr w:type="gramStart"/>
      <w:r w:rsidR="006A21C8" w:rsidRPr="791B8135">
        <w:rPr>
          <w:rFonts w:asciiTheme="majorHAnsi" w:hAnsiTheme="majorHAnsi" w:cstheme="majorBidi"/>
          <w:sz w:val="22"/>
          <w:szCs w:val="22"/>
          <w:lang w:val="en-GB"/>
        </w:rPr>
        <w:t>at the same time</w:t>
      </w:r>
      <w:r w:rsidR="550B66FE" w:rsidRPr="791B8135">
        <w:rPr>
          <w:rFonts w:asciiTheme="majorHAnsi" w:hAnsiTheme="majorHAnsi" w:cstheme="majorBidi"/>
          <w:sz w:val="22"/>
          <w:szCs w:val="22"/>
          <w:lang w:val="en-GB"/>
        </w:rPr>
        <w:t xml:space="preserve"> that</w:t>
      </w:r>
      <w:proofErr w:type="gramEnd"/>
      <w:r w:rsidR="006A21C8" w:rsidRPr="791B8135">
        <w:rPr>
          <w:rFonts w:asciiTheme="majorHAnsi" w:hAnsiTheme="majorHAnsi" w:cstheme="majorBidi"/>
          <w:sz w:val="22"/>
          <w:szCs w:val="22"/>
          <w:lang w:val="en-GB"/>
        </w:rPr>
        <w:t xml:space="preserve"> might be used as drop-in alternatives</w:t>
      </w:r>
      <w:r w:rsidR="4CEFCEE3" w:rsidRPr="791B8135">
        <w:rPr>
          <w:rFonts w:asciiTheme="majorHAnsi" w:hAnsiTheme="majorHAnsi" w:cstheme="majorBidi"/>
          <w:sz w:val="22"/>
          <w:szCs w:val="22"/>
          <w:lang w:val="en-GB"/>
        </w:rPr>
        <w:t xml:space="preserve"> with </w:t>
      </w:r>
      <w:r w:rsidR="00B90462" w:rsidRPr="791B8135">
        <w:rPr>
          <w:rFonts w:asciiTheme="majorHAnsi" w:hAnsiTheme="majorHAnsi" w:cstheme="majorBidi"/>
          <w:sz w:val="22"/>
          <w:szCs w:val="22"/>
          <w:lang w:val="en-GB"/>
        </w:rPr>
        <w:t>little</w:t>
      </w:r>
      <w:r w:rsidR="006A21C8" w:rsidRPr="791B8135">
        <w:rPr>
          <w:rFonts w:asciiTheme="majorHAnsi" w:hAnsiTheme="majorHAnsi" w:cstheme="majorBidi"/>
          <w:sz w:val="22"/>
          <w:szCs w:val="22"/>
          <w:lang w:val="en-GB"/>
        </w:rPr>
        <w:t xml:space="preserve"> or no changes in the</w:t>
      </w:r>
      <w:r w:rsidR="00C31BE4" w:rsidRPr="791B8135">
        <w:rPr>
          <w:rFonts w:asciiTheme="majorHAnsi" w:hAnsiTheme="majorHAnsi" w:cstheme="majorBidi"/>
          <w:sz w:val="22"/>
          <w:szCs w:val="22"/>
          <w:lang w:val="en-GB"/>
        </w:rPr>
        <w:t xml:space="preserve"> </w:t>
      </w:r>
      <w:r w:rsidR="2787B44B" w:rsidRPr="791B8135">
        <w:rPr>
          <w:rFonts w:asciiTheme="majorHAnsi" w:hAnsiTheme="majorHAnsi" w:cstheme="majorBidi"/>
          <w:sz w:val="22"/>
          <w:szCs w:val="22"/>
          <w:lang w:val="en-GB"/>
        </w:rPr>
        <w:t>engine</w:t>
      </w:r>
      <w:r w:rsidR="00C31BE4" w:rsidRPr="791B8135">
        <w:rPr>
          <w:rFonts w:asciiTheme="majorHAnsi" w:hAnsiTheme="majorHAnsi" w:cstheme="majorBidi"/>
          <w:sz w:val="22"/>
          <w:szCs w:val="22"/>
          <w:lang w:val="en-GB"/>
        </w:rPr>
        <w:t>.</w:t>
      </w:r>
      <w:r w:rsidR="00B90462" w:rsidRPr="791B8135">
        <w:rPr>
          <w:rFonts w:asciiTheme="majorHAnsi" w:hAnsiTheme="majorHAnsi" w:cstheme="majorBidi"/>
          <w:sz w:val="22"/>
          <w:szCs w:val="22"/>
          <w:lang w:val="en-GB"/>
        </w:rPr>
        <w:t xml:space="preserve"> Fuels such as straight vegetable oil (SVO), hydrotreated vegetal oil (HVO), fatty acid methyl ester (FAME) are available at commercial scale</w:t>
      </w:r>
      <w:r w:rsidR="00BF14F8">
        <w:rPr>
          <w:rFonts w:asciiTheme="majorHAnsi" w:hAnsiTheme="majorHAnsi" w:cstheme="majorBidi"/>
          <w:sz w:val="22"/>
          <w:szCs w:val="22"/>
          <w:lang w:val="en-GB"/>
        </w:rPr>
        <w:t xml:space="preserve"> </w:t>
      </w:r>
      <w:r w:rsidR="003500DA">
        <w:rPr>
          <w:rFonts w:asciiTheme="majorHAnsi" w:hAnsiTheme="majorHAnsi" w:cstheme="majorBidi"/>
          <w:sz w:val="22"/>
          <w:szCs w:val="22"/>
          <w:lang w:val="en-GB"/>
        </w:rPr>
        <w:fldChar w:fldCharType="begin" w:fldLock="1"/>
      </w:r>
      <w:r w:rsidR="0078056B">
        <w:rPr>
          <w:rFonts w:asciiTheme="majorHAnsi" w:hAnsiTheme="majorHAnsi" w:cstheme="majorBidi"/>
          <w:sz w:val="22"/>
          <w:szCs w:val="22"/>
          <w:lang w:val="en-GB"/>
        </w:rPr>
        <w:instrText>ADDIN CSL_CITATION {"citationItems":[{"id":"ITEM-1","itemData":{"DOI":"10.3390/en14164980","ISSN":"19961073","abstract":"Low or zero carbon fuels are crucial for maritime transportation decarbonization goals. This paper assesses potential localities for maritime biofuels (biobunkers) production in Brazil, Europe, South Africa, and United States considering geographical, logistic, and economic aspects. This assessment combines georeferenced and techno‐economic analyses to identify suitable fuel production hotspots based on not only plant performance and costs but also on logistic integration and biomass seasonality. Five technology pathways were considered: Straight vegetable Oils (SVO), Hydrotreated Vegetable Oils (HVO), Fischer–Tropsch Biomass‐to‐liquids (FT‐BTL), Alcohol oligomerization to middle distillates (ATD), and Hydrotreated Pyrolysis Oil (HDPO). Findings reveal that biomass concentration in Brazil makes it the region with highest biobunker potential, which are mostly close to coastal areas and surpasses regional demand. Although other regions registered more limited potentials, hotspots proximity to ports would enable fossil fuel replacements in these areas. For all cases, biobunker costs (USD 21–104/GJ) are higher than conventional marine fuels prices (USD 11–17/GJ). Only 15% of the hotspots’ carbon prices that would allow its competitiveness are lower than USD 100/tCO2. Alternatives to incentivize biobunker production would be, first, to establish mandatory fuel blends and second, to join forces with other sectors that would be benefited from the co‐production of advanced biofuels.","author":[{"dropping-particle":"","family":"Carvalho","given":"Francielle","non-dropping-particle":"","parse-names":false,"suffix":""},{"dropping-particle":"","family":"Portugal‐pereira","given":"Joana","non-dropping-particle":"","parse-names":false,"suffix":""},{"dropping-particle":"","family":"Junginger","given":"Martin","non-dropping-particle":"","parse-names":false,"suffix":""},{"dropping-particle":"","family":"Szklo","given":"Alexandre","non-dropping-particle":"","parse-names":false,"suffix":""}],"container-title":"Energies","id":"ITEM-1","issue":"16","issued":{"date-parts":[["2021"]]},"title":"Biofuels for maritime transportation: A spatial, techno‐economic, and logistic analysis in brazil, europe, south africa, and the usa","type":"article-journal","volume":"14"},"uris":["http://www.mendeley.com/documents/?uuid=863a81b1-5f0b-4ab4-8302-10b8ee2137c9"]}],"mendeley":{"formattedCitation":"(Carvalho et al., 2021)","plainTextFormattedCitation":"(Carvalho et al., 2021)","previouslyFormattedCitation":"(Carvalho et al., 2021)"},"properties":{"noteIndex":0},"schema":"https://github.com/citation-style-language/schema/raw/master/csl-citation.json"}</w:instrText>
      </w:r>
      <w:r w:rsidR="003500DA">
        <w:rPr>
          <w:rFonts w:asciiTheme="majorHAnsi" w:hAnsiTheme="majorHAnsi" w:cstheme="majorBidi"/>
          <w:sz w:val="22"/>
          <w:szCs w:val="22"/>
          <w:lang w:val="en-GB"/>
        </w:rPr>
        <w:fldChar w:fldCharType="separate"/>
      </w:r>
      <w:r w:rsidR="003500DA" w:rsidRPr="003500DA">
        <w:rPr>
          <w:rFonts w:asciiTheme="majorHAnsi" w:hAnsiTheme="majorHAnsi" w:cstheme="majorBidi"/>
          <w:noProof/>
          <w:sz w:val="22"/>
          <w:szCs w:val="22"/>
          <w:lang w:val="en-GB"/>
        </w:rPr>
        <w:t>(Carvalho et al., 2021)</w:t>
      </w:r>
      <w:r w:rsidR="003500DA">
        <w:rPr>
          <w:rFonts w:asciiTheme="majorHAnsi" w:hAnsiTheme="majorHAnsi" w:cstheme="majorBidi"/>
          <w:sz w:val="22"/>
          <w:szCs w:val="22"/>
          <w:lang w:val="en-GB"/>
        </w:rPr>
        <w:fldChar w:fldCharType="end"/>
      </w:r>
      <w:r w:rsidR="05A68BAA" w:rsidRPr="791B8135">
        <w:rPr>
          <w:rFonts w:asciiTheme="majorHAnsi" w:hAnsiTheme="majorHAnsi" w:cstheme="majorBidi"/>
          <w:sz w:val="22"/>
          <w:szCs w:val="22"/>
          <w:lang w:val="en-GB"/>
        </w:rPr>
        <w:t>.</w:t>
      </w:r>
      <w:r w:rsidR="00B90462" w:rsidRPr="791B8135">
        <w:rPr>
          <w:rFonts w:asciiTheme="majorHAnsi" w:hAnsiTheme="majorHAnsi" w:cstheme="majorBidi"/>
          <w:sz w:val="22"/>
          <w:szCs w:val="22"/>
          <w:lang w:val="en-GB"/>
        </w:rPr>
        <w:t xml:space="preserve"> </w:t>
      </w:r>
      <w:r w:rsidR="00FF6150" w:rsidRPr="791B8135">
        <w:rPr>
          <w:rFonts w:asciiTheme="majorHAnsi" w:hAnsiTheme="majorHAnsi" w:cstheme="majorBidi"/>
          <w:sz w:val="22"/>
          <w:szCs w:val="22"/>
          <w:lang w:val="en-GB"/>
        </w:rPr>
        <w:t>Biofuels are benefited by a broader range of possible feedstocks, which favours local production, coping with energy security arguments. On the other hand, the debate about the eligibility of potential feedstocks, considering water and food security, is a hotspot discussion. To cope with the sustainable principle, residues and so-called waste-streams are always preferable while producing biofuels</w:t>
      </w:r>
      <w:r w:rsidR="0078056B">
        <w:rPr>
          <w:rFonts w:asciiTheme="majorHAnsi" w:hAnsiTheme="majorHAnsi" w:cstheme="majorBidi"/>
          <w:sz w:val="22"/>
          <w:szCs w:val="22"/>
          <w:lang w:val="en-GB"/>
        </w:rPr>
        <w:t xml:space="preserve"> </w:t>
      </w:r>
      <w:r w:rsidR="0078056B">
        <w:rPr>
          <w:rFonts w:asciiTheme="majorHAnsi" w:hAnsiTheme="majorHAnsi" w:cstheme="majorBidi"/>
          <w:sz w:val="22"/>
          <w:szCs w:val="22"/>
          <w:lang w:val="en-GB"/>
        </w:rPr>
        <w:fldChar w:fldCharType="begin" w:fldLock="1"/>
      </w:r>
      <w:r w:rsidR="006F570C">
        <w:rPr>
          <w:rFonts w:asciiTheme="majorHAnsi" w:hAnsiTheme="majorHAnsi" w:cstheme="majorBidi"/>
          <w:sz w:val="22"/>
          <w:szCs w:val="22"/>
          <w:lang w:val="en-GB"/>
        </w:rPr>
        <w:instrText>ADDIN CSL_CITATION {"citationItems":[{"id":"ITEM-1","itemData":{"abstract":"The merchant shipping sector is one of the mayor players in world trade. More than 80% of all goods are transported via international shipping routes. The sector consumes more than 330 Mt of fuel a year and accounts for 2-3% of the global CO2, 4-9% of SOx, and 10-15% of NOx emissions. This report is written for the biofuel provider and biofuel developer with the aim of providing an overview of the shipping sector, the technologies, fuels and regulations associated with its supply and consumption of fuels. The different biofuel technologies and their supply potentials are presented and discussed. The shipping sector includes more than 85,000 registered vessels divided into small, medium, large and very large oceangoing ships. The two latter accounts for 20% of the vessels, but 80% of the gross tonnage. The majority of the shipping routes are connected by a relatively small number of ports in North America, Europe and Asia. Therefore a major part of the fuel supply and its infrastructure are concentrated at only a few locations.","author":[{"dropping-particle":"","family":"IEA Bioenergy","given":"","non-dropping-particle":"","parse-names":false,"suffix":""}],"id":"ITEM-1","issued":{"date-parts":[["2017"]]},"page":"86","title":"Biofuels for the marine shipping sector: An overview and analysis of sector infrastructure, fuel technologies and regulations","type":"article-journal"},"uris":["http://www.mendeley.com/documents/?uuid=68541d8e-1a5a-473c-a12e-5e6030e2b7c4"]}],"mendeley":{"formattedCitation":"(IEA Bioenergy, 2017)","plainTextFormattedCitation":"(IEA Bioenergy, 2017)","previouslyFormattedCitation":"(IEA Bioenergy, 2017)"},"properties":{"noteIndex":0},"schema":"https://github.com/citation-style-language/schema/raw/master/csl-citation.json"}</w:instrText>
      </w:r>
      <w:r w:rsidR="0078056B">
        <w:rPr>
          <w:rFonts w:asciiTheme="majorHAnsi" w:hAnsiTheme="majorHAnsi" w:cstheme="majorBidi"/>
          <w:sz w:val="22"/>
          <w:szCs w:val="22"/>
          <w:lang w:val="en-GB"/>
        </w:rPr>
        <w:fldChar w:fldCharType="separate"/>
      </w:r>
      <w:r w:rsidR="0078056B" w:rsidRPr="0078056B">
        <w:rPr>
          <w:rFonts w:asciiTheme="majorHAnsi" w:hAnsiTheme="majorHAnsi" w:cstheme="majorBidi"/>
          <w:noProof/>
          <w:sz w:val="22"/>
          <w:szCs w:val="22"/>
          <w:lang w:val="en-GB"/>
        </w:rPr>
        <w:t>(IEA Bioenergy, 2017)</w:t>
      </w:r>
      <w:r w:rsidR="0078056B">
        <w:rPr>
          <w:rFonts w:asciiTheme="majorHAnsi" w:hAnsiTheme="majorHAnsi" w:cstheme="majorBidi"/>
          <w:sz w:val="22"/>
          <w:szCs w:val="22"/>
          <w:lang w:val="en-GB"/>
        </w:rPr>
        <w:fldChar w:fldCharType="end"/>
      </w:r>
      <w:r w:rsidR="00FF6150" w:rsidRPr="791B8135">
        <w:rPr>
          <w:rFonts w:asciiTheme="majorHAnsi" w:hAnsiTheme="majorHAnsi" w:cstheme="majorBidi"/>
          <w:sz w:val="22"/>
          <w:szCs w:val="22"/>
          <w:lang w:val="en-GB"/>
        </w:rPr>
        <w:t xml:space="preserve">.  </w:t>
      </w:r>
    </w:p>
    <w:p w14:paraId="227AB66F" w14:textId="7EFF7F60" w:rsidR="00D0363C" w:rsidRDefault="747DF2C9" w:rsidP="00963F36">
      <w:pPr>
        <w:spacing w:after="120" w:line="360" w:lineRule="auto"/>
        <w:ind w:firstLine="720"/>
        <w:rPr>
          <w:rFonts w:asciiTheme="majorHAnsi" w:hAnsiTheme="majorHAnsi" w:cstheme="majorBidi"/>
          <w:sz w:val="22"/>
          <w:szCs w:val="22"/>
          <w:lang w:val="en-GB"/>
        </w:rPr>
      </w:pPr>
      <w:r w:rsidRPr="5937A937">
        <w:rPr>
          <w:rFonts w:asciiTheme="majorHAnsi" w:hAnsiTheme="majorHAnsi" w:cstheme="majorBidi"/>
          <w:sz w:val="22"/>
          <w:szCs w:val="22"/>
          <w:lang w:val="en-GB"/>
        </w:rPr>
        <w:t xml:space="preserve">The use of advanced biofuel, produced from waste streams are crucial to cope with sustainability </w:t>
      </w:r>
      <w:proofErr w:type="gramStart"/>
      <w:r w:rsidRPr="5937A937">
        <w:rPr>
          <w:rFonts w:asciiTheme="majorHAnsi" w:hAnsiTheme="majorHAnsi" w:cstheme="majorBidi"/>
          <w:sz w:val="22"/>
          <w:szCs w:val="22"/>
          <w:lang w:val="en-GB"/>
        </w:rPr>
        <w:t>criteria, since</w:t>
      </w:r>
      <w:proofErr w:type="gramEnd"/>
      <w:r w:rsidRPr="5937A937">
        <w:rPr>
          <w:rFonts w:asciiTheme="majorHAnsi" w:hAnsiTheme="majorHAnsi" w:cstheme="majorBidi"/>
          <w:sz w:val="22"/>
          <w:szCs w:val="22"/>
          <w:lang w:val="en-GB"/>
        </w:rPr>
        <w:t xml:space="preserve"> production</w:t>
      </w:r>
      <w:r w:rsidR="01D74FFB" w:rsidRPr="5937A937">
        <w:rPr>
          <w:rFonts w:asciiTheme="majorHAnsi" w:hAnsiTheme="majorHAnsi" w:cstheme="majorBidi"/>
          <w:sz w:val="22"/>
          <w:szCs w:val="22"/>
          <w:lang w:val="en-GB"/>
        </w:rPr>
        <w:t xml:space="preserve"> and expansion</w:t>
      </w:r>
      <w:r w:rsidRPr="5937A937">
        <w:rPr>
          <w:rFonts w:asciiTheme="majorHAnsi" w:hAnsiTheme="majorHAnsi" w:cstheme="majorBidi"/>
          <w:sz w:val="22"/>
          <w:szCs w:val="22"/>
          <w:lang w:val="en-GB"/>
        </w:rPr>
        <w:t xml:space="preserve"> can be </w:t>
      </w:r>
      <w:r w:rsidR="47DD30AA" w:rsidRPr="5937A937">
        <w:rPr>
          <w:rFonts w:asciiTheme="majorHAnsi" w:hAnsiTheme="majorHAnsi" w:cstheme="majorBidi"/>
          <w:sz w:val="22"/>
          <w:szCs w:val="22"/>
          <w:lang w:val="en-GB"/>
        </w:rPr>
        <w:t>done</w:t>
      </w:r>
      <w:r w:rsidRPr="5937A937">
        <w:rPr>
          <w:rFonts w:asciiTheme="majorHAnsi" w:hAnsiTheme="majorHAnsi" w:cstheme="majorBidi"/>
          <w:sz w:val="22"/>
          <w:szCs w:val="22"/>
          <w:lang w:val="en-GB"/>
        </w:rPr>
        <w:t xml:space="preserve"> without</w:t>
      </w:r>
      <w:r w:rsidR="772D1F3F" w:rsidRPr="5937A937">
        <w:rPr>
          <w:rFonts w:asciiTheme="majorHAnsi" w:hAnsiTheme="majorHAnsi" w:cstheme="majorBidi"/>
          <w:sz w:val="22"/>
          <w:szCs w:val="22"/>
          <w:lang w:val="en-GB"/>
        </w:rPr>
        <w:t xml:space="preserve"> investment</w:t>
      </w:r>
      <w:r w:rsidRPr="5937A937">
        <w:rPr>
          <w:rFonts w:asciiTheme="majorHAnsi" w:hAnsiTheme="majorHAnsi" w:cstheme="majorBidi"/>
          <w:sz w:val="22"/>
          <w:szCs w:val="22"/>
          <w:lang w:val="en-GB"/>
        </w:rPr>
        <w:t xml:space="preserve"> in </w:t>
      </w:r>
      <w:r w:rsidR="5FB56EB2" w:rsidRPr="5937A937">
        <w:rPr>
          <w:rFonts w:asciiTheme="majorHAnsi" w:hAnsiTheme="majorHAnsi" w:cstheme="majorBidi"/>
          <w:sz w:val="22"/>
          <w:szCs w:val="22"/>
          <w:lang w:val="en-GB"/>
        </w:rPr>
        <w:t>new</w:t>
      </w:r>
      <w:r w:rsidRPr="5937A937">
        <w:rPr>
          <w:rFonts w:asciiTheme="majorHAnsi" w:hAnsiTheme="majorHAnsi" w:cstheme="majorBidi"/>
          <w:sz w:val="22"/>
          <w:szCs w:val="22"/>
          <w:lang w:val="en-GB"/>
        </w:rPr>
        <w:t xml:space="preserve"> agricultural areas.</w:t>
      </w:r>
      <w:r w:rsidR="772D1F3F" w:rsidRPr="5937A937">
        <w:rPr>
          <w:rFonts w:asciiTheme="majorHAnsi" w:hAnsiTheme="majorHAnsi" w:cstheme="majorBidi"/>
          <w:sz w:val="22"/>
          <w:szCs w:val="22"/>
          <w:lang w:val="en-GB"/>
        </w:rPr>
        <w:t xml:space="preserve"> </w:t>
      </w:r>
      <w:r w:rsidR="51547C5F" w:rsidRPr="5937A937">
        <w:rPr>
          <w:rFonts w:asciiTheme="majorHAnsi" w:hAnsiTheme="majorHAnsi" w:cstheme="majorBidi"/>
          <w:sz w:val="22"/>
          <w:szCs w:val="22"/>
          <w:lang w:val="en-GB"/>
        </w:rPr>
        <w:t xml:space="preserve">Oil-based residues are suitable </w:t>
      </w:r>
      <w:proofErr w:type="gramStart"/>
      <w:r w:rsidR="51547C5F" w:rsidRPr="5937A937">
        <w:rPr>
          <w:rFonts w:asciiTheme="majorHAnsi" w:hAnsiTheme="majorHAnsi" w:cstheme="majorBidi"/>
          <w:sz w:val="22"/>
          <w:szCs w:val="22"/>
          <w:lang w:val="en-GB"/>
        </w:rPr>
        <w:t>for the production of</w:t>
      </w:r>
      <w:proofErr w:type="gramEnd"/>
      <w:r w:rsidR="51547C5F" w:rsidRPr="5937A937">
        <w:rPr>
          <w:rFonts w:asciiTheme="majorHAnsi" w:hAnsiTheme="majorHAnsi" w:cstheme="majorBidi"/>
          <w:sz w:val="22"/>
          <w:szCs w:val="22"/>
          <w:lang w:val="en-GB"/>
        </w:rPr>
        <w:t xml:space="preserve"> SVO, FAME and HVO</w:t>
      </w:r>
      <w:r w:rsidR="1C5DC23E" w:rsidRPr="5937A937">
        <w:rPr>
          <w:rFonts w:asciiTheme="majorHAnsi" w:hAnsiTheme="majorHAnsi" w:cstheme="majorBidi"/>
          <w:sz w:val="22"/>
          <w:szCs w:val="22"/>
          <w:lang w:val="en-GB"/>
        </w:rPr>
        <w:t>.</w:t>
      </w:r>
      <w:r w:rsidR="038229CA" w:rsidRPr="5937A937">
        <w:rPr>
          <w:rFonts w:asciiTheme="majorHAnsi" w:hAnsiTheme="majorHAnsi" w:cstheme="majorBidi"/>
          <w:sz w:val="22"/>
          <w:szCs w:val="22"/>
          <w:lang w:val="en-GB"/>
        </w:rPr>
        <w:t xml:space="preserve"> </w:t>
      </w:r>
      <w:r w:rsidR="2979FD4C" w:rsidRPr="5937A937">
        <w:rPr>
          <w:rFonts w:asciiTheme="majorHAnsi" w:hAnsiTheme="majorHAnsi" w:cstheme="majorBidi"/>
          <w:sz w:val="22"/>
          <w:szCs w:val="22"/>
          <w:lang w:val="en-GB"/>
        </w:rPr>
        <w:t>C</w:t>
      </w:r>
      <w:r w:rsidR="6503D5C7" w:rsidRPr="5937A937">
        <w:rPr>
          <w:rFonts w:asciiTheme="majorHAnsi" w:hAnsiTheme="majorHAnsi" w:cstheme="majorBidi"/>
          <w:sz w:val="22"/>
          <w:szCs w:val="22"/>
          <w:lang w:val="en-GB"/>
        </w:rPr>
        <w:t>urrently</w:t>
      </w:r>
      <w:r w:rsidR="698416EA" w:rsidRPr="5937A937">
        <w:rPr>
          <w:rFonts w:asciiTheme="majorHAnsi" w:hAnsiTheme="majorHAnsi" w:cstheme="majorBidi"/>
          <w:sz w:val="22"/>
          <w:szCs w:val="22"/>
          <w:lang w:val="en-GB"/>
        </w:rPr>
        <w:t>,</w:t>
      </w:r>
      <w:r w:rsidR="0E6E7D45" w:rsidRPr="5937A937">
        <w:rPr>
          <w:rFonts w:asciiTheme="majorHAnsi" w:hAnsiTheme="majorHAnsi" w:cstheme="majorBidi"/>
          <w:sz w:val="22"/>
          <w:szCs w:val="22"/>
          <w:lang w:val="en-GB"/>
        </w:rPr>
        <w:t xml:space="preserve"> there is a limited offer</w:t>
      </w:r>
      <w:r w:rsidR="698416EA" w:rsidRPr="5937A937">
        <w:rPr>
          <w:rFonts w:asciiTheme="majorHAnsi" w:hAnsiTheme="majorHAnsi" w:cstheme="majorBidi"/>
          <w:sz w:val="22"/>
          <w:szCs w:val="22"/>
          <w:lang w:val="en-GB"/>
        </w:rPr>
        <w:t xml:space="preserve"> </w:t>
      </w:r>
      <w:r w:rsidR="6177F537" w:rsidRPr="5937A937">
        <w:rPr>
          <w:rFonts w:asciiTheme="majorHAnsi" w:hAnsiTheme="majorHAnsi" w:cstheme="majorBidi"/>
          <w:sz w:val="22"/>
          <w:szCs w:val="22"/>
          <w:lang w:val="en-GB"/>
        </w:rPr>
        <w:t xml:space="preserve">of </w:t>
      </w:r>
      <w:r w:rsidR="26EB0919" w:rsidRPr="5937A937">
        <w:rPr>
          <w:rFonts w:asciiTheme="majorHAnsi" w:hAnsiTheme="majorHAnsi" w:cstheme="majorBidi"/>
          <w:sz w:val="22"/>
          <w:szCs w:val="22"/>
          <w:lang w:val="en-GB"/>
        </w:rPr>
        <w:t xml:space="preserve">advanced </w:t>
      </w:r>
      <w:r w:rsidR="698416EA" w:rsidRPr="5937A937">
        <w:rPr>
          <w:rFonts w:asciiTheme="majorHAnsi" w:hAnsiTheme="majorHAnsi" w:cstheme="majorBidi"/>
          <w:sz w:val="22"/>
          <w:szCs w:val="22"/>
          <w:lang w:val="en-GB"/>
        </w:rPr>
        <w:t xml:space="preserve">biofuels </w:t>
      </w:r>
      <w:r w:rsidR="3D76CA7A" w:rsidRPr="5937A937">
        <w:rPr>
          <w:rFonts w:asciiTheme="majorHAnsi" w:hAnsiTheme="majorHAnsi" w:cstheme="majorBidi"/>
          <w:sz w:val="22"/>
          <w:szCs w:val="22"/>
          <w:lang w:val="en-GB"/>
        </w:rPr>
        <w:t xml:space="preserve">in the market, specially </w:t>
      </w:r>
      <w:r w:rsidR="47DD75DA" w:rsidRPr="5937A937">
        <w:rPr>
          <w:rFonts w:asciiTheme="majorHAnsi" w:hAnsiTheme="majorHAnsi" w:cstheme="majorBidi"/>
          <w:sz w:val="22"/>
          <w:szCs w:val="22"/>
          <w:lang w:val="en-GB"/>
        </w:rPr>
        <w:t xml:space="preserve">produced </w:t>
      </w:r>
      <w:r w:rsidR="698416EA" w:rsidRPr="5937A937">
        <w:rPr>
          <w:rFonts w:asciiTheme="majorHAnsi" w:hAnsiTheme="majorHAnsi" w:cstheme="majorBidi"/>
          <w:sz w:val="22"/>
          <w:szCs w:val="22"/>
          <w:lang w:val="en-GB"/>
        </w:rPr>
        <w:t>from l</w:t>
      </w:r>
      <w:r w:rsidR="51547C5F" w:rsidRPr="5937A937">
        <w:rPr>
          <w:rFonts w:asciiTheme="majorHAnsi" w:hAnsiTheme="majorHAnsi" w:cstheme="majorBidi"/>
          <w:sz w:val="22"/>
          <w:szCs w:val="22"/>
          <w:lang w:val="en-GB"/>
        </w:rPr>
        <w:t>ignocellulosic residues</w:t>
      </w:r>
      <w:r w:rsidR="698416EA" w:rsidRPr="5937A937">
        <w:rPr>
          <w:rFonts w:asciiTheme="majorHAnsi" w:hAnsiTheme="majorHAnsi" w:cstheme="majorBidi"/>
          <w:sz w:val="22"/>
          <w:szCs w:val="22"/>
          <w:lang w:val="en-GB"/>
        </w:rPr>
        <w:t>.</w:t>
      </w:r>
      <w:r w:rsidR="0FBB1576" w:rsidRPr="5937A937">
        <w:rPr>
          <w:rFonts w:asciiTheme="majorHAnsi" w:hAnsiTheme="majorHAnsi" w:cstheme="majorBidi"/>
          <w:sz w:val="22"/>
          <w:szCs w:val="22"/>
          <w:lang w:val="en-GB"/>
        </w:rPr>
        <w:t xml:space="preserve"> The exception relies on cellulosic ethanol, produced from crop residues. The </w:t>
      </w:r>
      <w:r w:rsidR="7A943D96" w:rsidRPr="5937A937">
        <w:rPr>
          <w:rFonts w:asciiTheme="majorHAnsi" w:hAnsiTheme="majorHAnsi" w:cstheme="majorBidi"/>
          <w:sz w:val="22"/>
          <w:szCs w:val="22"/>
          <w:lang w:val="en-GB"/>
        </w:rPr>
        <w:t>heterogeneous</w:t>
      </w:r>
      <w:r w:rsidR="2C376347" w:rsidRPr="5937A937">
        <w:rPr>
          <w:rFonts w:asciiTheme="majorHAnsi" w:hAnsiTheme="majorHAnsi" w:cstheme="majorBidi"/>
          <w:sz w:val="22"/>
          <w:szCs w:val="22"/>
          <w:lang w:val="en-GB"/>
        </w:rPr>
        <w:t xml:space="preserve"> </w:t>
      </w:r>
      <w:r w:rsidR="4D9DB589" w:rsidRPr="5937A937">
        <w:rPr>
          <w:rFonts w:asciiTheme="majorHAnsi" w:hAnsiTheme="majorHAnsi" w:cstheme="majorBidi"/>
          <w:sz w:val="22"/>
          <w:szCs w:val="22"/>
          <w:lang w:val="en-GB"/>
        </w:rPr>
        <w:t xml:space="preserve">and complex </w:t>
      </w:r>
      <w:r w:rsidR="2C376347" w:rsidRPr="5937A937">
        <w:rPr>
          <w:rFonts w:asciiTheme="majorHAnsi" w:hAnsiTheme="majorHAnsi" w:cstheme="majorBidi"/>
          <w:sz w:val="22"/>
          <w:szCs w:val="22"/>
          <w:lang w:val="en-GB"/>
        </w:rPr>
        <w:t xml:space="preserve">nature of </w:t>
      </w:r>
      <w:r w:rsidR="63D2D46A" w:rsidRPr="5937A937">
        <w:rPr>
          <w:rFonts w:asciiTheme="majorHAnsi" w:hAnsiTheme="majorHAnsi" w:cstheme="majorBidi"/>
          <w:sz w:val="22"/>
          <w:szCs w:val="22"/>
          <w:lang w:val="en-GB"/>
        </w:rPr>
        <w:t>th</w:t>
      </w:r>
      <w:r w:rsidR="2C376347" w:rsidRPr="5937A937">
        <w:rPr>
          <w:rFonts w:asciiTheme="majorHAnsi" w:hAnsiTheme="majorHAnsi" w:cstheme="majorBidi"/>
          <w:sz w:val="22"/>
          <w:szCs w:val="22"/>
          <w:lang w:val="en-GB"/>
        </w:rPr>
        <w:t>e</w:t>
      </w:r>
      <w:r w:rsidR="20C6F0A2" w:rsidRPr="5937A937">
        <w:rPr>
          <w:rFonts w:asciiTheme="majorHAnsi" w:hAnsiTheme="majorHAnsi" w:cstheme="majorBidi"/>
          <w:sz w:val="22"/>
          <w:szCs w:val="22"/>
          <w:lang w:val="en-GB"/>
        </w:rPr>
        <w:t xml:space="preserve"> material and </w:t>
      </w:r>
      <w:r w:rsidR="18762BE9" w:rsidRPr="5937A937">
        <w:rPr>
          <w:rFonts w:asciiTheme="majorHAnsi" w:hAnsiTheme="majorHAnsi" w:cstheme="majorBidi"/>
          <w:sz w:val="22"/>
          <w:szCs w:val="22"/>
          <w:lang w:val="en-GB"/>
        </w:rPr>
        <w:t xml:space="preserve">the </w:t>
      </w:r>
      <w:r w:rsidR="20C6F0A2" w:rsidRPr="5937A937">
        <w:rPr>
          <w:rFonts w:asciiTheme="majorHAnsi" w:hAnsiTheme="majorHAnsi" w:cstheme="majorBidi"/>
          <w:sz w:val="22"/>
          <w:szCs w:val="22"/>
          <w:lang w:val="en-GB"/>
        </w:rPr>
        <w:t>diverse</w:t>
      </w:r>
      <w:r w:rsidR="188B9561" w:rsidRPr="5937A937">
        <w:rPr>
          <w:rFonts w:asciiTheme="majorHAnsi" w:hAnsiTheme="majorHAnsi" w:cstheme="majorBidi"/>
          <w:sz w:val="22"/>
          <w:szCs w:val="22"/>
          <w:lang w:val="en-GB"/>
        </w:rPr>
        <w:t xml:space="preserve"> </w:t>
      </w:r>
      <w:r w:rsidR="20C6F0A2" w:rsidRPr="5937A937">
        <w:rPr>
          <w:rFonts w:asciiTheme="majorHAnsi" w:hAnsiTheme="majorHAnsi" w:cstheme="majorBidi"/>
          <w:sz w:val="22"/>
          <w:szCs w:val="22"/>
          <w:lang w:val="en-GB"/>
        </w:rPr>
        <w:t>availability</w:t>
      </w:r>
      <w:r w:rsidR="2C376347" w:rsidRPr="5937A937">
        <w:rPr>
          <w:rFonts w:asciiTheme="majorHAnsi" w:hAnsiTheme="majorHAnsi" w:cstheme="majorBidi"/>
          <w:sz w:val="22"/>
          <w:szCs w:val="22"/>
          <w:lang w:val="en-GB"/>
        </w:rPr>
        <w:t xml:space="preserve"> </w:t>
      </w:r>
      <w:r w:rsidR="7B624A47" w:rsidRPr="5937A937">
        <w:rPr>
          <w:rFonts w:asciiTheme="majorHAnsi" w:hAnsiTheme="majorHAnsi" w:cstheme="majorBidi"/>
          <w:sz w:val="22"/>
          <w:szCs w:val="22"/>
          <w:lang w:val="en-GB"/>
        </w:rPr>
        <w:t xml:space="preserve">make </w:t>
      </w:r>
      <w:r w:rsidR="6EB1509C" w:rsidRPr="5937A937">
        <w:rPr>
          <w:rFonts w:asciiTheme="majorHAnsi" w:hAnsiTheme="majorHAnsi" w:cstheme="majorBidi"/>
          <w:sz w:val="22"/>
          <w:szCs w:val="22"/>
          <w:lang w:val="en-GB"/>
        </w:rPr>
        <w:t>the</w:t>
      </w:r>
      <w:r w:rsidR="7B624A47" w:rsidRPr="5937A937">
        <w:rPr>
          <w:rFonts w:asciiTheme="majorHAnsi" w:hAnsiTheme="majorHAnsi" w:cstheme="majorBidi"/>
          <w:sz w:val="22"/>
          <w:szCs w:val="22"/>
          <w:lang w:val="en-GB"/>
        </w:rPr>
        <w:t xml:space="preserve"> upgrade </w:t>
      </w:r>
      <w:r w:rsidR="640A5551" w:rsidRPr="5937A937">
        <w:rPr>
          <w:rFonts w:asciiTheme="majorHAnsi" w:hAnsiTheme="majorHAnsi" w:cstheme="majorBidi"/>
          <w:sz w:val="22"/>
          <w:szCs w:val="22"/>
          <w:lang w:val="en-GB"/>
        </w:rPr>
        <w:t xml:space="preserve">of lignocellulose </w:t>
      </w:r>
      <w:r w:rsidR="7B624A47" w:rsidRPr="5937A937">
        <w:rPr>
          <w:rFonts w:asciiTheme="majorHAnsi" w:hAnsiTheme="majorHAnsi" w:cstheme="majorBidi"/>
          <w:sz w:val="22"/>
          <w:szCs w:val="22"/>
          <w:lang w:val="en-GB"/>
        </w:rPr>
        <w:t xml:space="preserve">into fuel a challenging task at commercial </w:t>
      </w:r>
      <w:r w:rsidR="073DC7CD" w:rsidRPr="5937A937">
        <w:rPr>
          <w:rFonts w:asciiTheme="majorHAnsi" w:hAnsiTheme="majorHAnsi" w:cstheme="majorBidi"/>
          <w:sz w:val="22"/>
          <w:szCs w:val="22"/>
          <w:lang w:val="en-GB"/>
        </w:rPr>
        <w:t>scale</w:t>
      </w:r>
      <w:r w:rsidR="2C376347" w:rsidRPr="5937A937">
        <w:rPr>
          <w:rFonts w:asciiTheme="majorHAnsi" w:hAnsiTheme="majorHAnsi" w:cstheme="majorBidi"/>
          <w:sz w:val="22"/>
          <w:szCs w:val="22"/>
          <w:lang w:val="en-GB"/>
        </w:rPr>
        <w:t>.</w:t>
      </w:r>
      <w:r w:rsidR="698416EA" w:rsidRPr="5937A937">
        <w:rPr>
          <w:rFonts w:asciiTheme="majorHAnsi" w:hAnsiTheme="majorHAnsi" w:cstheme="majorBidi"/>
          <w:sz w:val="22"/>
          <w:szCs w:val="22"/>
          <w:lang w:val="en-GB"/>
        </w:rPr>
        <w:t xml:space="preserve"> There </w:t>
      </w:r>
      <w:r w:rsidR="1448C6C2" w:rsidRPr="5937A937">
        <w:rPr>
          <w:rFonts w:asciiTheme="majorHAnsi" w:hAnsiTheme="majorHAnsi" w:cstheme="majorBidi"/>
          <w:sz w:val="22"/>
          <w:szCs w:val="22"/>
          <w:lang w:val="en-GB"/>
        </w:rPr>
        <w:t xml:space="preserve">are </w:t>
      </w:r>
      <w:r w:rsidR="698416EA" w:rsidRPr="5937A937">
        <w:rPr>
          <w:rFonts w:asciiTheme="majorHAnsi" w:hAnsiTheme="majorHAnsi" w:cstheme="majorBidi"/>
          <w:sz w:val="22"/>
          <w:szCs w:val="22"/>
          <w:lang w:val="en-GB"/>
        </w:rPr>
        <w:t xml:space="preserve">different processing options for this kind of residues such as </w:t>
      </w:r>
      <w:r w:rsidR="51547C5F" w:rsidRPr="5937A937">
        <w:rPr>
          <w:rFonts w:asciiTheme="majorHAnsi" w:hAnsiTheme="majorHAnsi" w:cstheme="majorBidi"/>
          <w:sz w:val="22"/>
          <w:szCs w:val="22"/>
          <w:lang w:val="en-GB"/>
        </w:rPr>
        <w:t>pyrolysis, hydrothermal liquefaction (HTL), gasification and bio digestion</w:t>
      </w:r>
      <w:r w:rsidR="5A39CB86" w:rsidRPr="5937A937">
        <w:rPr>
          <w:rFonts w:asciiTheme="majorHAnsi" w:hAnsiTheme="majorHAnsi" w:cstheme="majorBidi"/>
          <w:sz w:val="22"/>
          <w:szCs w:val="22"/>
          <w:lang w:val="en-GB"/>
        </w:rPr>
        <w:t xml:space="preserve">, as depicted </w:t>
      </w:r>
      <w:r w:rsidR="23C3A977" w:rsidRPr="5937A937">
        <w:rPr>
          <w:rFonts w:asciiTheme="majorHAnsi" w:hAnsiTheme="majorHAnsi" w:cstheme="majorBidi"/>
          <w:sz w:val="22"/>
          <w:szCs w:val="22"/>
          <w:lang w:val="en-GB"/>
        </w:rPr>
        <w:t>in</w:t>
      </w:r>
      <w:r w:rsidR="5A39CB86" w:rsidRPr="5937A937">
        <w:rPr>
          <w:rFonts w:asciiTheme="majorHAnsi" w:hAnsiTheme="majorHAnsi" w:cstheme="majorBidi"/>
          <w:sz w:val="22"/>
          <w:szCs w:val="22"/>
          <w:lang w:val="en-GB"/>
        </w:rPr>
        <w:t xml:space="preserve"> Fig</w:t>
      </w:r>
      <w:r w:rsidR="01964E3C" w:rsidRPr="5937A937">
        <w:rPr>
          <w:rFonts w:asciiTheme="majorHAnsi" w:hAnsiTheme="majorHAnsi" w:cstheme="majorBidi"/>
          <w:sz w:val="22"/>
          <w:szCs w:val="22"/>
          <w:lang w:val="en-GB"/>
        </w:rPr>
        <w:t>.</w:t>
      </w:r>
      <w:r w:rsidR="5A39CB86" w:rsidRPr="5937A937">
        <w:rPr>
          <w:rFonts w:asciiTheme="majorHAnsi" w:hAnsiTheme="majorHAnsi" w:cstheme="majorBidi"/>
          <w:sz w:val="22"/>
          <w:szCs w:val="22"/>
          <w:lang w:val="en-GB"/>
        </w:rPr>
        <w:t xml:space="preserve"> </w:t>
      </w:r>
      <w:r w:rsidR="01964E3C" w:rsidRPr="5937A937">
        <w:rPr>
          <w:rFonts w:asciiTheme="majorHAnsi" w:hAnsiTheme="majorHAnsi" w:cstheme="majorBidi"/>
          <w:sz w:val="22"/>
          <w:szCs w:val="22"/>
          <w:lang w:val="en-GB"/>
        </w:rPr>
        <w:t>4</w:t>
      </w:r>
      <w:r w:rsidR="5A39CB86" w:rsidRPr="5937A937">
        <w:rPr>
          <w:rFonts w:asciiTheme="majorHAnsi" w:hAnsiTheme="majorHAnsi" w:cstheme="majorBidi"/>
          <w:sz w:val="22"/>
          <w:szCs w:val="22"/>
          <w:lang w:val="en-GB"/>
        </w:rPr>
        <w:t>.</w:t>
      </w:r>
      <w:r w:rsidR="15BC5B99" w:rsidRPr="5937A937">
        <w:rPr>
          <w:rFonts w:asciiTheme="majorHAnsi" w:hAnsiTheme="majorHAnsi" w:cstheme="majorBidi"/>
          <w:sz w:val="22"/>
          <w:szCs w:val="22"/>
          <w:lang w:val="en-GB"/>
        </w:rPr>
        <w:t xml:space="preserve"> </w:t>
      </w:r>
      <w:r w:rsidR="038229CA" w:rsidRPr="5937A937">
        <w:rPr>
          <w:rFonts w:asciiTheme="majorHAnsi" w:hAnsiTheme="majorHAnsi" w:cstheme="majorBidi"/>
          <w:sz w:val="22"/>
          <w:szCs w:val="22"/>
          <w:lang w:val="en-GB"/>
        </w:rPr>
        <w:t>These are at different stages of development</w:t>
      </w:r>
      <w:r w:rsidR="774316E7" w:rsidRPr="5937A937">
        <w:rPr>
          <w:rFonts w:asciiTheme="majorHAnsi" w:hAnsiTheme="majorHAnsi" w:cstheme="majorBidi"/>
          <w:sz w:val="22"/>
          <w:szCs w:val="22"/>
          <w:lang w:val="en-GB"/>
        </w:rPr>
        <w:t xml:space="preserve"> though</w:t>
      </w:r>
      <w:r w:rsidR="038229CA" w:rsidRPr="5937A937">
        <w:rPr>
          <w:rFonts w:asciiTheme="majorHAnsi" w:hAnsiTheme="majorHAnsi" w:cstheme="majorBidi"/>
          <w:sz w:val="22"/>
          <w:szCs w:val="22"/>
          <w:lang w:val="en-GB"/>
        </w:rPr>
        <w:t xml:space="preserve">. </w:t>
      </w:r>
    </w:p>
    <w:p w14:paraId="4399D9CC" w14:textId="00454227" w:rsidR="005A2C5B" w:rsidRDefault="005A2C5B" w:rsidP="65215FB1">
      <w:pPr>
        <w:spacing w:line="360" w:lineRule="auto"/>
        <w:ind w:firstLine="720"/>
        <w:rPr>
          <w:rFonts w:asciiTheme="majorHAnsi" w:hAnsiTheme="majorHAnsi" w:cstheme="majorHAnsi"/>
          <w:sz w:val="22"/>
          <w:szCs w:val="22"/>
          <w:lang w:val="en-GB"/>
        </w:rPr>
      </w:pPr>
    </w:p>
    <w:p w14:paraId="556F8847" w14:textId="77777777" w:rsidR="005A2C5B" w:rsidRDefault="44173262" w:rsidP="5937A937">
      <w:pPr>
        <w:keepNext/>
        <w:spacing w:line="360" w:lineRule="auto"/>
        <w:jc w:val="center"/>
      </w:pPr>
      <w:r>
        <w:rPr>
          <w:noProof/>
        </w:rPr>
        <w:lastRenderedPageBreak/>
        <w:drawing>
          <wp:inline distT="0" distB="0" distL="0" distR="0" wp14:anchorId="13536A0E" wp14:editId="6DA8FAF6">
            <wp:extent cx="5829300" cy="4238387"/>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5829300" cy="4238387"/>
                    </a:xfrm>
                    <a:prstGeom prst="rect">
                      <a:avLst/>
                    </a:prstGeom>
                  </pic:spPr>
                </pic:pic>
              </a:graphicData>
            </a:graphic>
          </wp:inline>
        </w:drawing>
      </w:r>
    </w:p>
    <w:p w14:paraId="7C0779E0" w14:textId="713D5EEF" w:rsidR="005A2C5B" w:rsidRDefault="005A2C5B" w:rsidP="005A2C5B">
      <w:pPr>
        <w:pStyle w:val="Caption"/>
      </w:pPr>
      <w:bookmarkStart w:id="25" w:name="_Toc85627882"/>
      <w:r>
        <w:t xml:space="preserve">Figure </w:t>
      </w:r>
      <w:fldSimple w:instr=" SEQ Figure \* ARABIC ">
        <w:r w:rsidR="008027AE">
          <w:rPr>
            <w:noProof/>
          </w:rPr>
          <w:t>4</w:t>
        </w:r>
      </w:fldSimple>
      <w:r>
        <w:t xml:space="preserve">. </w:t>
      </w:r>
      <w:r w:rsidRPr="00003165">
        <w:t>Overall flowchart for biofuel production starting from different feedstocks</w:t>
      </w:r>
      <w:r w:rsidR="0078056B">
        <w:t xml:space="preserve"> (</w:t>
      </w:r>
      <w:r w:rsidR="000378E4">
        <w:t>s</w:t>
      </w:r>
      <w:r w:rsidR="00512A9B">
        <w:t>ource:</w:t>
      </w:r>
      <w:r w:rsidRPr="00003165">
        <w:t xml:space="preserve"> IEA Bioenergy 2017</w:t>
      </w:r>
      <w:r w:rsidR="0078056B">
        <w:t>)</w:t>
      </w:r>
      <w:r>
        <w:t>.</w:t>
      </w:r>
      <w:bookmarkEnd w:id="25"/>
    </w:p>
    <w:p w14:paraId="4847CD08" w14:textId="77777777" w:rsidR="00DD5C73" w:rsidRPr="00DD5C73" w:rsidRDefault="00DD5C73" w:rsidP="00DD5C73">
      <w:pPr>
        <w:rPr>
          <w:lang w:val="en-GB"/>
        </w:rPr>
      </w:pPr>
    </w:p>
    <w:p w14:paraId="6B709178" w14:textId="6778D20A" w:rsidR="70D01BEB" w:rsidRPr="00DD5C73" w:rsidRDefault="70D01BEB" w:rsidP="005D6854">
      <w:pPr>
        <w:pStyle w:val="Heading2"/>
      </w:pPr>
      <w:bookmarkStart w:id="26" w:name="_Toc85627865"/>
      <w:r>
        <w:t>Green House Gas Emissions</w:t>
      </w:r>
      <w:bookmarkEnd w:id="26"/>
    </w:p>
    <w:p w14:paraId="512D34B3" w14:textId="7C99559D" w:rsidR="65215FB1" w:rsidRDefault="65215FB1" w:rsidP="65215FB1">
      <w:pPr>
        <w:rPr>
          <w:lang w:val="en-GB"/>
        </w:rPr>
      </w:pPr>
    </w:p>
    <w:p w14:paraId="1CC55B72" w14:textId="3104EE92" w:rsidR="00C53804" w:rsidRPr="00650B23" w:rsidRDefault="31A87CC4" w:rsidP="5937A937">
      <w:pPr>
        <w:spacing w:line="360" w:lineRule="auto"/>
        <w:ind w:firstLine="720"/>
        <w:rPr>
          <w:rFonts w:eastAsia="Calibri" w:cs="Calibri"/>
          <w:color w:val="0C0C0C" w:themeColor="text1"/>
          <w:sz w:val="22"/>
          <w:szCs w:val="22"/>
          <w:lang w:val="en-GB"/>
        </w:rPr>
      </w:pPr>
      <w:r w:rsidRPr="5937A937">
        <w:rPr>
          <w:rFonts w:eastAsia="Calibri" w:cs="Calibri"/>
          <w:color w:val="0C0C0C" w:themeColor="text1"/>
          <w:sz w:val="22"/>
          <w:szCs w:val="22"/>
          <w:lang w:val="en-GB"/>
        </w:rPr>
        <w:t xml:space="preserve">For marine fuels, </w:t>
      </w:r>
      <w:r w:rsidR="109656E5" w:rsidRPr="5937A937">
        <w:rPr>
          <w:rFonts w:eastAsia="Calibri" w:cs="Calibri"/>
          <w:color w:val="0C0C0C" w:themeColor="text1"/>
          <w:sz w:val="22"/>
          <w:szCs w:val="22"/>
          <w:lang w:val="en-GB"/>
        </w:rPr>
        <w:t>IMO directives are the primary criteria</w:t>
      </w:r>
      <w:r w:rsidRPr="5937A937">
        <w:rPr>
          <w:rFonts w:eastAsia="Calibri" w:cs="Calibri"/>
          <w:color w:val="0C0C0C" w:themeColor="text1"/>
          <w:sz w:val="22"/>
          <w:szCs w:val="22"/>
          <w:lang w:val="en-GB"/>
        </w:rPr>
        <w:t xml:space="preserve"> on fuel selection</w:t>
      </w:r>
      <w:r w:rsidR="0AB3F2A3" w:rsidRPr="5937A937">
        <w:rPr>
          <w:rFonts w:eastAsia="Calibri" w:cs="Calibri"/>
          <w:color w:val="0C0C0C" w:themeColor="text1"/>
          <w:sz w:val="22"/>
          <w:szCs w:val="22"/>
          <w:lang w:val="en-GB"/>
        </w:rPr>
        <w:t xml:space="preserve">, especially </w:t>
      </w:r>
      <w:proofErr w:type="gramStart"/>
      <w:r w:rsidR="0AB3F2A3" w:rsidRPr="5937A937">
        <w:rPr>
          <w:rFonts w:eastAsia="Calibri" w:cs="Calibri"/>
          <w:color w:val="0C0C0C" w:themeColor="text1"/>
          <w:sz w:val="22"/>
          <w:szCs w:val="22"/>
          <w:lang w:val="en-GB"/>
        </w:rPr>
        <w:t>with regard to</w:t>
      </w:r>
      <w:proofErr w:type="gramEnd"/>
      <w:r w:rsidR="0AB3F2A3" w:rsidRPr="5937A937">
        <w:rPr>
          <w:rFonts w:eastAsia="Calibri" w:cs="Calibri"/>
          <w:color w:val="0C0C0C" w:themeColor="text1"/>
          <w:sz w:val="22"/>
          <w:szCs w:val="22"/>
          <w:lang w:val="en-GB"/>
        </w:rPr>
        <w:t xml:space="preserve"> the </w:t>
      </w:r>
      <w:r w:rsidR="00E42C76">
        <w:rPr>
          <w:rFonts w:eastAsia="Calibri" w:cs="Calibri"/>
          <w:color w:val="0C0C0C" w:themeColor="text1"/>
          <w:sz w:val="22"/>
          <w:szCs w:val="22"/>
          <w:lang w:val="en-GB"/>
        </w:rPr>
        <w:t>s</w:t>
      </w:r>
      <w:r w:rsidR="00E42C76" w:rsidRPr="5937A937">
        <w:rPr>
          <w:rFonts w:eastAsia="Calibri" w:cs="Calibri"/>
          <w:color w:val="0C0C0C" w:themeColor="text1"/>
          <w:sz w:val="22"/>
          <w:szCs w:val="22"/>
          <w:lang w:val="en-GB"/>
        </w:rPr>
        <w:t>ul</w:t>
      </w:r>
      <w:r w:rsidR="00E42C76">
        <w:rPr>
          <w:rFonts w:eastAsia="Calibri" w:cs="Calibri"/>
          <w:color w:val="0C0C0C" w:themeColor="text1"/>
          <w:sz w:val="22"/>
          <w:szCs w:val="22"/>
          <w:lang w:val="en-GB"/>
        </w:rPr>
        <w:t>p</w:t>
      </w:r>
      <w:r w:rsidR="00E42C76" w:rsidRPr="5937A937">
        <w:rPr>
          <w:rFonts w:eastAsia="Calibri" w:cs="Calibri"/>
          <w:color w:val="0C0C0C" w:themeColor="text1"/>
          <w:sz w:val="22"/>
          <w:szCs w:val="22"/>
          <w:lang w:val="en-GB"/>
        </w:rPr>
        <w:t>hur</w:t>
      </w:r>
      <w:r w:rsidR="0AB3F2A3" w:rsidRPr="5937A937">
        <w:rPr>
          <w:rFonts w:eastAsia="Calibri" w:cs="Calibri"/>
          <w:color w:val="0C0C0C" w:themeColor="text1"/>
          <w:sz w:val="22"/>
          <w:szCs w:val="22"/>
          <w:lang w:val="en-GB"/>
        </w:rPr>
        <w:t xml:space="preserve"> content.</w:t>
      </w:r>
      <w:r w:rsidRPr="5937A937">
        <w:rPr>
          <w:rFonts w:eastAsia="Calibri" w:cs="Calibri"/>
          <w:color w:val="0C0C0C" w:themeColor="text1"/>
          <w:sz w:val="22"/>
          <w:szCs w:val="22"/>
          <w:lang w:val="en-GB"/>
        </w:rPr>
        <w:t xml:space="preserve"> </w:t>
      </w:r>
      <w:r w:rsidR="19A4E9CC" w:rsidRPr="5937A937">
        <w:rPr>
          <w:rFonts w:eastAsia="Calibri" w:cs="Calibri"/>
          <w:color w:val="0C0C0C" w:themeColor="text1"/>
          <w:sz w:val="22"/>
          <w:szCs w:val="22"/>
          <w:lang w:val="en-GB"/>
        </w:rPr>
        <w:t>They relate to the direct emissions coming from the engine</w:t>
      </w:r>
      <w:r w:rsidR="625995CA" w:rsidRPr="5937A937">
        <w:rPr>
          <w:rFonts w:eastAsia="Calibri" w:cs="Calibri"/>
          <w:color w:val="0C0C0C" w:themeColor="text1"/>
          <w:sz w:val="22"/>
          <w:szCs w:val="22"/>
          <w:lang w:val="en-GB"/>
        </w:rPr>
        <w:t>, tracked back to fuel mass composition.</w:t>
      </w:r>
      <w:r w:rsidR="31B9DD54" w:rsidRPr="5937A937">
        <w:rPr>
          <w:rFonts w:eastAsia="Calibri" w:cs="Calibri"/>
          <w:color w:val="0C0C0C" w:themeColor="text1"/>
          <w:sz w:val="22"/>
          <w:szCs w:val="22"/>
          <w:lang w:val="en-GB"/>
        </w:rPr>
        <w:t xml:space="preserve"> </w:t>
      </w:r>
      <w:r w:rsidRPr="5937A937">
        <w:rPr>
          <w:rFonts w:eastAsia="Calibri" w:cs="Calibri"/>
          <w:color w:val="0C0C0C" w:themeColor="text1"/>
          <w:sz w:val="22"/>
          <w:szCs w:val="22"/>
          <w:lang w:val="en-GB"/>
        </w:rPr>
        <w:t>G</w:t>
      </w:r>
      <w:r w:rsidR="4DF50309" w:rsidRPr="5937A937">
        <w:rPr>
          <w:rFonts w:eastAsia="Calibri" w:cs="Calibri"/>
          <w:color w:val="0C0C0C" w:themeColor="text1"/>
          <w:sz w:val="22"/>
          <w:szCs w:val="22"/>
          <w:lang w:val="en-GB"/>
        </w:rPr>
        <w:t>HG</w:t>
      </w:r>
      <w:r w:rsidRPr="5937A937">
        <w:rPr>
          <w:rFonts w:eastAsia="Calibri" w:cs="Calibri"/>
          <w:color w:val="0C0C0C" w:themeColor="text1"/>
          <w:sz w:val="22"/>
          <w:szCs w:val="22"/>
          <w:lang w:val="en-GB"/>
        </w:rPr>
        <w:t xml:space="preserve"> emissions</w:t>
      </w:r>
      <w:r w:rsidR="7CABD465" w:rsidRPr="5937A937">
        <w:rPr>
          <w:rFonts w:eastAsia="Calibri" w:cs="Calibri"/>
          <w:color w:val="0C0C0C" w:themeColor="text1"/>
          <w:sz w:val="22"/>
          <w:szCs w:val="22"/>
          <w:lang w:val="en-GB"/>
        </w:rPr>
        <w:t>, on the other hand,</w:t>
      </w:r>
      <w:r w:rsidRPr="5937A937">
        <w:rPr>
          <w:rFonts w:eastAsia="Calibri" w:cs="Calibri"/>
          <w:color w:val="0C0C0C" w:themeColor="text1"/>
          <w:sz w:val="22"/>
          <w:szCs w:val="22"/>
          <w:lang w:val="en-GB"/>
        </w:rPr>
        <w:t xml:space="preserve"> are accounted from the life cycle of the given fuel. Carbon</w:t>
      </w:r>
      <w:r w:rsidR="0E9F1F1F" w:rsidRPr="5937A937">
        <w:rPr>
          <w:rFonts w:eastAsia="Calibri" w:cs="Calibri"/>
          <w:color w:val="0C0C0C" w:themeColor="text1"/>
          <w:sz w:val="22"/>
          <w:szCs w:val="22"/>
          <w:lang w:val="en-GB"/>
        </w:rPr>
        <w:t xml:space="preserve"> dioxide</w:t>
      </w:r>
      <w:r w:rsidRPr="5937A937">
        <w:rPr>
          <w:rFonts w:eastAsia="Calibri" w:cs="Calibri"/>
          <w:color w:val="0C0C0C" w:themeColor="text1"/>
          <w:sz w:val="22"/>
          <w:szCs w:val="22"/>
          <w:lang w:val="en-GB"/>
        </w:rPr>
        <w:t xml:space="preserve"> equivalent (CO</w:t>
      </w:r>
      <w:r w:rsidRPr="5937A937">
        <w:rPr>
          <w:rFonts w:eastAsia="Calibri" w:cs="Calibri"/>
          <w:color w:val="0C0C0C" w:themeColor="text1"/>
          <w:sz w:val="22"/>
          <w:szCs w:val="22"/>
          <w:vertAlign w:val="subscript"/>
          <w:lang w:val="en-GB"/>
        </w:rPr>
        <w:t>2</w:t>
      </w:r>
      <w:r w:rsidRPr="5937A937">
        <w:rPr>
          <w:rFonts w:eastAsia="Calibri" w:cs="Calibri"/>
          <w:color w:val="0C0C0C" w:themeColor="text1"/>
          <w:sz w:val="22"/>
          <w:szCs w:val="22"/>
          <w:lang w:val="en-GB"/>
        </w:rPr>
        <w:t xml:space="preserve">eq) is the unit usually adopted on dealing with GHG emissions. It translates the impact of a group of molecules, e.g., </w:t>
      </w:r>
      <w:proofErr w:type="spellStart"/>
      <w:r w:rsidRPr="5937A937">
        <w:rPr>
          <w:rFonts w:eastAsia="Calibri" w:cs="Calibri"/>
          <w:color w:val="0C0C0C" w:themeColor="text1"/>
          <w:sz w:val="22"/>
          <w:szCs w:val="22"/>
          <w:lang w:val="en-GB"/>
        </w:rPr>
        <w:t>CO</w:t>
      </w:r>
      <w:r w:rsidRPr="00C07FF4">
        <w:rPr>
          <w:rFonts w:eastAsia="Calibri" w:cs="Calibri"/>
          <w:color w:val="0C0C0C" w:themeColor="text1"/>
          <w:sz w:val="22"/>
          <w:szCs w:val="22"/>
          <w:vertAlign w:val="subscript"/>
          <w:lang w:val="en-GB"/>
        </w:rPr>
        <w:t>x</w:t>
      </w:r>
      <w:proofErr w:type="spellEnd"/>
      <w:r w:rsidRPr="5937A937">
        <w:rPr>
          <w:rFonts w:eastAsia="Calibri" w:cs="Calibri"/>
          <w:color w:val="0C0C0C" w:themeColor="text1"/>
          <w:sz w:val="22"/>
          <w:szCs w:val="22"/>
          <w:lang w:val="en-GB"/>
        </w:rPr>
        <w:t xml:space="preserve">, NOx, </w:t>
      </w:r>
      <w:proofErr w:type="spellStart"/>
      <w:r w:rsidRPr="5937A937">
        <w:rPr>
          <w:rFonts w:eastAsia="Calibri" w:cs="Calibri"/>
          <w:color w:val="0C0C0C" w:themeColor="text1"/>
          <w:sz w:val="22"/>
          <w:szCs w:val="22"/>
          <w:lang w:val="en-GB"/>
        </w:rPr>
        <w:t>SO</w:t>
      </w:r>
      <w:r w:rsidRPr="00C07FF4">
        <w:rPr>
          <w:rFonts w:eastAsia="Calibri" w:cs="Calibri"/>
          <w:color w:val="0C0C0C" w:themeColor="text1"/>
          <w:sz w:val="22"/>
          <w:szCs w:val="22"/>
          <w:vertAlign w:val="subscript"/>
          <w:lang w:val="en-GB"/>
        </w:rPr>
        <w:t>x</w:t>
      </w:r>
      <w:proofErr w:type="spellEnd"/>
      <w:r w:rsidRPr="5937A937">
        <w:rPr>
          <w:rFonts w:eastAsia="Calibri" w:cs="Calibri"/>
          <w:color w:val="0C0C0C" w:themeColor="text1"/>
          <w:sz w:val="22"/>
          <w:szCs w:val="22"/>
          <w:lang w:val="en-GB"/>
        </w:rPr>
        <w:t xml:space="preserve"> and methane (CH</w:t>
      </w:r>
      <w:r w:rsidRPr="5937A937">
        <w:rPr>
          <w:rFonts w:eastAsia="Calibri" w:cs="Calibri"/>
          <w:color w:val="0C0C0C" w:themeColor="text1"/>
          <w:sz w:val="22"/>
          <w:szCs w:val="22"/>
          <w:vertAlign w:val="subscript"/>
          <w:lang w:val="en-GB"/>
        </w:rPr>
        <w:t>4</w:t>
      </w:r>
      <w:r w:rsidRPr="5937A937">
        <w:rPr>
          <w:rFonts w:eastAsia="Calibri" w:cs="Calibri"/>
          <w:color w:val="0C0C0C" w:themeColor="text1"/>
          <w:sz w:val="22"/>
          <w:szCs w:val="22"/>
          <w:lang w:val="en-GB"/>
        </w:rPr>
        <w:t>), into a common unit expressed as a quantity of CO</w:t>
      </w:r>
      <w:r w:rsidRPr="5937A937">
        <w:rPr>
          <w:rFonts w:eastAsia="Calibri" w:cs="Calibri"/>
          <w:color w:val="0C0C0C" w:themeColor="text1"/>
          <w:sz w:val="22"/>
          <w:szCs w:val="22"/>
          <w:vertAlign w:val="subscript"/>
          <w:lang w:val="en-GB"/>
        </w:rPr>
        <w:t>2</w:t>
      </w:r>
      <w:r w:rsidRPr="5937A937">
        <w:rPr>
          <w:rFonts w:eastAsia="Calibri" w:cs="Calibri"/>
          <w:color w:val="0C0C0C" w:themeColor="text1"/>
          <w:sz w:val="22"/>
          <w:szCs w:val="22"/>
          <w:lang w:val="en-GB"/>
        </w:rPr>
        <w:t>. For example, one unit of CH</w:t>
      </w:r>
      <w:r w:rsidRPr="5937A937">
        <w:rPr>
          <w:rFonts w:eastAsia="Calibri" w:cs="Calibri"/>
          <w:color w:val="0C0C0C" w:themeColor="text1"/>
          <w:sz w:val="22"/>
          <w:szCs w:val="22"/>
          <w:vertAlign w:val="subscript"/>
          <w:lang w:val="en-GB"/>
        </w:rPr>
        <w:t>4</w:t>
      </w:r>
      <w:r w:rsidRPr="5937A937">
        <w:rPr>
          <w:rFonts w:eastAsia="Calibri" w:cs="Calibri"/>
          <w:color w:val="0C0C0C" w:themeColor="text1"/>
          <w:sz w:val="22"/>
          <w:szCs w:val="22"/>
          <w:lang w:val="en-GB"/>
        </w:rPr>
        <w:t xml:space="preserve"> would account for </w:t>
      </w:r>
      <w:r w:rsidR="2FEF1C0E" w:rsidRPr="5937A937">
        <w:rPr>
          <w:rFonts w:eastAsia="Calibri" w:cs="Calibri"/>
          <w:color w:val="0C0C0C" w:themeColor="text1"/>
          <w:sz w:val="22"/>
          <w:szCs w:val="22"/>
          <w:lang w:val="en-GB"/>
        </w:rPr>
        <w:t>approximatively 30</w:t>
      </w:r>
      <w:r w:rsidRPr="5937A937">
        <w:rPr>
          <w:rFonts w:eastAsia="Calibri" w:cs="Calibri"/>
          <w:color w:val="0C0C0C" w:themeColor="text1"/>
          <w:sz w:val="22"/>
          <w:szCs w:val="22"/>
          <w:lang w:val="en-GB"/>
        </w:rPr>
        <w:t xml:space="preserve"> units of CO</w:t>
      </w:r>
      <w:r w:rsidRPr="5937A937">
        <w:rPr>
          <w:rFonts w:eastAsia="Calibri" w:cs="Calibri"/>
          <w:color w:val="0C0C0C" w:themeColor="text1"/>
          <w:sz w:val="22"/>
          <w:szCs w:val="22"/>
          <w:vertAlign w:val="subscript"/>
          <w:lang w:val="en-GB"/>
        </w:rPr>
        <w:t>2</w:t>
      </w:r>
      <w:r w:rsidRPr="5937A937">
        <w:rPr>
          <w:rFonts w:eastAsia="Calibri" w:cs="Calibri"/>
          <w:color w:val="0C0C0C" w:themeColor="text1"/>
          <w:sz w:val="22"/>
          <w:szCs w:val="22"/>
          <w:lang w:val="en-GB"/>
        </w:rPr>
        <w:t>, based on their inherent intensity as greenhouse gas</w:t>
      </w:r>
      <w:r w:rsidR="00182583">
        <w:rPr>
          <w:rFonts w:eastAsia="Calibri" w:cs="Calibri"/>
          <w:color w:val="0C0C0C" w:themeColor="text1"/>
          <w:sz w:val="22"/>
          <w:szCs w:val="22"/>
          <w:lang w:val="en-GB"/>
        </w:rPr>
        <w:t xml:space="preserve"> </w:t>
      </w:r>
      <w:r w:rsidR="0084761F">
        <w:rPr>
          <w:rFonts w:eastAsia="Calibri" w:cs="Calibri"/>
          <w:color w:val="0C0C0C" w:themeColor="text1"/>
          <w:sz w:val="22"/>
          <w:szCs w:val="22"/>
          <w:lang w:val="en-GB"/>
        </w:rPr>
        <w:fldChar w:fldCharType="begin" w:fldLock="1"/>
      </w:r>
      <w:r w:rsidR="0005204F">
        <w:rPr>
          <w:rFonts w:eastAsia="Calibri" w:cs="Calibri"/>
          <w:color w:val="0C0C0C" w:themeColor="text1"/>
          <w:sz w:val="22"/>
          <w:szCs w:val="22"/>
          <w:lang w:val="en-GB"/>
        </w:rPr>
        <w:instrText>ADDIN CSL_CITATION {"citationItems":[{"id":"ITEM-1","itemData":{"abstract":"Contribution of Working Group I to the Fifth Assessment Report of the Intergovernmental","author":[{"dropping-particle":"","family":"Myhre, G.","given":"D.","non-dropping-particle":"","parse-names":false,"suffix":""},{"dropping-particle":"","family":"Shindell","given":"F.‐M.","non-dropping-particle":"","parse-names":false,"suffix":""},{"dropping-particle":"","family":"Bréon","given":"W.","non-dropping-particle":"","parse-names":false,"suffix":""},{"dropping-particle":"","family":"Collins","given":"J.","non-dropping-particle":"","parse-names":false,"suffix":""},{"dropping-particle":"","family":"Fuglestvedt","given":"J.","non-dropping-particle":"","parse-names":false,"suffix":""},{"dropping-particle":"","family":"Huang","given":"D.","non-dropping-particle":"","parse-names":false,"suffix":""},{"dropping-particle":"","family":"Koch","given":"J.‐F.","non-dropping-particle":"","parse-names":false,"suffix":""},{"dropping-particle":"","family":"Lamarque","given":"D.","non-dropping-particle":"","parse-names":false,"suffix":""},{"dropping-particle":"","family":"Lee","given":"B.","non-dropping-particle":"","parse-names":false,"suffix":""},{"dropping-particle":"","family":"Mendoza","given":"T.","non-dropping-particle":"","parse-names":false,"suffix":""},{"dropping-particle":"","family":"Nakajima","given":"A.","non-dropping-particle":"","parse-names":false,"suffix":""},{"dropping-particle":"","family":"Robock","given":"G.","non-dropping-particle":"","parse-names":false,"suffix":""},{"dropping-particle":"","family":"Stephens","given":"T.","non-dropping-particle":"","parse-names":false,"suffix":""},{"dropping-particle":"","family":"Takemura","given":"","non-dropping-particle":"","parse-names":false,"suffix":""},{"dropping-particle":"","family":"Zhang","given":"H.","non-dropping-particle":"","parse-names":false,"suffix":""}],"container-title":"Greenhouse Gas Protocol","id":"ITEM-1","issue":"1995","issued":{"date-parts":[["2015"]]},"page":"2-5","title":"Global Warming Potential Values","type":"article-journal","volume":"2014"},"uris":["http://www.mendeley.com/documents/?uuid=7aee5742-ab6d-4f1b-94ba-1fcbc5cd8013"]}],"mendeley":{"formattedCitation":"(Myhre, G. et al., 2015)","plainTextFormattedCitation":"(Myhre, G. et al., 2015)","previouslyFormattedCitation":"(Myhre, G. et al., 2015)"},"properties":{"noteIndex":0},"schema":"https://github.com/citation-style-language/schema/raw/master/csl-citation.json"}</w:instrText>
      </w:r>
      <w:r w:rsidR="0084761F">
        <w:rPr>
          <w:rFonts w:eastAsia="Calibri" w:cs="Calibri"/>
          <w:color w:val="0C0C0C" w:themeColor="text1"/>
          <w:sz w:val="22"/>
          <w:szCs w:val="22"/>
          <w:lang w:val="en-GB"/>
        </w:rPr>
        <w:fldChar w:fldCharType="separate"/>
      </w:r>
      <w:r w:rsidR="0084761F" w:rsidRPr="0084761F">
        <w:rPr>
          <w:rFonts w:eastAsia="Calibri" w:cs="Calibri"/>
          <w:noProof/>
          <w:color w:val="0C0C0C" w:themeColor="text1"/>
          <w:sz w:val="22"/>
          <w:szCs w:val="22"/>
          <w:lang w:val="en-GB"/>
        </w:rPr>
        <w:t>(Myhre, G. et al., 2015)</w:t>
      </w:r>
      <w:r w:rsidR="0084761F">
        <w:rPr>
          <w:rFonts w:eastAsia="Calibri" w:cs="Calibri"/>
          <w:color w:val="0C0C0C" w:themeColor="text1"/>
          <w:sz w:val="22"/>
          <w:szCs w:val="22"/>
          <w:lang w:val="en-GB"/>
        </w:rPr>
        <w:fldChar w:fldCharType="end"/>
      </w:r>
      <w:r w:rsidR="0084761F">
        <w:rPr>
          <w:rFonts w:eastAsia="Calibri" w:cs="Calibri"/>
          <w:color w:val="0C0C0C" w:themeColor="text1"/>
          <w:sz w:val="22"/>
          <w:szCs w:val="22"/>
          <w:lang w:val="en-GB"/>
        </w:rPr>
        <w:t xml:space="preserve">. </w:t>
      </w:r>
    </w:p>
    <w:p w14:paraId="03C1BFC5" w14:textId="2C6A366F" w:rsidR="00C53804" w:rsidRPr="00650B23" w:rsidRDefault="31A87CC4" w:rsidP="5937A937">
      <w:pPr>
        <w:spacing w:line="360" w:lineRule="auto"/>
        <w:ind w:firstLine="720"/>
        <w:rPr>
          <w:rFonts w:eastAsia="Calibri" w:cs="Calibri"/>
          <w:color w:val="0C0C0C" w:themeColor="text1"/>
          <w:sz w:val="22"/>
          <w:szCs w:val="22"/>
          <w:lang w:val="en-GB"/>
        </w:rPr>
      </w:pPr>
      <w:r w:rsidRPr="5937A937">
        <w:rPr>
          <w:rFonts w:eastAsia="Calibri" w:cs="Calibri"/>
          <w:color w:val="0C0C0C" w:themeColor="text1"/>
          <w:sz w:val="22"/>
          <w:szCs w:val="22"/>
          <w:lang w:val="en-GB"/>
        </w:rPr>
        <w:t>The life cycle emissions are quantified through the life cycle analysis (LCA) methodology, which considers the emissions from w</w:t>
      </w:r>
      <w:r w:rsidR="1592BB93" w:rsidRPr="5937A937">
        <w:rPr>
          <w:rFonts w:eastAsia="Calibri" w:cs="Calibri"/>
          <w:color w:val="0C0C0C" w:themeColor="text1"/>
          <w:sz w:val="22"/>
          <w:szCs w:val="22"/>
          <w:lang w:val="en-GB"/>
        </w:rPr>
        <w:t>ell</w:t>
      </w:r>
      <w:r w:rsidRPr="5937A937">
        <w:rPr>
          <w:rFonts w:eastAsia="Calibri" w:cs="Calibri"/>
          <w:color w:val="0C0C0C" w:themeColor="text1"/>
          <w:sz w:val="22"/>
          <w:szCs w:val="22"/>
          <w:lang w:val="en-GB"/>
        </w:rPr>
        <w:t>-to-w</w:t>
      </w:r>
      <w:r w:rsidR="7B4481D1" w:rsidRPr="5937A937">
        <w:rPr>
          <w:rFonts w:eastAsia="Calibri" w:cs="Calibri"/>
          <w:color w:val="0C0C0C" w:themeColor="text1"/>
          <w:sz w:val="22"/>
          <w:szCs w:val="22"/>
          <w:lang w:val="en-GB"/>
        </w:rPr>
        <w:t>ake</w:t>
      </w:r>
      <w:r w:rsidRPr="5937A937">
        <w:rPr>
          <w:rFonts w:eastAsia="Calibri" w:cs="Calibri"/>
          <w:color w:val="0C0C0C" w:themeColor="text1"/>
          <w:sz w:val="22"/>
          <w:szCs w:val="22"/>
          <w:lang w:val="en-GB"/>
        </w:rPr>
        <w:t xml:space="preserve"> of the given fuel. Taking ammonia as an example, the LCA will consider the energy</w:t>
      </w:r>
      <w:r w:rsidR="49CB4C7E" w:rsidRPr="5937A937">
        <w:rPr>
          <w:rFonts w:eastAsia="Calibri" w:cs="Calibri"/>
          <w:color w:val="0C0C0C" w:themeColor="text1"/>
          <w:sz w:val="22"/>
          <w:szCs w:val="22"/>
          <w:lang w:val="en-GB"/>
        </w:rPr>
        <w:t xml:space="preserve"> and</w:t>
      </w:r>
      <w:r w:rsidRPr="5937A937">
        <w:rPr>
          <w:rFonts w:eastAsia="Calibri" w:cs="Calibri"/>
          <w:color w:val="0C0C0C" w:themeColor="text1"/>
          <w:sz w:val="22"/>
          <w:szCs w:val="22"/>
          <w:lang w:val="en-GB"/>
        </w:rPr>
        <w:t xml:space="preserve"> material inputs </w:t>
      </w:r>
      <w:r w:rsidR="79EE0330" w:rsidRPr="5937A937">
        <w:rPr>
          <w:rFonts w:eastAsia="Calibri" w:cs="Calibri"/>
          <w:color w:val="0C0C0C" w:themeColor="text1"/>
          <w:sz w:val="22"/>
          <w:szCs w:val="22"/>
          <w:lang w:val="en-GB"/>
        </w:rPr>
        <w:t>consum</w:t>
      </w:r>
      <w:r w:rsidRPr="5937A937">
        <w:rPr>
          <w:rFonts w:eastAsia="Calibri" w:cs="Calibri"/>
          <w:color w:val="0C0C0C" w:themeColor="text1"/>
          <w:sz w:val="22"/>
          <w:szCs w:val="22"/>
          <w:lang w:val="en-GB"/>
        </w:rPr>
        <w:t xml:space="preserve">ed </w:t>
      </w:r>
      <w:r w:rsidR="0C9D943B" w:rsidRPr="5937A937">
        <w:rPr>
          <w:rFonts w:eastAsia="Calibri" w:cs="Calibri"/>
          <w:color w:val="0C0C0C" w:themeColor="text1"/>
          <w:sz w:val="22"/>
          <w:szCs w:val="22"/>
          <w:lang w:val="en-GB"/>
        </w:rPr>
        <w:t>along the production chain, including</w:t>
      </w:r>
      <w:r w:rsidR="5FA70C2D" w:rsidRPr="5937A937">
        <w:rPr>
          <w:rFonts w:eastAsia="Calibri" w:cs="Calibri"/>
          <w:color w:val="0C0C0C" w:themeColor="text1"/>
          <w:sz w:val="22"/>
          <w:szCs w:val="22"/>
          <w:lang w:val="en-GB"/>
        </w:rPr>
        <w:t xml:space="preserve"> emissions </w:t>
      </w:r>
      <w:r w:rsidR="15AC2722" w:rsidRPr="5937A937">
        <w:rPr>
          <w:rFonts w:eastAsia="Calibri" w:cs="Calibri"/>
          <w:color w:val="0C0C0C" w:themeColor="text1"/>
          <w:sz w:val="22"/>
          <w:szCs w:val="22"/>
          <w:lang w:val="en-GB"/>
        </w:rPr>
        <w:t>related</w:t>
      </w:r>
      <w:r w:rsidR="0C9D943B" w:rsidRPr="5937A937">
        <w:rPr>
          <w:rFonts w:eastAsia="Calibri" w:cs="Calibri"/>
          <w:color w:val="0C0C0C" w:themeColor="text1"/>
          <w:sz w:val="22"/>
          <w:szCs w:val="22"/>
          <w:lang w:val="en-GB"/>
        </w:rPr>
        <w:t xml:space="preserve"> </w:t>
      </w:r>
      <w:r w:rsidRPr="5937A937">
        <w:rPr>
          <w:rFonts w:eastAsia="Calibri" w:cs="Calibri"/>
          <w:color w:val="0C0C0C" w:themeColor="text1"/>
          <w:sz w:val="22"/>
          <w:szCs w:val="22"/>
          <w:lang w:val="en-GB"/>
        </w:rPr>
        <w:t>to H</w:t>
      </w:r>
      <w:r w:rsidRPr="5937A937">
        <w:rPr>
          <w:rFonts w:eastAsia="Calibri" w:cs="Calibri"/>
          <w:color w:val="0C0C0C" w:themeColor="text1"/>
          <w:sz w:val="22"/>
          <w:szCs w:val="22"/>
          <w:vertAlign w:val="subscript"/>
          <w:lang w:val="en-GB"/>
        </w:rPr>
        <w:t>2</w:t>
      </w:r>
      <w:r w:rsidRPr="5937A937">
        <w:rPr>
          <w:rFonts w:eastAsia="Calibri" w:cs="Calibri"/>
          <w:color w:val="0C0C0C" w:themeColor="text1"/>
          <w:sz w:val="22"/>
          <w:szCs w:val="22"/>
          <w:lang w:val="en-GB"/>
        </w:rPr>
        <w:t xml:space="preserve"> and N</w:t>
      </w:r>
      <w:r w:rsidRPr="5937A937">
        <w:rPr>
          <w:rFonts w:eastAsia="Calibri" w:cs="Calibri"/>
          <w:color w:val="0C0C0C" w:themeColor="text1"/>
          <w:sz w:val="22"/>
          <w:szCs w:val="22"/>
          <w:vertAlign w:val="subscript"/>
          <w:lang w:val="en-GB"/>
        </w:rPr>
        <w:t>2</w:t>
      </w:r>
      <w:r w:rsidRPr="5937A937">
        <w:rPr>
          <w:rFonts w:eastAsia="Calibri" w:cs="Calibri"/>
          <w:color w:val="0C0C0C" w:themeColor="text1"/>
          <w:sz w:val="22"/>
          <w:szCs w:val="22"/>
          <w:lang w:val="en-GB"/>
        </w:rPr>
        <w:t xml:space="preserve"> production</w:t>
      </w:r>
      <w:r w:rsidR="2B50A843" w:rsidRPr="5937A937">
        <w:rPr>
          <w:rFonts w:eastAsia="Calibri" w:cs="Calibri"/>
          <w:color w:val="0C0C0C" w:themeColor="text1"/>
          <w:sz w:val="22"/>
          <w:szCs w:val="22"/>
          <w:lang w:val="en-GB"/>
        </w:rPr>
        <w:t>. LCA will also account emission for material disposal</w:t>
      </w:r>
      <w:r w:rsidR="0005204F">
        <w:rPr>
          <w:rFonts w:eastAsia="Calibri" w:cs="Calibri"/>
          <w:color w:val="0C0C0C" w:themeColor="text1"/>
          <w:sz w:val="22"/>
          <w:szCs w:val="22"/>
          <w:lang w:val="en-GB"/>
        </w:rPr>
        <w:t xml:space="preserve"> </w:t>
      </w:r>
      <w:r w:rsidR="0005204F">
        <w:rPr>
          <w:rFonts w:eastAsia="Calibri" w:cs="Calibri"/>
          <w:color w:val="0C0C0C" w:themeColor="text1"/>
          <w:sz w:val="22"/>
          <w:szCs w:val="22"/>
          <w:lang w:val="en-GB"/>
        </w:rPr>
        <w:fldChar w:fldCharType="begin" w:fldLock="1"/>
      </w:r>
      <w:r w:rsidR="009F7EC4">
        <w:rPr>
          <w:rFonts w:eastAsia="Calibri" w:cs="Calibri"/>
          <w:color w:val="0C0C0C" w:themeColor="text1"/>
          <w:sz w:val="22"/>
          <w:szCs w:val="22"/>
          <w:lang w:val="en-GB"/>
        </w:rPr>
        <w:instrText>ADDIN CSL_CITATION {"citationItems":[{"id":"ITEM-1","itemData":{"ISBN":"978-1-78252-422-9","abstract":"The need to achieve net-zero greenhouse gas emissions from all human activities has never been clearer. One area requiring urgent action is the transition from the use of fossil fuels for transport. Whilst the decarbonisation of electricity is progressing and many transport modes can feasibly be electrified, some transport modes, such as heavy-duty vehicles, aircraft and shipping will require different technological options. Sustainable synthetic fuels offer one solution. What are sustainable synthetic fuels? They are carbon based fuels made from non-fossil resources, with energy densities similar to fossil fuels. This means that they can be transported using existing infrastructure and used in existing engines with little or no modification. The report considers two types of sustainable synthetic fuels: electro fuels (efuels) and synthetic biofuels. Efuels are made by combining hydrogen (from for example the electrolysis of water) with carbon dioxide (from direct air capture or a point source). Synthetic biofuels can be made from biological material (for example waste from forestry) or from further processing biofuels (for example ethanol). Whilst synthetic fuels can be “dropped in” to existing engines, they are currently more expensive than fossil fuels and, in the case of efuels, could be thought of as an inefficient use of renewable electricity. However, where renewable electricity is cheap and plentiful, the manufacture and export of bulk efuels might make economic sense. Key research challenges identified include improving the fundamental understanding of catalysis; the need to produce cheap low-carbon hydrogen at scale; and developing sources of competitively priced low carbon energy are key to the development of synthetic efuels and biofuels. The UK has the research skills and capacity to improve many of these process steps such as in catalysis and biotechnology, and to provide a further area of UK leadership in low-carbon energy.","author":[{"dropping-particle":"","family":"The Royal Society","given":"","non-dropping-particle":"","parse-names":false,"suffix":""}],"id":"ITEM-1","issued":{"date-parts":[["2019"]]},"title":"Sustainable synthetic carbon based fuels for transport","type":"book"},"uris":["http://www.mendeley.com/documents/?uuid=bbfc26f9-f9ca-47eb-bd26-485d0e9da855"]}],"mendeley":{"formattedCitation":"(The Royal Society, 2019)","plainTextFormattedCitation":"(The Royal Society, 2019)","previouslyFormattedCitation":"(The Royal Society, 2019)"},"properties":{"noteIndex":0},"schema":"https://github.com/citation-style-language/schema/raw/master/csl-citation.json"}</w:instrText>
      </w:r>
      <w:r w:rsidR="0005204F">
        <w:rPr>
          <w:rFonts w:eastAsia="Calibri" w:cs="Calibri"/>
          <w:color w:val="0C0C0C" w:themeColor="text1"/>
          <w:sz w:val="22"/>
          <w:szCs w:val="22"/>
          <w:lang w:val="en-GB"/>
        </w:rPr>
        <w:fldChar w:fldCharType="separate"/>
      </w:r>
      <w:r w:rsidR="0005204F" w:rsidRPr="0005204F">
        <w:rPr>
          <w:rFonts w:eastAsia="Calibri" w:cs="Calibri"/>
          <w:noProof/>
          <w:color w:val="0C0C0C" w:themeColor="text1"/>
          <w:sz w:val="22"/>
          <w:szCs w:val="22"/>
          <w:lang w:val="en-GB"/>
        </w:rPr>
        <w:t>(The Royal Society, 2019)</w:t>
      </w:r>
      <w:r w:rsidR="0005204F">
        <w:rPr>
          <w:rFonts w:eastAsia="Calibri" w:cs="Calibri"/>
          <w:color w:val="0C0C0C" w:themeColor="text1"/>
          <w:sz w:val="22"/>
          <w:szCs w:val="22"/>
          <w:lang w:val="en-GB"/>
        </w:rPr>
        <w:fldChar w:fldCharType="end"/>
      </w:r>
      <w:r w:rsidR="2B50A843" w:rsidRPr="5937A937">
        <w:rPr>
          <w:rFonts w:eastAsia="Calibri" w:cs="Calibri"/>
          <w:color w:val="0C0C0C" w:themeColor="text1"/>
          <w:sz w:val="22"/>
          <w:szCs w:val="22"/>
          <w:lang w:val="en-GB"/>
        </w:rPr>
        <w:t>.</w:t>
      </w:r>
    </w:p>
    <w:p w14:paraId="5D65D063" w14:textId="045BE8B7" w:rsidR="00C53804" w:rsidRDefault="056C4D2F" w:rsidP="5937A937">
      <w:pPr>
        <w:spacing w:line="360" w:lineRule="auto"/>
        <w:ind w:firstLine="720"/>
        <w:rPr>
          <w:rFonts w:eastAsia="Calibri" w:cs="Calibri"/>
          <w:color w:val="0C0C0C" w:themeColor="text1"/>
          <w:sz w:val="22"/>
          <w:szCs w:val="22"/>
          <w:lang w:val="en-GB"/>
        </w:rPr>
      </w:pPr>
      <w:r w:rsidRPr="5937A937">
        <w:rPr>
          <w:rFonts w:eastAsia="Calibri" w:cs="Calibri"/>
          <w:color w:val="0C0C0C" w:themeColor="text1"/>
          <w:sz w:val="22"/>
          <w:szCs w:val="22"/>
          <w:lang w:val="en-GB"/>
        </w:rPr>
        <w:t xml:space="preserve">The details of LCA are beyond the scope of this report, but it is valid to highlight that for each of the fuels addressed here, the LCA will consider the production particularities involved, including feedstock production, transport, </w:t>
      </w:r>
      <w:proofErr w:type="gramStart"/>
      <w:r w:rsidRPr="5937A937">
        <w:rPr>
          <w:rFonts w:eastAsia="Calibri" w:cs="Calibri"/>
          <w:color w:val="0C0C0C" w:themeColor="text1"/>
          <w:sz w:val="22"/>
          <w:szCs w:val="22"/>
          <w:lang w:val="en-GB"/>
        </w:rPr>
        <w:t>conversion</w:t>
      </w:r>
      <w:proofErr w:type="gramEnd"/>
      <w:r w:rsidRPr="5937A937">
        <w:rPr>
          <w:rFonts w:eastAsia="Calibri" w:cs="Calibri"/>
          <w:color w:val="0C0C0C" w:themeColor="text1"/>
          <w:sz w:val="22"/>
          <w:szCs w:val="22"/>
          <w:lang w:val="en-GB"/>
        </w:rPr>
        <w:t xml:space="preserve"> and combustion - fuels cells when applicable. Considering the variables </w:t>
      </w:r>
      <w:r w:rsidRPr="5937A937">
        <w:rPr>
          <w:rFonts w:eastAsia="Calibri" w:cs="Calibri"/>
          <w:color w:val="0C0C0C" w:themeColor="text1"/>
          <w:sz w:val="22"/>
          <w:szCs w:val="22"/>
          <w:lang w:val="en-GB"/>
        </w:rPr>
        <w:lastRenderedPageBreak/>
        <w:t xml:space="preserve">involved and the possible production methods, the range of GHG emissions and potential GHG reduction for each of the alternatives addressed in this report are depicted in Figure 5 and Table 2. </w:t>
      </w:r>
    </w:p>
    <w:p w14:paraId="15D03F33" w14:textId="5190C84B" w:rsidR="00C53804" w:rsidRPr="00B55ADC" w:rsidRDefault="001C01FE" w:rsidP="5937A937">
      <w:pPr>
        <w:spacing w:line="360" w:lineRule="auto"/>
        <w:ind w:firstLine="720"/>
        <w:rPr>
          <w:sz w:val="22"/>
          <w:szCs w:val="22"/>
          <w:lang w:val="en-GB"/>
        </w:rPr>
      </w:pPr>
      <w:r w:rsidRPr="00B55ADC">
        <w:rPr>
          <w:sz w:val="22"/>
          <w:szCs w:val="22"/>
        </w:rPr>
        <w:t xml:space="preserve">In RED II, article 31 and annexes V and VI deal with GHG emission quantification. Part C of annex V </w:t>
      </w:r>
      <w:proofErr w:type="gramStart"/>
      <w:r w:rsidRPr="00B55ADC">
        <w:rPr>
          <w:sz w:val="22"/>
          <w:szCs w:val="22"/>
        </w:rPr>
        <w:t>describes  the</w:t>
      </w:r>
      <w:proofErr w:type="gramEnd"/>
      <w:r w:rsidRPr="00B55ADC">
        <w:rPr>
          <w:sz w:val="22"/>
          <w:szCs w:val="22"/>
        </w:rPr>
        <w:t xml:space="preserve"> calculation methodology, which follows the LCA principle, accounting emissions from raw material cultivation and extraction to end use.</w:t>
      </w:r>
    </w:p>
    <w:p w14:paraId="12585A90" w14:textId="77777777" w:rsidR="00092EB5" w:rsidRDefault="056C4D2F" w:rsidP="00092EB5">
      <w:pPr>
        <w:keepNext/>
        <w:spacing w:line="360" w:lineRule="auto"/>
        <w:ind w:firstLine="720"/>
      </w:pPr>
      <w:r w:rsidRPr="5937A937">
        <w:rPr>
          <w:rFonts w:eastAsia="Calibri" w:cs="Calibri"/>
          <w:color w:val="0C0C0C" w:themeColor="text1"/>
          <w:sz w:val="22"/>
          <w:szCs w:val="22"/>
          <w:lang w:val="en-GB"/>
        </w:rPr>
        <w:t xml:space="preserve"> </w:t>
      </w:r>
      <w:r>
        <w:rPr>
          <w:noProof/>
        </w:rPr>
        <w:drawing>
          <wp:inline distT="0" distB="0" distL="0" distR="0" wp14:anchorId="64205454" wp14:editId="20A998E3">
            <wp:extent cx="4572000" cy="2705100"/>
            <wp:effectExtent l="0" t="0" r="0" b="0"/>
            <wp:docPr id="36385306" name="Picture 36385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572000" cy="2705100"/>
                    </a:xfrm>
                    <a:prstGeom prst="rect">
                      <a:avLst/>
                    </a:prstGeom>
                  </pic:spPr>
                </pic:pic>
              </a:graphicData>
            </a:graphic>
          </wp:inline>
        </w:drawing>
      </w:r>
    </w:p>
    <w:p w14:paraId="1D6C37BC" w14:textId="535D3D09" w:rsidR="00C53804" w:rsidRPr="00650B23" w:rsidRDefault="00092EB5" w:rsidP="00092EB5">
      <w:pPr>
        <w:pStyle w:val="Caption"/>
        <w:rPr>
          <w:szCs w:val="21"/>
        </w:rPr>
      </w:pPr>
      <w:bookmarkStart w:id="27" w:name="_Toc85627883"/>
      <w:r>
        <w:t xml:space="preserve">Figure </w:t>
      </w:r>
      <w:fldSimple w:instr=" SEQ Figure \* ARABIC ">
        <w:r w:rsidR="008027AE">
          <w:rPr>
            <w:noProof/>
          </w:rPr>
          <w:t>5</w:t>
        </w:r>
      </w:fldSimple>
      <w:r>
        <w:t xml:space="preserve">. </w:t>
      </w:r>
      <w:r w:rsidRPr="00C76F61">
        <w:t>Emission profile for different fuels considering production background emissions</w:t>
      </w:r>
      <w:r>
        <w:t xml:space="preserve"> </w:t>
      </w:r>
      <w:r w:rsidRPr="00C76F61">
        <w:t>(</w:t>
      </w:r>
      <w:r>
        <w:t>a</w:t>
      </w:r>
      <w:r w:rsidRPr="00C76F61">
        <w:t>dapted from Balcombe 2018)</w:t>
      </w:r>
      <w:bookmarkEnd w:id="27"/>
    </w:p>
    <w:p w14:paraId="7F462FF4" w14:textId="44D81BE6" w:rsidR="00C53804" w:rsidRPr="00650B23" w:rsidRDefault="056C4D2F" w:rsidP="5937A937">
      <w:pPr>
        <w:spacing w:line="360" w:lineRule="auto"/>
        <w:jc w:val="center"/>
      </w:pPr>
      <w:r w:rsidRPr="5937A937">
        <w:rPr>
          <w:rFonts w:ascii="Times New Roman" w:hAnsi="Times New Roman"/>
          <w:szCs w:val="21"/>
          <w:lang w:val="en-GB"/>
        </w:rPr>
        <w:t xml:space="preserve"> </w:t>
      </w:r>
    </w:p>
    <w:p w14:paraId="065E7F0A" w14:textId="1AA619CE" w:rsidR="00C53804" w:rsidRPr="00650B23" w:rsidRDefault="056C4D2F" w:rsidP="5937A937">
      <w:pPr>
        <w:spacing w:line="360" w:lineRule="auto"/>
        <w:jc w:val="center"/>
      </w:pPr>
      <w:r w:rsidRPr="5937A937">
        <w:rPr>
          <w:rFonts w:eastAsia="Calibri" w:cs="Calibri"/>
          <w:b/>
          <w:bCs/>
          <w:color w:val="4C565C"/>
          <w:sz w:val="18"/>
          <w:szCs w:val="18"/>
          <w:lang w:val="en-GB"/>
        </w:rPr>
        <w:t>Table 2. Carbon savings from alternative fuels in comparison to HFO/MDO counterpart.</w:t>
      </w:r>
    </w:p>
    <w:tbl>
      <w:tblPr>
        <w:tblStyle w:val="TableGrid"/>
        <w:tblW w:w="0" w:type="auto"/>
        <w:jc w:val="center"/>
        <w:tblLayout w:type="fixed"/>
        <w:tblLook w:val="06A0" w:firstRow="1" w:lastRow="0" w:firstColumn="1" w:lastColumn="0" w:noHBand="1" w:noVBand="1"/>
      </w:tblPr>
      <w:tblGrid>
        <w:gridCol w:w="2160"/>
        <w:gridCol w:w="2160"/>
      </w:tblGrid>
      <w:tr w:rsidR="5937A937" w14:paraId="77B3DD54" w14:textId="77777777" w:rsidTr="5937A937">
        <w:trPr>
          <w:jc w:val="center"/>
        </w:trPr>
        <w:tc>
          <w:tcPr>
            <w:tcW w:w="2160" w:type="dxa"/>
            <w:tcBorders>
              <w:top w:val="single" w:sz="8" w:space="0" w:color="0C0C0C" w:themeColor="text1"/>
              <w:left w:val="nil"/>
              <w:bottom w:val="single" w:sz="8" w:space="0" w:color="000000"/>
              <w:right w:val="nil"/>
            </w:tcBorders>
            <w:vAlign w:val="center"/>
          </w:tcPr>
          <w:p w14:paraId="07B52E9C" w14:textId="25ACBB11" w:rsidR="5937A937" w:rsidRDefault="5937A937" w:rsidP="00357301">
            <w:pPr>
              <w:spacing w:before="120" w:after="120"/>
              <w:jc w:val="center"/>
            </w:pPr>
            <w:r w:rsidRPr="5937A937">
              <w:rPr>
                <w:rFonts w:eastAsia="Calibri" w:cs="Calibri"/>
                <w:b/>
                <w:bCs/>
                <w:sz w:val="18"/>
                <w:szCs w:val="18"/>
                <w:lang w:val="en-GB"/>
              </w:rPr>
              <w:t>Fuel</w:t>
            </w:r>
          </w:p>
        </w:tc>
        <w:tc>
          <w:tcPr>
            <w:tcW w:w="2160" w:type="dxa"/>
            <w:tcBorders>
              <w:top w:val="single" w:sz="8" w:space="0" w:color="0C0C0C" w:themeColor="text1"/>
              <w:left w:val="nil"/>
              <w:bottom w:val="single" w:sz="8" w:space="0" w:color="000000"/>
              <w:right w:val="nil"/>
            </w:tcBorders>
            <w:vAlign w:val="center"/>
          </w:tcPr>
          <w:p w14:paraId="603783E3" w14:textId="606D5AE5" w:rsidR="5937A937" w:rsidRDefault="5937A937" w:rsidP="00357301">
            <w:pPr>
              <w:spacing w:before="120" w:after="120"/>
              <w:jc w:val="center"/>
            </w:pPr>
            <w:r w:rsidRPr="5937A937">
              <w:rPr>
                <w:rFonts w:eastAsia="Calibri" w:cs="Calibri"/>
                <w:b/>
                <w:bCs/>
                <w:sz w:val="18"/>
                <w:szCs w:val="18"/>
                <w:lang w:val="en-GB"/>
              </w:rPr>
              <w:t>Carbon Saving Potential (%)</w:t>
            </w:r>
          </w:p>
        </w:tc>
      </w:tr>
      <w:tr w:rsidR="5937A937" w14:paraId="1FABE1E6" w14:textId="77777777" w:rsidTr="5937A937">
        <w:trPr>
          <w:jc w:val="center"/>
        </w:trPr>
        <w:tc>
          <w:tcPr>
            <w:tcW w:w="2160" w:type="dxa"/>
            <w:tcBorders>
              <w:top w:val="single" w:sz="8" w:space="0" w:color="000000"/>
              <w:left w:val="nil"/>
              <w:bottom w:val="nil"/>
              <w:right w:val="nil"/>
            </w:tcBorders>
            <w:vAlign w:val="center"/>
          </w:tcPr>
          <w:p w14:paraId="5FDF6E89" w14:textId="5F81EA27" w:rsidR="5937A937" w:rsidRDefault="5937A937" w:rsidP="00357301">
            <w:pPr>
              <w:spacing w:before="120" w:after="120"/>
              <w:jc w:val="center"/>
            </w:pPr>
            <w:r w:rsidRPr="5937A937">
              <w:rPr>
                <w:rFonts w:eastAsia="Calibri" w:cs="Calibri"/>
                <w:sz w:val="18"/>
                <w:szCs w:val="18"/>
                <w:lang w:val="en-GB"/>
              </w:rPr>
              <w:t>LNG</w:t>
            </w:r>
          </w:p>
        </w:tc>
        <w:tc>
          <w:tcPr>
            <w:tcW w:w="2160" w:type="dxa"/>
            <w:tcBorders>
              <w:top w:val="single" w:sz="8" w:space="0" w:color="000000"/>
              <w:left w:val="nil"/>
              <w:bottom w:val="nil"/>
              <w:right w:val="nil"/>
            </w:tcBorders>
            <w:vAlign w:val="center"/>
          </w:tcPr>
          <w:p w14:paraId="295912CF" w14:textId="19DCEA7C" w:rsidR="5937A937" w:rsidRDefault="5937A937" w:rsidP="00357301">
            <w:pPr>
              <w:spacing w:before="120" w:after="120"/>
              <w:jc w:val="center"/>
            </w:pPr>
            <w:r w:rsidRPr="5937A937">
              <w:rPr>
                <w:rFonts w:eastAsia="Calibri" w:cs="Calibri"/>
                <w:sz w:val="18"/>
                <w:szCs w:val="18"/>
                <w:lang w:val="en-GB"/>
              </w:rPr>
              <w:t>- 5</w:t>
            </w:r>
            <w:r w:rsidR="00EC607B">
              <w:rPr>
                <w:rFonts w:eastAsia="Calibri" w:cs="Calibri"/>
                <w:sz w:val="18"/>
                <w:szCs w:val="18"/>
                <w:lang w:val="en-GB"/>
              </w:rPr>
              <w:t>*</w:t>
            </w:r>
            <w:r w:rsidRPr="5937A937">
              <w:rPr>
                <w:rFonts w:eastAsia="Calibri" w:cs="Calibri"/>
                <w:sz w:val="18"/>
                <w:szCs w:val="18"/>
                <w:lang w:val="en-GB"/>
              </w:rPr>
              <w:t xml:space="preserve"> </w:t>
            </w:r>
            <w:r w:rsidR="262F08ED" w:rsidRPr="5937A937">
              <w:rPr>
                <w:rFonts w:eastAsia="Calibri" w:cs="Calibri"/>
                <w:sz w:val="18"/>
                <w:szCs w:val="18"/>
                <w:lang w:val="en-GB"/>
              </w:rPr>
              <w:t xml:space="preserve">to </w:t>
            </w:r>
            <w:r w:rsidRPr="5937A937">
              <w:rPr>
                <w:rFonts w:eastAsia="Calibri" w:cs="Calibri"/>
                <w:sz w:val="18"/>
                <w:szCs w:val="18"/>
                <w:lang w:val="en-GB"/>
              </w:rPr>
              <w:t>25 %</w:t>
            </w:r>
          </w:p>
        </w:tc>
      </w:tr>
      <w:tr w:rsidR="5937A937" w14:paraId="2AA64C86" w14:textId="77777777" w:rsidTr="5937A937">
        <w:trPr>
          <w:jc w:val="center"/>
        </w:trPr>
        <w:tc>
          <w:tcPr>
            <w:tcW w:w="2160" w:type="dxa"/>
            <w:tcBorders>
              <w:top w:val="nil"/>
              <w:left w:val="nil"/>
              <w:bottom w:val="nil"/>
              <w:right w:val="nil"/>
            </w:tcBorders>
            <w:vAlign w:val="center"/>
          </w:tcPr>
          <w:p w14:paraId="5D124EA3" w14:textId="585FE878" w:rsidR="5937A937" w:rsidRDefault="5937A937" w:rsidP="00357301">
            <w:pPr>
              <w:spacing w:before="120" w:after="120"/>
              <w:jc w:val="center"/>
            </w:pPr>
            <w:r w:rsidRPr="5937A937">
              <w:rPr>
                <w:rFonts w:eastAsia="Calibri" w:cs="Calibri"/>
                <w:sz w:val="18"/>
                <w:szCs w:val="18"/>
                <w:lang w:val="en-GB"/>
              </w:rPr>
              <w:t>Methanol</w:t>
            </w:r>
          </w:p>
        </w:tc>
        <w:tc>
          <w:tcPr>
            <w:tcW w:w="2160" w:type="dxa"/>
            <w:tcBorders>
              <w:top w:val="nil"/>
              <w:left w:val="nil"/>
              <w:bottom w:val="nil"/>
              <w:right w:val="nil"/>
            </w:tcBorders>
            <w:vAlign w:val="center"/>
          </w:tcPr>
          <w:p w14:paraId="3C12D0D5" w14:textId="4B1C650C" w:rsidR="5937A937" w:rsidRDefault="5937A937" w:rsidP="00357301">
            <w:pPr>
              <w:spacing w:before="120" w:after="120"/>
              <w:jc w:val="center"/>
            </w:pPr>
            <w:r w:rsidRPr="5937A937">
              <w:rPr>
                <w:rFonts w:eastAsia="Calibri" w:cs="Calibri"/>
                <w:sz w:val="18"/>
                <w:szCs w:val="18"/>
                <w:lang w:val="en-GB"/>
              </w:rPr>
              <w:t>- 20</w:t>
            </w:r>
            <w:r w:rsidR="00EC607B">
              <w:rPr>
                <w:rFonts w:eastAsia="Calibri" w:cs="Calibri"/>
                <w:sz w:val="18"/>
                <w:szCs w:val="18"/>
                <w:lang w:val="en-GB"/>
              </w:rPr>
              <w:t>*</w:t>
            </w:r>
            <w:r w:rsidRPr="5937A937">
              <w:rPr>
                <w:rFonts w:eastAsia="Calibri" w:cs="Calibri"/>
                <w:sz w:val="18"/>
                <w:szCs w:val="18"/>
                <w:lang w:val="en-GB"/>
              </w:rPr>
              <w:t xml:space="preserve"> to 5 %</w:t>
            </w:r>
          </w:p>
        </w:tc>
      </w:tr>
      <w:tr w:rsidR="5937A937" w14:paraId="6F3D52B4" w14:textId="77777777" w:rsidTr="5937A937">
        <w:trPr>
          <w:jc w:val="center"/>
        </w:trPr>
        <w:tc>
          <w:tcPr>
            <w:tcW w:w="2160" w:type="dxa"/>
            <w:tcBorders>
              <w:top w:val="nil"/>
              <w:left w:val="nil"/>
              <w:bottom w:val="nil"/>
              <w:right w:val="nil"/>
            </w:tcBorders>
            <w:vAlign w:val="center"/>
          </w:tcPr>
          <w:p w14:paraId="0CDF8CB4" w14:textId="3BB06B82" w:rsidR="5937A937" w:rsidRDefault="5937A937" w:rsidP="00357301">
            <w:pPr>
              <w:spacing w:before="120" w:after="120"/>
              <w:jc w:val="center"/>
            </w:pPr>
            <w:r w:rsidRPr="5937A937">
              <w:rPr>
                <w:rFonts w:eastAsia="Calibri" w:cs="Calibri"/>
                <w:sz w:val="18"/>
                <w:szCs w:val="18"/>
                <w:lang w:val="en-GB"/>
              </w:rPr>
              <w:t>Hydrogen</w:t>
            </w:r>
          </w:p>
        </w:tc>
        <w:tc>
          <w:tcPr>
            <w:tcW w:w="2160" w:type="dxa"/>
            <w:tcBorders>
              <w:top w:val="nil"/>
              <w:left w:val="nil"/>
              <w:bottom w:val="nil"/>
              <w:right w:val="nil"/>
            </w:tcBorders>
            <w:vAlign w:val="center"/>
          </w:tcPr>
          <w:p w14:paraId="7755204D" w14:textId="1B5D5A93" w:rsidR="5937A937" w:rsidRDefault="5937A937" w:rsidP="00357301">
            <w:pPr>
              <w:spacing w:before="120" w:after="120"/>
              <w:jc w:val="center"/>
            </w:pPr>
            <w:r w:rsidRPr="5937A937">
              <w:rPr>
                <w:rFonts w:eastAsia="Calibri" w:cs="Calibri"/>
                <w:sz w:val="18"/>
                <w:szCs w:val="18"/>
                <w:lang w:val="en-GB"/>
              </w:rPr>
              <w:t>- 20</w:t>
            </w:r>
            <w:r w:rsidR="00EC607B">
              <w:rPr>
                <w:rFonts w:eastAsia="Calibri" w:cs="Calibri"/>
                <w:sz w:val="18"/>
                <w:szCs w:val="18"/>
                <w:lang w:val="en-GB"/>
              </w:rPr>
              <w:t>*</w:t>
            </w:r>
            <w:r w:rsidRPr="5937A937">
              <w:rPr>
                <w:rFonts w:eastAsia="Calibri" w:cs="Calibri"/>
                <w:sz w:val="18"/>
                <w:szCs w:val="18"/>
                <w:lang w:val="en-GB"/>
              </w:rPr>
              <w:t xml:space="preserve"> to 100 %</w:t>
            </w:r>
          </w:p>
        </w:tc>
      </w:tr>
      <w:tr w:rsidR="5937A937" w14:paraId="4735EE05" w14:textId="77777777" w:rsidTr="5937A937">
        <w:trPr>
          <w:jc w:val="center"/>
        </w:trPr>
        <w:tc>
          <w:tcPr>
            <w:tcW w:w="2160" w:type="dxa"/>
            <w:tcBorders>
              <w:top w:val="nil"/>
              <w:left w:val="nil"/>
              <w:bottom w:val="nil"/>
              <w:right w:val="nil"/>
            </w:tcBorders>
            <w:vAlign w:val="center"/>
          </w:tcPr>
          <w:p w14:paraId="3CA81DC5" w14:textId="204741E5" w:rsidR="5937A937" w:rsidRDefault="5937A937" w:rsidP="00357301">
            <w:pPr>
              <w:spacing w:before="120" w:after="120"/>
              <w:jc w:val="center"/>
            </w:pPr>
            <w:r w:rsidRPr="5937A937">
              <w:rPr>
                <w:rFonts w:eastAsia="Calibri" w:cs="Calibri"/>
                <w:sz w:val="18"/>
                <w:szCs w:val="18"/>
                <w:lang w:val="en-GB"/>
              </w:rPr>
              <w:t>Biofuels</w:t>
            </w:r>
          </w:p>
        </w:tc>
        <w:tc>
          <w:tcPr>
            <w:tcW w:w="2160" w:type="dxa"/>
            <w:tcBorders>
              <w:top w:val="nil"/>
              <w:left w:val="nil"/>
              <w:bottom w:val="nil"/>
              <w:right w:val="nil"/>
            </w:tcBorders>
            <w:vAlign w:val="center"/>
          </w:tcPr>
          <w:p w14:paraId="2518A121" w14:textId="1DACE282" w:rsidR="5937A937" w:rsidRDefault="5937A937" w:rsidP="00357301">
            <w:pPr>
              <w:spacing w:before="120" w:after="120"/>
              <w:jc w:val="center"/>
            </w:pPr>
            <w:r w:rsidRPr="5937A937">
              <w:rPr>
                <w:rFonts w:eastAsia="Calibri" w:cs="Calibri"/>
                <w:sz w:val="18"/>
                <w:szCs w:val="18"/>
                <w:lang w:val="en-GB"/>
              </w:rPr>
              <w:t>25 to 100 %</w:t>
            </w:r>
          </w:p>
        </w:tc>
      </w:tr>
      <w:tr w:rsidR="5937A937" w14:paraId="53A66BF7" w14:textId="77777777" w:rsidTr="5937A937">
        <w:trPr>
          <w:jc w:val="center"/>
        </w:trPr>
        <w:tc>
          <w:tcPr>
            <w:tcW w:w="2160" w:type="dxa"/>
            <w:tcBorders>
              <w:top w:val="nil"/>
              <w:left w:val="nil"/>
              <w:bottom w:val="nil"/>
              <w:right w:val="nil"/>
            </w:tcBorders>
            <w:vAlign w:val="center"/>
          </w:tcPr>
          <w:p w14:paraId="44948CAC" w14:textId="2CE746D9" w:rsidR="5937A937" w:rsidRDefault="5937A937" w:rsidP="00357301">
            <w:pPr>
              <w:spacing w:before="120" w:after="120"/>
              <w:jc w:val="center"/>
            </w:pPr>
            <w:r w:rsidRPr="5937A937">
              <w:rPr>
                <w:rFonts w:eastAsia="Calibri" w:cs="Calibri"/>
                <w:sz w:val="18"/>
                <w:szCs w:val="18"/>
                <w:lang w:val="en-GB"/>
              </w:rPr>
              <w:t>Bio-LNG</w:t>
            </w:r>
          </w:p>
        </w:tc>
        <w:tc>
          <w:tcPr>
            <w:tcW w:w="2160" w:type="dxa"/>
            <w:tcBorders>
              <w:top w:val="nil"/>
              <w:left w:val="nil"/>
              <w:bottom w:val="nil"/>
              <w:right w:val="nil"/>
            </w:tcBorders>
            <w:vAlign w:val="center"/>
          </w:tcPr>
          <w:p w14:paraId="5CFBF881" w14:textId="7A6D3F11" w:rsidR="480A2490" w:rsidRDefault="480A2490" w:rsidP="00357301">
            <w:pPr>
              <w:spacing w:before="120" w:after="120"/>
              <w:jc w:val="center"/>
            </w:pPr>
            <w:r w:rsidRPr="5937A937">
              <w:rPr>
                <w:rFonts w:eastAsia="Calibri" w:cs="Calibri"/>
                <w:sz w:val="18"/>
                <w:szCs w:val="18"/>
                <w:lang w:val="en-GB"/>
              </w:rPr>
              <w:t>39 to</w:t>
            </w:r>
            <w:r w:rsidR="5937A937" w:rsidRPr="5937A937">
              <w:rPr>
                <w:rFonts w:eastAsia="Calibri" w:cs="Calibri"/>
                <w:sz w:val="18"/>
                <w:szCs w:val="18"/>
                <w:lang w:val="en-GB"/>
              </w:rPr>
              <w:t xml:space="preserve"> 65 %</w:t>
            </w:r>
          </w:p>
        </w:tc>
      </w:tr>
      <w:tr w:rsidR="5937A937" w14:paraId="414838AC" w14:textId="77777777" w:rsidTr="5937A937">
        <w:trPr>
          <w:jc w:val="center"/>
        </w:trPr>
        <w:tc>
          <w:tcPr>
            <w:tcW w:w="2160" w:type="dxa"/>
            <w:tcBorders>
              <w:top w:val="nil"/>
              <w:left w:val="nil"/>
              <w:bottom w:val="single" w:sz="8" w:space="0" w:color="0C0C0C" w:themeColor="text1"/>
              <w:right w:val="nil"/>
            </w:tcBorders>
            <w:vAlign w:val="center"/>
          </w:tcPr>
          <w:p w14:paraId="3B826BD1" w14:textId="54FF351E" w:rsidR="5937A937" w:rsidRDefault="5937A937" w:rsidP="00357301">
            <w:pPr>
              <w:spacing w:before="120" w:after="120"/>
              <w:jc w:val="center"/>
            </w:pPr>
            <w:r w:rsidRPr="5937A937">
              <w:rPr>
                <w:rFonts w:eastAsia="Calibri" w:cs="Calibri"/>
                <w:sz w:val="18"/>
                <w:szCs w:val="18"/>
                <w:lang w:val="en-GB"/>
              </w:rPr>
              <w:t>Bio-Methanol</w:t>
            </w:r>
          </w:p>
        </w:tc>
        <w:tc>
          <w:tcPr>
            <w:tcW w:w="2160" w:type="dxa"/>
            <w:tcBorders>
              <w:top w:val="nil"/>
              <w:left w:val="nil"/>
              <w:bottom w:val="single" w:sz="8" w:space="0" w:color="0C0C0C" w:themeColor="text1"/>
              <w:right w:val="nil"/>
            </w:tcBorders>
            <w:vAlign w:val="center"/>
          </w:tcPr>
          <w:p w14:paraId="0B64A0B0" w14:textId="4C30085A" w:rsidR="5937A937" w:rsidRDefault="5937A937" w:rsidP="00357301">
            <w:pPr>
              <w:spacing w:before="120" w:after="120"/>
              <w:jc w:val="center"/>
            </w:pPr>
            <w:r w:rsidRPr="5937A937">
              <w:rPr>
                <w:rFonts w:eastAsia="Calibri" w:cs="Calibri"/>
                <w:sz w:val="18"/>
                <w:szCs w:val="18"/>
                <w:lang w:val="en-GB"/>
              </w:rPr>
              <w:t>50 to 96 %</w:t>
            </w:r>
          </w:p>
        </w:tc>
      </w:tr>
      <w:tr w:rsidR="5937A937" w14:paraId="5C90479D" w14:textId="77777777" w:rsidTr="5937A937">
        <w:trPr>
          <w:jc w:val="center"/>
        </w:trPr>
        <w:tc>
          <w:tcPr>
            <w:tcW w:w="4320" w:type="dxa"/>
            <w:gridSpan w:val="2"/>
            <w:tcBorders>
              <w:top w:val="single" w:sz="8" w:space="0" w:color="0C0C0C" w:themeColor="text1"/>
              <w:left w:val="nil"/>
              <w:bottom w:val="nil"/>
              <w:right w:val="nil"/>
            </w:tcBorders>
            <w:vAlign w:val="center"/>
          </w:tcPr>
          <w:p w14:paraId="733DE620" w14:textId="67686B61" w:rsidR="5937A937" w:rsidRDefault="00EC607B" w:rsidP="00357301">
            <w:pPr>
              <w:spacing w:before="120" w:after="120"/>
              <w:jc w:val="left"/>
            </w:pPr>
            <w:r>
              <w:rPr>
                <w:rFonts w:eastAsia="Calibri" w:cs="Calibri"/>
                <w:sz w:val="18"/>
                <w:szCs w:val="18"/>
                <w:lang w:val="en-GB"/>
              </w:rPr>
              <w:t>*</w:t>
            </w:r>
            <w:r w:rsidR="5937A937" w:rsidRPr="5937A937">
              <w:rPr>
                <w:rFonts w:eastAsia="Calibri" w:cs="Calibri"/>
                <w:sz w:val="18"/>
                <w:szCs w:val="18"/>
                <w:lang w:val="en-GB"/>
              </w:rPr>
              <w:t>Negative values stand for higher emissions</w:t>
            </w:r>
            <w:r w:rsidR="0061EAE4" w:rsidRPr="5937A937">
              <w:rPr>
                <w:rFonts w:eastAsia="Calibri" w:cs="Calibri"/>
                <w:sz w:val="18"/>
                <w:szCs w:val="18"/>
                <w:lang w:val="en-GB"/>
              </w:rPr>
              <w:t xml:space="preserve"> than</w:t>
            </w:r>
            <w:r w:rsidR="5937A937" w:rsidRPr="5937A937">
              <w:rPr>
                <w:rFonts w:eastAsia="Calibri" w:cs="Calibri"/>
                <w:sz w:val="18"/>
                <w:szCs w:val="18"/>
                <w:lang w:val="en-GB"/>
              </w:rPr>
              <w:t xml:space="preserve"> fossil counterpart (Balcombe 2018).</w:t>
            </w:r>
          </w:p>
        </w:tc>
      </w:tr>
    </w:tbl>
    <w:p w14:paraId="23228A14" w14:textId="70B0A52A" w:rsidR="00C53804" w:rsidRPr="00650B23" w:rsidRDefault="056C4D2F" w:rsidP="5937A937">
      <w:pPr>
        <w:spacing w:line="360" w:lineRule="auto"/>
        <w:ind w:firstLine="720"/>
      </w:pPr>
      <w:r w:rsidRPr="5937A937">
        <w:rPr>
          <w:rFonts w:ascii="Times New Roman" w:hAnsi="Times New Roman"/>
          <w:szCs w:val="21"/>
          <w:lang w:val="en-GB"/>
        </w:rPr>
        <w:t xml:space="preserve"> </w:t>
      </w:r>
    </w:p>
    <w:p w14:paraId="3827D56F" w14:textId="3FED139F" w:rsidR="00C53804" w:rsidRPr="00650B23" w:rsidRDefault="10571E42" w:rsidP="5937A937">
      <w:pPr>
        <w:spacing w:line="360" w:lineRule="auto"/>
        <w:ind w:firstLine="720"/>
        <w:rPr>
          <w:rFonts w:asciiTheme="majorHAnsi" w:hAnsiTheme="majorHAnsi" w:cstheme="majorBidi"/>
          <w:sz w:val="22"/>
          <w:szCs w:val="22"/>
          <w:lang w:val="en-GB"/>
        </w:rPr>
      </w:pPr>
      <w:r w:rsidRPr="5937A937">
        <w:rPr>
          <w:rFonts w:eastAsia="Calibri" w:cs="Calibri"/>
          <w:sz w:val="22"/>
          <w:szCs w:val="22"/>
          <w:lang w:val="en-GB"/>
        </w:rPr>
        <w:t>On the context of IDEALFUEL project, it is important to assess the potential emission reductions and benchmark against the available fuels. Fuels with greater emission reduction, and lower costs will be preferred</w:t>
      </w:r>
      <w:r w:rsidR="00A2470A">
        <w:rPr>
          <w:rFonts w:eastAsia="Calibri" w:cs="Calibri"/>
          <w:sz w:val="22"/>
          <w:szCs w:val="22"/>
          <w:lang w:val="en-GB"/>
        </w:rPr>
        <w:t xml:space="preserve"> in the market</w:t>
      </w:r>
      <w:r w:rsidR="7895BAC2" w:rsidRPr="5937A937">
        <w:rPr>
          <w:rFonts w:asciiTheme="majorHAnsi" w:hAnsiTheme="majorHAnsi" w:cstheme="majorBidi"/>
          <w:sz w:val="22"/>
          <w:szCs w:val="22"/>
          <w:lang w:val="en-GB"/>
        </w:rPr>
        <w:t>.</w:t>
      </w:r>
      <w:r w:rsidR="08FA71EB" w:rsidRPr="5937A937">
        <w:rPr>
          <w:rFonts w:asciiTheme="majorHAnsi" w:hAnsiTheme="majorHAnsi" w:cstheme="majorBidi"/>
          <w:sz w:val="22"/>
          <w:szCs w:val="22"/>
          <w:lang w:val="en-GB"/>
        </w:rPr>
        <w:t xml:space="preserve"> </w:t>
      </w:r>
      <w:proofErr w:type="spellStart"/>
      <w:r w:rsidR="08FA71EB" w:rsidRPr="5937A937">
        <w:rPr>
          <w:rFonts w:asciiTheme="majorHAnsi" w:hAnsiTheme="majorHAnsi" w:cstheme="majorBidi"/>
          <w:sz w:val="22"/>
          <w:szCs w:val="22"/>
          <w:lang w:val="en-GB"/>
        </w:rPr>
        <w:t>Tanzer</w:t>
      </w:r>
      <w:proofErr w:type="spellEnd"/>
      <w:r w:rsidR="08FA71EB" w:rsidRPr="5937A937">
        <w:rPr>
          <w:rFonts w:asciiTheme="majorHAnsi" w:hAnsiTheme="majorHAnsi" w:cstheme="majorBidi"/>
          <w:sz w:val="22"/>
          <w:szCs w:val="22"/>
          <w:lang w:val="en-GB"/>
        </w:rPr>
        <w:t xml:space="preserve"> and co-workers (2019) assessed the life cycle emissions of lignocellulose-based marine fuels </w:t>
      </w:r>
      <w:r w:rsidR="00963F36">
        <w:rPr>
          <w:rFonts w:asciiTheme="majorHAnsi" w:hAnsiTheme="majorHAnsi" w:cstheme="majorBidi"/>
          <w:sz w:val="22"/>
          <w:szCs w:val="22"/>
          <w:lang w:val="en-GB"/>
        </w:rPr>
        <w:t>from</w:t>
      </w:r>
      <w:r w:rsidR="48774A7E" w:rsidRPr="5937A937">
        <w:rPr>
          <w:rFonts w:asciiTheme="majorHAnsi" w:hAnsiTheme="majorHAnsi" w:cstheme="majorBidi"/>
          <w:sz w:val="22"/>
          <w:szCs w:val="22"/>
          <w:lang w:val="en-GB"/>
        </w:rPr>
        <w:t xml:space="preserve"> three </w:t>
      </w:r>
      <w:r w:rsidR="08FA71EB" w:rsidRPr="5937A937">
        <w:rPr>
          <w:rFonts w:asciiTheme="majorHAnsi" w:hAnsiTheme="majorHAnsi" w:cstheme="majorBidi"/>
          <w:sz w:val="22"/>
          <w:szCs w:val="22"/>
          <w:lang w:val="en-GB"/>
        </w:rPr>
        <w:t xml:space="preserve">conversions </w:t>
      </w:r>
      <w:r w:rsidR="77182549" w:rsidRPr="5937A937">
        <w:rPr>
          <w:rFonts w:asciiTheme="majorHAnsi" w:hAnsiTheme="majorHAnsi" w:cstheme="majorBidi"/>
          <w:sz w:val="22"/>
          <w:szCs w:val="22"/>
          <w:lang w:val="en-GB"/>
        </w:rPr>
        <w:t>technologies:</w:t>
      </w:r>
      <w:r w:rsidR="5EB8410B" w:rsidRPr="5937A937">
        <w:rPr>
          <w:rFonts w:asciiTheme="majorHAnsi" w:hAnsiTheme="majorHAnsi" w:cstheme="majorBidi"/>
          <w:sz w:val="22"/>
          <w:szCs w:val="22"/>
          <w:lang w:val="en-GB"/>
        </w:rPr>
        <w:t xml:space="preserve"> </w:t>
      </w:r>
      <w:proofErr w:type="spellStart"/>
      <w:r w:rsidR="5EB8410B" w:rsidRPr="5937A937">
        <w:rPr>
          <w:rFonts w:asciiTheme="majorHAnsi" w:hAnsiTheme="majorHAnsi" w:cstheme="majorBidi"/>
          <w:sz w:val="22"/>
          <w:szCs w:val="22"/>
          <w:lang w:val="en-GB"/>
        </w:rPr>
        <w:t>i</w:t>
      </w:r>
      <w:proofErr w:type="spellEnd"/>
      <w:r w:rsidR="5EB8410B" w:rsidRPr="5937A937">
        <w:rPr>
          <w:rFonts w:asciiTheme="majorHAnsi" w:hAnsiTheme="majorHAnsi" w:cstheme="majorBidi"/>
          <w:sz w:val="22"/>
          <w:szCs w:val="22"/>
          <w:lang w:val="en-GB"/>
        </w:rPr>
        <w:t xml:space="preserve">) hydrothermal liquefaction with </w:t>
      </w:r>
      <w:r w:rsidR="5EB8410B" w:rsidRPr="5937A937">
        <w:rPr>
          <w:rFonts w:asciiTheme="majorHAnsi" w:hAnsiTheme="majorHAnsi" w:cstheme="majorBidi"/>
          <w:sz w:val="22"/>
          <w:szCs w:val="22"/>
          <w:lang w:val="en-GB"/>
        </w:rPr>
        <w:lastRenderedPageBreak/>
        <w:t>hydrodeoxygenation</w:t>
      </w:r>
      <w:r w:rsidR="60BAFB72" w:rsidRPr="5937A937">
        <w:rPr>
          <w:rFonts w:asciiTheme="majorHAnsi" w:hAnsiTheme="majorHAnsi" w:cstheme="majorBidi"/>
          <w:sz w:val="22"/>
          <w:szCs w:val="22"/>
          <w:lang w:val="en-GB"/>
        </w:rPr>
        <w:t>;</w:t>
      </w:r>
      <w:r w:rsidR="5EB8410B" w:rsidRPr="5937A937">
        <w:rPr>
          <w:rFonts w:asciiTheme="majorHAnsi" w:hAnsiTheme="majorHAnsi" w:cstheme="majorBidi"/>
          <w:sz w:val="22"/>
          <w:szCs w:val="22"/>
          <w:lang w:val="en-GB"/>
        </w:rPr>
        <w:t xml:space="preserve"> ii) fast pyrolysis with hydrodeoxygenation</w:t>
      </w:r>
      <w:r w:rsidR="34E94465" w:rsidRPr="5937A937">
        <w:rPr>
          <w:rFonts w:asciiTheme="majorHAnsi" w:hAnsiTheme="majorHAnsi" w:cstheme="majorBidi"/>
          <w:sz w:val="22"/>
          <w:szCs w:val="22"/>
          <w:lang w:val="en-GB"/>
        </w:rPr>
        <w:t>;</w:t>
      </w:r>
      <w:r w:rsidR="5EB8410B" w:rsidRPr="5937A937">
        <w:rPr>
          <w:rFonts w:asciiTheme="majorHAnsi" w:hAnsiTheme="majorHAnsi" w:cstheme="majorBidi"/>
          <w:sz w:val="22"/>
          <w:szCs w:val="22"/>
          <w:lang w:val="en-GB"/>
        </w:rPr>
        <w:t xml:space="preserve"> iii)</w:t>
      </w:r>
      <w:r w:rsidR="5BE7284A" w:rsidRPr="5937A937">
        <w:rPr>
          <w:rFonts w:asciiTheme="majorHAnsi" w:hAnsiTheme="majorHAnsi" w:cstheme="majorBidi"/>
          <w:sz w:val="22"/>
          <w:szCs w:val="22"/>
          <w:lang w:val="en-GB"/>
        </w:rPr>
        <w:t xml:space="preserve"> gasification followed by Fischer-</w:t>
      </w:r>
      <w:proofErr w:type="spellStart"/>
      <w:r w:rsidR="5BE7284A" w:rsidRPr="5937A937">
        <w:rPr>
          <w:rFonts w:asciiTheme="majorHAnsi" w:hAnsiTheme="majorHAnsi" w:cstheme="majorBidi"/>
          <w:sz w:val="22"/>
          <w:szCs w:val="22"/>
          <w:lang w:val="en-GB"/>
        </w:rPr>
        <w:t>Tropsch</w:t>
      </w:r>
      <w:proofErr w:type="spellEnd"/>
      <w:r w:rsidR="5BE7284A" w:rsidRPr="5937A937">
        <w:rPr>
          <w:rFonts w:asciiTheme="majorHAnsi" w:hAnsiTheme="majorHAnsi" w:cstheme="majorBidi"/>
          <w:sz w:val="22"/>
          <w:szCs w:val="22"/>
          <w:lang w:val="en-GB"/>
        </w:rPr>
        <w:t xml:space="preserve"> synthesis. The</w:t>
      </w:r>
      <w:r w:rsidR="33777D72" w:rsidRPr="5937A937">
        <w:rPr>
          <w:rFonts w:asciiTheme="majorHAnsi" w:hAnsiTheme="majorHAnsi" w:cstheme="majorBidi"/>
          <w:sz w:val="22"/>
          <w:szCs w:val="22"/>
          <w:lang w:val="en-GB"/>
        </w:rPr>
        <w:t>y found that</w:t>
      </w:r>
      <w:r w:rsidR="5BE7284A" w:rsidRPr="5937A937">
        <w:rPr>
          <w:rFonts w:asciiTheme="majorHAnsi" w:hAnsiTheme="majorHAnsi" w:cstheme="majorBidi"/>
          <w:sz w:val="22"/>
          <w:szCs w:val="22"/>
          <w:lang w:val="en-GB"/>
        </w:rPr>
        <w:t xml:space="preserve"> emissions </w:t>
      </w:r>
      <w:r w:rsidR="0D816265" w:rsidRPr="5937A937">
        <w:rPr>
          <w:rFonts w:asciiTheme="majorHAnsi" w:hAnsiTheme="majorHAnsi" w:cstheme="majorBidi"/>
          <w:sz w:val="22"/>
          <w:szCs w:val="22"/>
          <w:lang w:val="en-GB"/>
        </w:rPr>
        <w:t>reductions were</w:t>
      </w:r>
      <w:r w:rsidR="5BE7284A" w:rsidRPr="5937A937">
        <w:rPr>
          <w:rFonts w:asciiTheme="majorHAnsi" w:hAnsiTheme="majorHAnsi" w:cstheme="majorBidi"/>
          <w:sz w:val="22"/>
          <w:szCs w:val="22"/>
          <w:lang w:val="en-GB"/>
        </w:rPr>
        <w:t xml:space="preserve"> within the range of 55 % to 133%</w:t>
      </w:r>
      <w:r w:rsidR="1FF03790" w:rsidRPr="5937A937">
        <w:rPr>
          <w:rFonts w:asciiTheme="majorHAnsi" w:hAnsiTheme="majorHAnsi" w:cstheme="majorBidi"/>
          <w:sz w:val="22"/>
          <w:szCs w:val="22"/>
          <w:lang w:val="en-GB"/>
        </w:rPr>
        <w:t xml:space="preserve">. </w:t>
      </w:r>
      <w:r w:rsidR="1846876C" w:rsidRPr="5937A937">
        <w:rPr>
          <w:rFonts w:asciiTheme="majorHAnsi" w:hAnsiTheme="majorHAnsi" w:cstheme="majorBidi"/>
          <w:sz w:val="22"/>
          <w:szCs w:val="22"/>
          <w:lang w:val="en-GB"/>
        </w:rPr>
        <w:t xml:space="preserve">The </w:t>
      </w:r>
      <w:r w:rsidR="39246BD3" w:rsidRPr="5937A937">
        <w:rPr>
          <w:rFonts w:asciiTheme="majorHAnsi" w:hAnsiTheme="majorHAnsi" w:cstheme="majorBidi"/>
          <w:sz w:val="22"/>
          <w:szCs w:val="22"/>
          <w:lang w:val="en-GB"/>
        </w:rPr>
        <w:t xml:space="preserve">feedstock production and transport emerged as emission </w:t>
      </w:r>
      <w:r w:rsidR="1846876C" w:rsidRPr="5937A937">
        <w:rPr>
          <w:rFonts w:asciiTheme="majorHAnsi" w:hAnsiTheme="majorHAnsi" w:cstheme="majorBidi"/>
          <w:sz w:val="22"/>
          <w:szCs w:val="22"/>
          <w:lang w:val="en-GB"/>
        </w:rPr>
        <w:t>hotspot</w:t>
      </w:r>
      <w:r w:rsidR="00963F36">
        <w:rPr>
          <w:rFonts w:asciiTheme="majorHAnsi" w:hAnsiTheme="majorHAnsi" w:cstheme="majorBidi"/>
          <w:sz w:val="22"/>
          <w:szCs w:val="22"/>
          <w:lang w:val="en-GB"/>
        </w:rPr>
        <w:t>s</w:t>
      </w:r>
      <w:r w:rsidR="1846876C" w:rsidRPr="5937A937">
        <w:rPr>
          <w:rFonts w:asciiTheme="majorHAnsi" w:hAnsiTheme="majorHAnsi" w:cstheme="majorBidi"/>
          <w:sz w:val="22"/>
          <w:szCs w:val="22"/>
          <w:lang w:val="en-GB"/>
        </w:rPr>
        <w:t>, when</w:t>
      </w:r>
      <w:r w:rsidR="76158D01" w:rsidRPr="5937A937">
        <w:rPr>
          <w:rFonts w:asciiTheme="majorHAnsi" w:hAnsiTheme="majorHAnsi" w:cstheme="majorBidi"/>
          <w:sz w:val="22"/>
          <w:szCs w:val="22"/>
          <w:lang w:val="en-GB"/>
        </w:rPr>
        <w:t xml:space="preserve"> </w:t>
      </w:r>
      <w:r w:rsidR="33420791" w:rsidRPr="5937A937">
        <w:rPr>
          <w:rFonts w:asciiTheme="majorHAnsi" w:hAnsiTheme="majorHAnsi" w:cstheme="majorBidi"/>
          <w:sz w:val="22"/>
          <w:szCs w:val="22"/>
          <w:lang w:val="en-GB"/>
        </w:rPr>
        <w:t xml:space="preserve">the </w:t>
      </w:r>
      <w:r w:rsidR="76158D01" w:rsidRPr="5937A937">
        <w:rPr>
          <w:rFonts w:asciiTheme="majorHAnsi" w:hAnsiTheme="majorHAnsi" w:cstheme="majorBidi"/>
          <w:sz w:val="22"/>
          <w:szCs w:val="22"/>
          <w:lang w:val="en-GB"/>
        </w:rPr>
        <w:t xml:space="preserve">energetic matrix is mostly based on renewables. If fossil-based inputs are used, </w:t>
      </w:r>
      <w:r w:rsidR="1FA6BF97" w:rsidRPr="5937A937">
        <w:rPr>
          <w:rFonts w:asciiTheme="majorHAnsi" w:hAnsiTheme="majorHAnsi" w:cstheme="majorBidi"/>
          <w:sz w:val="22"/>
          <w:szCs w:val="22"/>
          <w:lang w:val="en-GB"/>
        </w:rPr>
        <w:t>recycling</w:t>
      </w:r>
      <w:r w:rsidR="76158D01" w:rsidRPr="5937A937">
        <w:rPr>
          <w:rFonts w:asciiTheme="majorHAnsi" w:hAnsiTheme="majorHAnsi" w:cstheme="majorBidi"/>
          <w:sz w:val="22"/>
          <w:szCs w:val="22"/>
          <w:lang w:val="en-GB"/>
        </w:rPr>
        <w:t xml:space="preserve"> is </w:t>
      </w:r>
      <w:r w:rsidR="474EA255" w:rsidRPr="5937A937">
        <w:rPr>
          <w:rFonts w:asciiTheme="majorHAnsi" w:hAnsiTheme="majorHAnsi" w:cstheme="majorBidi"/>
          <w:sz w:val="22"/>
          <w:szCs w:val="22"/>
          <w:lang w:val="en-GB"/>
        </w:rPr>
        <w:t xml:space="preserve">necessary. </w:t>
      </w:r>
      <w:r w:rsidR="00255BF0">
        <w:rPr>
          <w:rFonts w:asciiTheme="majorHAnsi" w:hAnsiTheme="majorHAnsi" w:cstheme="majorBidi"/>
          <w:sz w:val="22"/>
          <w:szCs w:val="22"/>
          <w:lang w:val="en-GB"/>
        </w:rPr>
        <w:t>Th</w:t>
      </w:r>
      <w:r w:rsidR="00AC5254">
        <w:rPr>
          <w:rFonts w:asciiTheme="majorHAnsi" w:hAnsiTheme="majorHAnsi" w:cstheme="majorBidi"/>
          <w:sz w:val="22"/>
          <w:szCs w:val="22"/>
          <w:lang w:val="en-GB"/>
        </w:rPr>
        <w:t>ese</w:t>
      </w:r>
      <w:r w:rsidR="00255BF0">
        <w:rPr>
          <w:rFonts w:asciiTheme="majorHAnsi" w:hAnsiTheme="majorHAnsi" w:cstheme="majorBidi"/>
          <w:sz w:val="22"/>
          <w:szCs w:val="22"/>
          <w:lang w:val="en-GB"/>
        </w:rPr>
        <w:t xml:space="preserve"> will be the </w:t>
      </w:r>
      <w:r w:rsidR="00AC5254">
        <w:rPr>
          <w:rFonts w:asciiTheme="majorHAnsi" w:hAnsiTheme="majorHAnsi" w:cstheme="majorBidi"/>
          <w:sz w:val="22"/>
          <w:szCs w:val="22"/>
          <w:lang w:val="en-GB"/>
        </w:rPr>
        <w:t>first points of comparison for the Bio-HFO</w:t>
      </w:r>
      <w:r w:rsidR="006F570C">
        <w:rPr>
          <w:rFonts w:asciiTheme="majorHAnsi" w:hAnsiTheme="majorHAnsi" w:cstheme="majorBidi"/>
          <w:sz w:val="22"/>
          <w:szCs w:val="22"/>
          <w:lang w:val="en-GB"/>
        </w:rPr>
        <w:t xml:space="preserve"> </w:t>
      </w:r>
      <w:r w:rsidR="006F570C">
        <w:rPr>
          <w:rFonts w:asciiTheme="majorHAnsi" w:hAnsiTheme="majorHAnsi" w:cstheme="majorBidi"/>
          <w:sz w:val="22"/>
          <w:szCs w:val="22"/>
          <w:lang w:val="en-GB"/>
        </w:rPr>
        <w:fldChar w:fldCharType="begin" w:fldLock="1"/>
      </w:r>
      <w:r w:rsidR="001574DF">
        <w:rPr>
          <w:rFonts w:asciiTheme="majorHAnsi" w:hAnsiTheme="majorHAnsi" w:cstheme="majorBidi"/>
          <w:sz w:val="22"/>
          <w:szCs w:val="22"/>
          <w:lang w:val="en-GB"/>
        </w:rPr>
        <w:instrText>ADDIN CSL_CITATION {"citationItems":[{"id":"ITEM-1","itemData":{"DOI":"10.1016/j.jclepro.2019.117845","ISSN":"09596526","abstract":"The impending restrictions on the sulfur content and greenhouse gas emissions of marine fuels represent a challenge for the maritime shipping industry and an opportunity for alternative fuels that may have lower environmental impacts but are not currently economically competitive. This study developed an integrated screening model to compare the technological, economic, and environmental performance of 33 “drop-in” marine biofuel blendstock supply chains, considering nine agroforestry residues and three thermochemical technologies. The biofuel production was modeled for 500 tonne per day “first-of-a-kind” biorefineries to reflect near-term production. Supply chains were modeled for biofuel production in both Brazil and Sweden to explore the impact of regional differences on the biofuels’ break-even prices and their life cycle emissions of greenhouse gases, SO2, and NOX. This study indicates that in the immediate term, marine biofuels from lignocellulosic feedstocks may have a minimum fuel selling price three or more times higher than current fossil marine fuel prices. Biofuels made from agricultural residues saw a 40–100 kg/GJ decrease in life cycle GHG emissions, but forestry residue emissions depended highly on biogenic carbon dioxide accounting. SO2, and NOX emissions were dominated primarily by combustion, which for SO2 were estimated to be much lower than fossil fuels, due to the negligible sulfur content of the biomass. Overall, no single biofuel was a clear winner in terms of economic and environmental performance in the model, but space is opened for deeper research, as the new regulations come into effect.","author":[{"dropping-particle":"","family":"Tanzer","given":"Samantha Eleanor","non-dropping-particle":"","parse-names":false,"suffix":""},{"dropping-particle":"","family":"Posada","given":"John","non-dropping-particle":"","parse-names":false,"suffix":""},{"dropping-particle":"","family":"Geraedts","given":"S.","non-dropping-particle":"","parse-names":false,"suffix":""},{"dropping-particle":"","family":"Ramírez","given":"Andrea","non-dropping-particle":"","parse-names":false,"suffix":""}],"container-title":"Journal of Cleaner Production","id":"ITEM-1","issued":{"date-parts":[["2019"]]},"page":"117845","publisher":"Elsevier Ltd","title":"Lignocellulosic marine biofuel: Technoeconomic and environmental assessment for production in Brazil and Sweden","type":"article-journal","volume":"239"},"uris":["http://www.mendeley.com/documents/?uuid=74de9cfc-8b70-4a46-877a-4ee72a9a8826"]}],"mendeley":{"formattedCitation":"(Tanzer et al., 2019)","plainTextFormattedCitation":"(Tanzer et al., 2019)","previouslyFormattedCitation":"(Tanzer et al., 2019)"},"properties":{"noteIndex":0},"schema":"https://github.com/citation-style-language/schema/raw/master/csl-citation.json"}</w:instrText>
      </w:r>
      <w:r w:rsidR="006F570C">
        <w:rPr>
          <w:rFonts w:asciiTheme="majorHAnsi" w:hAnsiTheme="majorHAnsi" w:cstheme="majorBidi"/>
          <w:sz w:val="22"/>
          <w:szCs w:val="22"/>
          <w:lang w:val="en-GB"/>
        </w:rPr>
        <w:fldChar w:fldCharType="separate"/>
      </w:r>
      <w:r w:rsidR="006F570C" w:rsidRPr="006F570C">
        <w:rPr>
          <w:rFonts w:asciiTheme="majorHAnsi" w:hAnsiTheme="majorHAnsi" w:cstheme="majorBidi"/>
          <w:noProof/>
          <w:sz w:val="22"/>
          <w:szCs w:val="22"/>
          <w:lang w:val="en-GB"/>
        </w:rPr>
        <w:t>(Tanzer et al., 2019)</w:t>
      </w:r>
      <w:r w:rsidR="006F570C">
        <w:rPr>
          <w:rFonts w:asciiTheme="majorHAnsi" w:hAnsiTheme="majorHAnsi" w:cstheme="majorBidi"/>
          <w:sz w:val="22"/>
          <w:szCs w:val="22"/>
          <w:lang w:val="en-GB"/>
        </w:rPr>
        <w:fldChar w:fldCharType="end"/>
      </w:r>
      <w:r w:rsidR="00AC5254">
        <w:rPr>
          <w:rFonts w:asciiTheme="majorHAnsi" w:hAnsiTheme="majorHAnsi" w:cstheme="majorBidi"/>
          <w:sz w:val="22"/>
          <w:szCs w:val="22"/>
          <w:lang w:val="en-GB"/>
        </w:rPr>
        <w:t>.</w:t>
      </w:r>
    </w:p>
    <w:p w14:paraId="1EBFC3EF" w14:textId="59BB4538" w:rsidR="00C53804" w:rsidRPr="00650B23" w:rsidRDefault="645A392A" w:rsidP="5937A937">
      <w:pPr>
        <w:spacing w:line="360" w:lineRule="auto"/>
        <w:ind w:firstLine="720"/>
        <w:rPr>
          <w:rFonts w:asciiTheme="majorHAnsi" w:hAnsiTheme="majorHAnsi" w:cstheme="majorBidi"/>
          <w:sz w:val="22"/>
          <w:szCs w:val="22"/>
          <w:lang w:val="en-GB"/>
        </w:rPr>
      </w:pPr>
      <w:r w:rsidRPr="5937A937">
        <w:rPr>
          <w:rFonts w:asciiTheme="majorHAnsi" w:hAnsiTheme="majorHAnsi" w:cstheme="majorBidi"/>
          <w:sz w:val="22"/>
          <w:szCs w:val="22"/>
          <w:lang w:val="en-GB"/>
        </w:rPr>
        <w:t xml:space="preserve"> </w:t>
      </w:r>
    </w:p>
    <w:p w14:paraId="5C321081" w14:textId="7688ED40" w:rsidR="00C53804" w:rsidRPr="00650B23" w:rsidRDefault="2A1548B2" w:rsidP="005D6854">
      <w:pPr>
        <w:pStyle w:val="Heading2"/>
      </w:pPr>
      <w:bookmarkStart w:id="28" w:name="_Toc85627866"/>
      <w:r>
        <w:t xml:space="preserve">Fuel </w:t>
      </w:r>
      <w:r w:rsidR="5414E083">
        <w:t xml:space="preserve">Stability and </w:t>
      </w:r>
      <w:r>
        <w:t>Compatibility</w:t>
      </w:r>
      <w:bookmarkEnd w:id="28"/>
    </w:p>
    <w:p w14:paraId="4782B590" w14:textId="1B8A39A2" w:rsidR="00C53804" w:rsidRPr="00650B23" w:rsidRDefault="00C53804" w:rsidP="65215FB1"/>
    <w:p w14:paraId="5A86D3F5" w14:textId="5AE32768" w:rsidR="00C53804" w:rsidRPr="00650B23" w:rsidRDefault="39E081CB" w:rsidP="5937A937">
      <w:pPr>
        <w:spacing w:line="360" w:lineRule="auto"/>
        <w:ind w:firstLine="720"/>
      </w:pPr>
      <w:r w:rsidRPr="5937A937">
        <w:rPr>
          <w:rFonts w:eastAsia="Calibri" w:cs="Calibri"/>
          <w:sz w:val="22"/>
          <w:szCs w:val="22"/>
          <w:lang w:val="en-GB"/>
        </w:rPr>
        <w:t xml:space="preserve">Besides price and emissions, end users will consider the technical aspects of fuels use, which relates to fuel quality and </w:t>
      </w:r>
      <w:r w:rsidR="4E7BF960" w:rsidRPr="5937A937">
        <w:rPr>
          <w:rFonts w:eastAsia="Calibri" w:cs="Calibri"/>
          <w:sz w:val="22"/>
          <w:szCs w:val="22"/>
          <w:lang w:val="en-GB"/>
        </w:rPr>
        <w:t xml:space="preserve">engine </w:t>
      </w:r>
      <w:r w:rsidRPr="5937A937">
        <w:rPr>
          <w:rFonts w:eastAsia="Calibri" w:cs="Calibri"/>
          <w:sz w:val="22"/>
          <w:szCs w:val="22"/>
          <w:lang w:val="en-GB"/>
        </w:rPr>
        <w:t>compatibility (</w:t>
      </w:r>
      <w:proofErr w:type="spellStart"/>
      <w:r w:rsidRPr="5937A937">
        <w:rPr>
          <w:rFonts w:eastAsia="Calibri" w:cs="Calibri"/>
          <w:sz w:val="22"/>
          <w:szCs w:val="22"/>
          <w:lang w:val="en-GB"/>
        </w:rPr>
        <w:t>Panoutsou</w:t>
      </w:r>
      <w:proofErr w:type="spellEnd"/>
      <w:r w:rsidRPr="5937A937">
        <w:rPr>
          <w:rFonts w:eastAsia="Calibri" w:cs="Calibri"/>
          <w:sz w:val="22"/>
          <w:szCs w:val="22"/>
          <w:lang w:val="en-GB"/>
        </w:rPr>
        <w:t xml:space="preserve"> et al., 2021)</w:t>
      </w:r>
      <w:proofErr w:type="gramStart"/>
      <w:r w:rsidRPr="5937A937">
        <w:rPr>
          <w:rFonts w:eastAsia="Calibri" w:cs="Calibri"/>
          <w:sz w:val="22"/>
          <w:szCs w:val="22"/>
          <w:lang w:val="en-GB"/>
        </w:rPr>
        <w:t xml:space="preserve">.  </w:t>
      </w:r>
      <w:proofErr w:type="gramEnd"/>
      <w:r w:rsidRPr="5937A937">
        <w:rPr>
          <w:rFonts w:eastAsia="Calibri" w:cs="Calibri"/>
          <w:sz w:val="22"/>
          <w:szCs w:val="22"/>
          <w:lang w:val="en-GB"/>
        </w:rPr>
        <w:t xml:space="preserve">Marine fuel stability is addressed by the method ISO 10307-2. The supplier has the responsibility to ensure the delivery of a stable fuel; </w:t>
      </w:r>
      <w:proofErr w:type="gramStart"/>
      <w:r w:rsidRPr="5937A937">
        <w:rPr>
          <w:rFonts w:eastAsia="Calibri" w:cs="Calibri"/>
          <w:sz w:val="22"/>
          <w:szCs w:val="22"/>
          <w:lang w:val="en-GB"/>
        </w:rPr>
        <w:t>whereas,</w:t>
      </w:r>
      <w:proofErr w:type="gramEnd"/>
      <w:r w:rsidRPr="5937A937">
        <w:rPr>
          <w:rFonts w:eastAsia="Calibri" w:cs="Calibri"/>
          <w:sz w:val="22"/>
          <w:szCs w:val="22"/>
          <w:lang w:val="en-GB"/>
        </w:rPr>
        <w:t xml:space="preserve"> best practices and tests to avoid the mixing of incompatible fuels are onboard responsibility. The fuel stability is measured from sedimentation test (ISO 10307-2), which evaluates the particulate formation from a single fuel or mixture. The spot test is a quick method (ASTM D4740) indicated to test the stability and compatibility of fuels with viscosity up to 50 </w:t>
      </w:r>
      <w:proofErr w:type="spellStart"/>
      <w:r w:rsidRPr="5937A937">
        <w:rPr>
          <w:rFonts w:eastAsia="Calibri" w:cs="Calibri"/>
          <w:sz w:val="22"/>
          <w:szCs w:val="22"/>
          <w:lang w:val="en-GB"/>
        </w:rPr>
        <w:t>cST</w:t>
      </w:r>
      <w:proofErr w:type="spellEnd"/>
      <w:r w:rsidRPr="5937A937">
        <w:rPr>
          <w:rFonts w:eastAsia="Calibri" w:cs="Calibri"/>
          <w:sz w:val="22"/>
          <w:szCs w:val="22"/>
          <w:lang w:val="en-GB"/>
        </w:rPr>
        <w:t xml:space="preserve"> at 100 °C</w:t>
      </w:r>
      <w:r w:rsidR="00AC5BEE">
        <w:rPr>
          <w:rFonts w:eastAsia="Calibri" w:cs="Calibri"/>
          <w:sz w:val="22"/>
          <w:szCs w:val="22"/>
          <w:lang w:val="en-GB"/>
        </w:rPr>
        <w:t>. It</w:t>
      </w:r>
      <w:r w:rsidRPr="5937A937">
        <w:rPr>
          <w:rFonts w:eastAsia="Calibri" w:cs="Calibri"/>
          <w:sz w:val="22"/>
          <w:szCs w:val="22"/>
          <w:lang w:val="en-GB"/>
        </w:rPr>
        <w:t xml:space="preserve"> consists in dropping a fuel or a blend on a test paper</w:t>
      </w:r>
      <w:r w:rsidR="002F73A3">
        <w:rPr>
          <w:rFonts w:eastAsia="Calibri" w:cs="Calibri"/>
          <w:sz w:val="22"/>
          <w:szCs w:val="22"/>
          <w:lang w:val="en-GB"/>
        </w:rPr>
        <w:t>. T</w:t>
      </w:r>
      <w:r w:rsidR="0CB215E8" w:rsidRPr="5937A937">
        <w:rPr>
          <w:rFonts w:eastAsia="Calibri" w:cs="Calibri"/>
          <w:sz w:val="22"/>
          <w:szCs w:val="22"/>
          <w:lang w:val="en-GB"/>
        </w:rPr>
        <w:t>hen</w:t>
      </w:r>
      <w:r w:rsidRPr="5937A937">
        <w:rPr>
          <w:rFonts w:eastAsia="Calibri" w:cs="Calibri"/>
          <w:sz w:val="22"/>
          <w:szCs w:val="22"/>
          <w:lang w:val="en-GB"/>
        </w:rPr>
        <w:t xml:space="preserve"> assess the appearance of that based on a referred scale. To test </w:t>
      </w:r>
      <w:r w:rsidR="002F73A3">
        <w:rPr>
          <w:rFonts w:eastAsia="Calibri" w:cs="Calibri"/>
          <w:sz w:val="22"/>
          <w:szCs w:val="22"/>
          <w:lang w:val="en-GB"/>
        </w:rPr>
        <w:t xml:space="preserve">the </w:t>
      </w:r>
      <w:r w:rsidRPr="5937A937">
        <w:rPr>
          <w:rFonts w:eastAsia="Calibri" w:cs="Calibri"/>
          <w:sz w:val="22"/>
          <w:szCs w:val="22"/>
          <w:lang w:val="en-GB"/>
        </w:rPr>
        <w:t>fuel compatibility the methods ASTM D7157, D7060 and D7112 can be applied (CIMAC, 2019). Fuel compatibility is a key aspect considering the adoption of alternative fuels. It bring</w:t>
      </w:r>
      <w:r w:rsidR="00B93976">
        <w:rPr>
          <w:rFonts w:eastAsia="Calibri" w:cs="Calibri"/>
          <w:sz w:val="22"/>
          <w:szCs w:val="22"/>
          <w:lang w:val="en-GB"/>
        </w:rPr>
        <w:t>s</w:t>
      </w:r>
      <w:r w:rsidRPr="5937A937">
        <w:rPr>
          <w:rFonts w:eastAsia="Calibri" w:cs="Calibri"/>
          <w:sz w:val="22"/>
          <w:szCs w:val="22"/>
          <w:lang w:val="en-GB"/>
        </w:rPr>
        <w:t xml:space="preserve"> cheaper solutions to market by means of blended products, at the same time, it does not limit bunkering fuel when there is not availability.</w:t>
      </w:r>
    </w:p>
    <w:p w14:paraId="7752193B" w14:textId="30908175" w:rsidR="00C53804" w:rsidRPr="00650B23" w:rsidRDefault="2E071198" w:rsidP="5937A937">
      <w:pPr>
        <w:spacing w:line="360" w:lineRule="auto"/>
        <w:ind w:firstLine="720"/>
      </w:pPr>
      <w:r w:rsidRPr="5937A937">
        <w:rPr>
          <w:rFonts w:eastAsia="Calibri" w:cs="Calibri"/>
          <w:sz w:val="22"/>
          <w:szCs w:val="22"/>
          <w:lang w:val="en-GB"/>
        </w:rPr>
        <w:t xml:space="preserve">Apart from </w:t>
      </w:r>
      <w:r w:rsidR="7965B32D" w:rsidRPr="5937A937">
        <w:rPr>
          <w:rFonts w:eastAsia="Calibri" w:cs="Calibri"/>
          <w:sz w:val="22"/>
          <w:szCs w:val="22"/>
          <w:lang w:val="en-GB"/>
        </w:rPr>
        <w:t>stability and compatibility</w:t>
      </w:r>
      <w:r w:rsidRPr="5937A937">
        <w:rPr>
          <w:rFonts w:eastAsia="Calibri" w:cs="Calibri"/>
          <w:sz w:val="22"/>
          <w:szCs w:val="22"/>
          <w:lang w:val="en-GB"/>
        </w:rPr>
        <w:t xml:space="preserve">, other criteria should be considered while addressing blend potentials. The sulphur content will determine the regions where fuels can be used and, therefore, its potential market segmentation. The flash point is another </w:t>
      </w:r>
      <w:proofErr w:type="gramStart"/>
      <w:r w:rsidR="002405DB">
        <w:rPr>
          <w:rFonts w:eastAsia="Calibri" w:cs="Calibri"/>
          <w:sz w:val="22"/>
          <w:szCs w:val="22"/>
          <w:lang w:val="en-GB"/>
        </w:rPr>
        <w:t xml:space="preserve">important </w:t>
      </w:r>
      <w:r w:rsidRPr="5937A937">
        <w:rPr>
          <w:rFonts w:eastAsia="Calibri" w:cs="Calibri"/>
          <w:sz w:val="22"/>
          <w:szCs w:val="22"/>
          <w:lang w:val="en-GB"/>
        </w:rPr>
        <w:t xml:space="preserve"> property</w:t>
      </w:r>
      <w:proofErr w:type="gramEnd"/>
      <w:r w:rsidRPr="5937A937">
        <w:rPr>
          <w:rFonts w:eastAsia="Calibri" w:cs="Calibri"/>
          <w:sz w:val="22"/>
          <w:szCs w:val="22"/>
          <w:lang w:val="en-GB"/>
        </w:rPr>
        <w:t xml:space="preserve"> for end use, since it has a direct impact on </w:t>
      </w:r>
      <w:r w:rsidR="00835085">
        <w:rPr>
          <w:rFonts w:eastAsia="Calibri" w:cs="Calibri"/>
          <w:sz w:val="22"/>
          <w:szCs w:val="22"/>
          <w:lang w:val="en-GB"/>
        </w:rPr>
        <w:t>fuel handling safety</w:t>
      </w:r>
      <w:r w:rsidRPr="5937A937">
        <w:rPr>
          <w:rFonts w:eastAsia="Calibri" w:cs="Calibri"/>
          <w:sz w:val="22"/>
          <w:szCs w:val="22"/>
          <w:lang w:val="en-GB"/>
        </w:rPr>
        <w:t>. In terms of engine performance, the density, heating value</w:t>
      </w:r>
      <w:r w:rsidR="00FC4A4E">
        <w:rPr>
          <w:rFonts w:eastAsia="Calibri" w:cs="Calibri"/>
          <w:sz w:val="22"/>
          <w:szCs w:val="22"/>
          <w:lang w:val="en-GB"/>
        </w:rPr>
        <w:t>, cetane number</w:t>
      </w:r>
      <w:r w:rsidRPr="5937A937">
        <w:rPr>
          <w:rFonts w:eastAsia="Calibri" w:cs="Calibri"/>
          <w:sz w:val="22"/>
          <w:szCs w:val="22"/>
          <w:lang w:val="en-GB"/>
        </w:rPr>
        <w:t xml:space="preserve"> and viscosity are key parameters to consider for the resulted blend. Density will affect the mass of injected fuel</w:t>
      </w:r>
      <w:r w:rsidR="000E539E">
        <w:rPr>
          <w:rFonts w:eastAsia="Calibri" w:cs="Calibri"/>
          <w:sz w:val="22"/>
          <w:szCs w:val="22"/>
          <w:lang w:val="en-GB"/>
        </w:rPr>
        <w:t>. Cetane number relates to the ignition properties</w:t>
      </w:r>
      <w:r w:rsidR="00DB10B1">
        <w:rPr>
          <w:rFonts w:eastAsia="Calibri" w:cs="Calibri"/>
          <w:sz w:val="22"/>
          <w:szCs w:val="22"/>
          <w:lang w:val="en-GB"/>
        </w:rPr>
        <w:t>.</w:t>
      </w:r>
      <w:r w:rsidRPr="5937A937">
        <w:rPr>
          <w:rFonts w:eastAsia="Calibri" w:cs="Calibri"/>
          <w:sz w:val="22"/>
          <w:szCs w:val="22"/>
          <w:lang w:val="en-GB"/>
        </w:rPr>
        <w:t xml:space="preserve"> </w:t>
      </w:r>
      <w:r w:rsidR="00DB10B1">
        <w:rPr>
          <w:rFonts w:eastAsia="Calibri" w:cs="Calibri"/>
          <w:sz w:val="22"/>
          <w:szCs w:val="22"/>
          <w:lang w:val="en-GB"/>
        </w:rPr>
        <w:t>V</w:t>
      </w:r>
      <w:r w:rsidRPr="5937A937">
        <w:rPr>
          <w:rFonts w:eastAsia="Calibri" w:cs="Calibri"/>
          <w:sz w:val="22"/>
          <w:szCs w:val="22"/>
          <w:lang w:val="en-GB"/>
        </w:rPr>
        <w:t>iscosity will influence on the gas-liquid mixture homogenization and hydrostatic behaviour</w:t>
      </w:r>
      <w:r w:rsidR="0445CEF7" w:rsidRPr="5937A937">
        <w:rPr>
          <w:rFonts w:eastAsia="Calibri" w:cs="Calibri"/>
          <w:sz w:val="22"/>
          <w:szCs w:val="22"/>
          <w:lang w:val="en-GB"/>
        </w:rPr>
        <w:t xml:space="preserve"> during injection</w:t>
      </w:r>
      <w:r w:rsidRPr="5937A937">
        <w:rPr>
          <w:rFonts w:eastAsia="Calibri" w:cs="Calibri"/>
          <w:sz w:val="22"/>
          <w:szCs w:val="22"/>
          <w:lang w:val="en-GB"/>
        </w:rPr>
        <w:t xml:space="preserve"> while the heating value refers to the energy obtained during combustion (</w:t>
      </w:r>
      <w:proofErr w:type="spellStart"/>
      <w:r w:rsidRPr="5937A937">
        <w:rPr>
          <w:rFonts w:eastAsia="Calibri" w:cs="Calibri"/>
          <w:sz w:val="22"/>
          <w:szCs w:val="22"/>
          <w:lang w:val="en-GB"/>
        </w:rPr>
        <w:t>Panoutsou</w:t>
      </w:r>
      <w:proofErr w:type="spellEnd"/>
      <w:r w:rsidRPr="5937A937">
        <w:rPr>
          <w:rFonts w:eastAsia="Calibri" w:cs="Calibri"/>
          <w:sz w:val="22"/>
          <w:szCs w:val="22"/>
          <w:lang w:val="en-GB"/>
        </w:rPr>
        <w:t xml:space="preserve"> et al., 2021).</w:t>
      </w:r>
    </w:p>
    <w:p w14:paraId="3BED188D" w14:textId="663A7456" w:rsidR="00DC3405" w:rsidRDefault="00DC3405">
      <w:pPr>
        <w:spacing w:after="160" w:line="259" w:lineRule="auto"/>
        <w:jc w:val="left"/>
        <w:rPr>
          <w:szCs w:val="21"/>
          <w:lang w:val="en-GB"/>
        </w:rPr>
      </w:pPr>
      <w:r>
        <w:rPr>
          <w:szCs w:val="21"/>
          <w:lang w:val="en-GB"/>
        </w:rPr>
        <w:br w:type="page"/>
      </w:r>
    </w:p>
    <w:p w14:paraId="6B8DED71" w14:textId="77777777" w:rsidR="00C53804" w:rsidRPr="00650B23" w:rsidRDefault="00C53804" w:rsidP="5937A937">
      <w:pPr>
        <w:spacing w:line="360" w:lineRule="auto"/>
        <w:ind w:firstLine="720"/>
        <w:rPr>
          <w:szCs w:val="21"/>
          <w:lang w:val="en-GB"/>
        </w:rPr>
      </w:pPr>
    </w:p>
    <w:p w14:paraId="5905CC79" w14:textId="3D7BB608" w:rsidR="00C53804" w:rsidRPr="00650B23" w:rsidRDefault="00816FB2" w:rsidP="00816FB2">
      <w:pPr>
        <w:pStyle w:val="Caption"/>
      </w:pPr>
      <w:bookmarkStart w:id="29" w:name="_Toc85627889"/>
      <w:bookmarkStart w:id="30" w:name="_Toc85627895"/>
      <w:r>
        <w:t xml:space="preserve">Table </w:t>
      </w:r>
      <w:fldSimple w:instr=" SEQ Table \* ARABIC ">
        <w:r w:rsidR="008027AE">
          <w:rPr>
            <w:noProof/>
          </w:rPr>
          <w:t>3</w:t>
        </w:r>
      </w:fldSimple>
      <w:r>
        <w:t xml:space="preserve">. </w:t>
      </w:r>
      <w:r w:rsidRPr="00AA43AF">
        <w:t xml:space="preserve">Fuel and engine compatibility (adapted from </w:t>
      </w:r>
      <w:proofErr w:type="spellStart"/>
      <w:r w:rsidRPr="00AA43AF">
        <w:t>Uslu</w:t>
      </w:r>
      <w:proofErr w:type="spellEnd"/>
      <w:r w:rsidRPr="00AA43AF">
        <w:t>, 2019)</w:t>
      </w:r>
      <w:r>
        <w:t>.</w:t>
      </w:r>
      <w:bookmarkEnd w:id="29"/>
      <w:bookmarkEnd w:id="30"/>
    </w:p>
    <w:tbl>
      <w:tblPr>
        <w:tblStyle w:val="TableGrid"/>
        <w:tblW w:w="0" w:type="auto"/>
        <w:tblLayout w:type="fixed"/>
        <w:tblLook w:val="06A0" w:firstRow="1" w:lastRow="0" w:firstColumn="1" w:lastColumn="0" w:noHBand="1" w:noVBand="1"/>
      </w:tblPr>
      <w:tblGrid>
        <w:gridCol w:w="2535"/>
        <w:gridCol w:w="1035"/>
        <w:gridCol w:w="6060"/>
      </w:tblGrid>
      <w:tr w:rsidR="5937A937" w14:paraId="463A16CD" w14:textId="77777777" w:rsidTr="5937A937">
        <w:tc>
          <w:tcPr>
            <w:tcW w:w="2535" w:type="dxa"/>
            <w:tcBorders>
              <w:top w:val="single" w:sz="8" w:space="0" w:color="auto"/>
              <w:left w:val="nil"/>
              <w:bottom w:val="single" w:sz="8" w:space="0" w:color="auto"/>
              <w:right w:val="nil"/>
            </w:tcBorders>
          </w:tcPr>
          <w:p w14:paraId="2601A40F" w14:textId="0DC48A76" w:rsidR="5937A937" w:rsidRDefault="5937A937" w:rsidP="5937A937">
            <w:pPr>
              <w:spacing w:before="120" w:after="120"/>
              <w:jc w:val="center"/>
            </w:pPr>
            <w:r w:rsidRPr="5937A937">
              <w:rPr>
                <w:rFonts w:eastAsia="Calibri" w:cs="Calibri"/>
                <w:b/>
                <w:bCs/>
                <w:color w:val="0C0C0C" w:themeColor="text1"/>
                <w:sz w:val="18"/>
                <w:szCs w:val="18"/>
                <w:lang w:val="en-GB"/>
              </w:rPr>
              <w:t>Fuel</w:t>
            </w:r>
          </w:p>
        </w:tc>
        <w:tc>
          <w:tcPr>
            <w:tcW w:w="1035" w:type="dxa"/>
            <w:tcBorders>
              <w:top w:val="single" w:sz="8" w:space="0" w:color="auto"/>
              <w:left w:val="nil"/>
              <w:bottom w:val="single" w:sz="8" w:space="0" w:color="auto"/>
              <w:right w:val="nil"/>
            </w:tcBorders>
          </w:tcPr>
          <w:p w14:paraId="7D0548FE" w14:textId="3C7CEB8B" w:rsidR="5937A937" w:rsidRDefault="5937A937" w:rsidP="5937A937">
            <w:pPr>
              <w:spacing w:before="120" w:after="120"/>
              <w:jc w:val="center"/>
            </w:pPr>
            <w:r w:rsidRPr="5937A937">
              <w:rPr>
                <w:rFonts w:eastAsia="Calibri" w:cs="Calibri"/>
                <w:b/>
                <w:bCs/>
                <w:color w:val="0C0C0C" w:themeColor="text1"/>
                <w:sz w:val="18"/>
                <w:szCs w:val="18"/>
                <w:lang w:val="en-GB"/>
              </w:rPr>
              <w:t>Drop-in</w:t>
            </w:r>
          </w:p>
        </w:tc>
        <w:tc>
          <w:tcPr>
            <w:tcW w:w="6060" w:type="dxa"/>
            <w:tcBorders>
              <w:top w:val="single" w:sz="8" w:space="0" w:color="auto"/>
              <w:left w:val="nil"/>
              <w:bottom w:val="single" w:sz="8" w:space="0" w:color="auto"/>
              <w:right w:val="nil"/>
            </w:tcBorders>
          </w:tcPr>
          <w:p w14:paraId="7803ED79" w14:textId="096CCE26" w:rsidR="5937A937" w:rsidRDefault="5937A937" w:rsidP="5937A937">
            <w:pPr>
              <w:spacing w:before="120" w:after="120"/>
              <w:jc w:val="center"/>
            </w:pPr>
            <w:r w:rsidRPr="5937A937">
              <w:rPr>
                <w:rFonts w:eastAsia="Calibri" w:cs="Calibri"/>
                <w:b/>
                <w:bCs/>
                <w:color w:val="0C0C0C" w:themeColor="text1"/>
                <w:sz w:val="18"/>
                <w:szCs w:val="18"/>
                <w:lang w:val="en-GB"/>
              </w:rPr>
              <w:t>Engine's requirements</w:t>
            </w:r>
          </w:p>
        </w:tc>
      </w:tr>
      <w:tr w:rsidR="5937A937" w14:paraId="5E709B93" w14:textId="77777777" w:rsidTr="5937A937">
        <w:tc>
          <w:tcPr>
            <w:tcW w:w="2535" w:type="dxa"/>
            <w:tcBorders>
              <w:top w:val="single" w:sz="8" w:space="0" w:color="auto"/>
              <w:left w:val="nil"/>
              <w:bottom w:val="none" w:sz="4" w:space="0" w:color="000000"/>
              <w:right w:val="nil"/>
            </w:tcBorders>
            <w:vAlign w:val="center"/>
          </w:tcPr>
          <w:p w14:paraId="00266D02" w14:textId="122E0757" w:rsidR="5937A937" w:rsidRDefault="5937A937" w:rsidP="5937A937">
            <w:pPr>
              <w:spacing w:before="120" w:after="120"/>
              <w:jc w:val="center"/>
            </w:pPr>
            <w:r w:rsidRPr="5937A937">
              <w:rPr>
                <w:rFonts w:eastAsia="Calibri" w:cs="Calibri"/>
                <w:color w:val="0C0C0C" w:themeColor="text1"/>
                <w:sz w:val="18"/>
                <w:szCs w:val="18"/>
                <w:lang w:val="en-GB"/>
              </w:rPr>
              <w:t>Pyrolysis oil</w:t>
            </w:r>
          </w:p>
        </w:tc>
        <w:tc>
          <w:tcPr>
            <w:tcW w:w="1035" w:type="dxa"/>
            <w:tcBorders>
              <w:top w:val="single" w:sz="8" w:space="0" w:color="auto"/>
              <w:left w:val="nil"/>
              <w:bottom w:val="none" w:sz="4" w:space="0" w:color="000000"/>
              <w:right w:val="nil"/>
            </w:tcBorders>
            <w:vAlign w:val="center"/>
          </w:tcPr>
          <w:p w14:paraId="157E3912" w14:textId="2BDB3705" w:rsidR="5937A937" w:rsidRDefault="5937A937" w:rsidP="5937A937">
            <w:pPr>
              <w:spacing w:before="120" w:after="120"/>
              <w:jc w:val="center"/>
            </w:pPr>
            <w:r w:rsidRPr="5937A937">
              <w:rPr>
                <w:rFonts w:eastAsia="Calibri" w:cs="Calibri"/>
                <w:color w:val="0C0C0C" w:themeColor="text1"/>
                <w:sz w:val="18"/>
                <w:szCs w:val="18"/>
                <w:lang w:val="en-GB"/>
              </w:rPr>
              <w:t>No</w:t>
            </w:r>
          </w:p>
        </w:tc>
        <w:tc>
          <w:tcPr>
            <w:tcW w:w="6060" w:type="dxa"/>
            <w:tcBorders>
              <w:top w:val="single" w:sz="8" w:space="0" w:color="auto"/>
              <w:left w:val="nil"/>
              <w:bottom w:val="none" w:sz="4" w:space="0" w:color="000000"/>
              <w:right w:val="nil"/>
            </w:tcBorders>
            <w:vAlign w:val="center"/>
          </w:tcPr>
          <w:p w14:paraId="776928BD" w14:textId="314042A8" w:rsidR="5937A937" w:rsidRDefault="5937A937" w:rsidP="5937A937">
            <w:pPr>
              <w:spacing w:before="120" w:after="120"/>
              <w:jc w:val="center"/>
            </w:pPr>
            <w:r w:rsidRPr="5937A937">
              <w:rPr>
                <w:rFonts w:eastAsia="Calibri" w:cs="Calibri"/>
                <w:color w:val="0C0C0C" w:themeColor="text1"/>
                <w:sz w:val="18"/>
                <w:szCs w:val="18"/>
                <w:lang w:val="en-GB"/>
              </w:rPr>
              <w:t xml:space="preserve">It is not compatible with the engine and fuel system. Adaptations are needed </w:t>
            </w:r>
          </w:p>
        </w:tc>
      </w:tr>
      <w:tr w:rsidR="5937A937" w14:paraId="31358353" w14:textId="77777777" w:rsidTr="5937A937">
        <w:tc>
          <w:tcPr>
            <w:tcW w:w="2535" w:type="dxa"/>
            <w:tcBorders>
              <w:top w:val="none" w:sz="4" w:space="0" w:color="000000"/>
              <w:left w:val="none" w:sz="4" w:space="0" w:color="000000"/>
              <w:bottom w:val="none" w:sz="4" w:space="0" w:color="000000"/>
              <w:right w:val="none" w:sz="4" w:space="0" w:color="000000"/>
            </w:tcBorders>
            <w:vAlign w:val="center"/>
          </w:tcPr>
          <w:p w14:paraId="499C73E1" w14:textId="298D51FE" w:rsidR="5937A937" w:rsidRDefault="5937A937" w:rsidP="5937A937">
            <w:pPr>
              <w:spacing w:before="120" w:after="120"/>
              <w:jc w:val="center"/>
            </w:pPr>
            <w:r w:rsidRPr="5937A937">
              <w:rPr>
                <w:rFonts w:eastAsia="Calibri" w:cs="Calibri"/>
                <w:color w:val="0C0C0C" w:themeColor="text1"/>
                <w:sz w:val="18"/>
                <w:szCs w:val="18"/>
                <w:lang w:val="en-GB"/>
              </w:rPr>
              <w:t>Upgraded Pyrolysis oil</w:t>
            </w:r>
          </w:p>
        </w:tc>
        <w:tc>
          <w:tcPr>
            <w:tcW w:w="1035" w:type="dxa"/>
            <w:tcBorders>
              <w:top w:val="none" w:sz="4" w:space="0" w:color="000000"/>
              <w:left w:val="none" w:sz="4" w:space="0" w:color="000000"/>
              <w:bottom w:val="none" w:sz="4" w:space="0" w:color="000000"/>
              <w:right w:val="none" w:sz="4" w:space="0" w:color="000000"/>
            </w:tcBorders>
            <w:vAlign w:val="center"/>
          </w:tcPr>
          <w:p w14:paraId="09AB4FAE" w14:textId="09D99C7A" w:rsidR="5937A937" w:rsidRDefault="5937A937" w:rsidP="5937A937">
            <w:pPr>
              <w:spacing w:before="120" w:after="120"/>
              <w:jc w:val="center"/>
            </w:pPr>
            <w:r w:rsidRPr="5937A937">
              <w:rPr>
                <w:rFonts w:eastAsia="Calibri" w:cs="Calibri"/>
                <w:color w:val="0C0C0C" w:themeColor="text1"/>
                <w:sz w:val="18"/>
                <w:szCs w:val="18"/>
                <w:lang w:val="en-GB"/>
              </w:rPr>
              <w:t>Yes</w:t>
            </w:r>
          </w:p>
        </w:tc>
        <w:tc>
          <w:tcPr>
            <w:tcW w:w="6060" w:type="dxa"/>
            <w:tcBorders>
              <w:top w:val="none" w:sz="4" w:space="0" w:color="000000"/>
              <w:left w:val="none" w:sz="4" w:space="0" w:color="000000"/>
              <w:bottom w:val="none" w:sz="4" w:space="0" w:color="000000"/>
              <w:right w:val="none" w:sz="4" w:space="0" w:color="000000"/>
            </w:tcBorders>
            <w:vAlign w:val="center"/>
          </w:tcPr>
          <w:p w14:paraId="48DCCF5D" w14:textId="05B3DDDE" w:rsidR="5937A937" w:rsidRDefault="5937A937" w:rsidP="5937A937">
            <w:pPr>
              <w:spacing w:before="120" w:after="120"/>
              <w:jc w:val="center"/>
            </w:pPr>
            <w:r w:rsidRPr="5937A937">
              <w:rPr>
                <w:rFonts w:eastAsia="Calibri" w:cs="Calibri"/>
                <w:color w:val="0C0C0C" w:themeColor="text1"/>
                <w:sz w:val="18"/>
                <w:szCs w:val="18"/>
                <w:lang w:val="en-GB"/>
              </w:rPr>
              <w:t>Similar characteristics to FT-Diesel and potentially be used for in-land shipping.</w:t>
            </w:r>
          </w:p>
        </w:tc>
      </w:tr>
      <w:tr w:rsidR="5937A937" w14:paraId="70E1B33F" w14:textId="77777777" w:rsidTr="5937A937">
        <w:tc>
          <w:tcPr>
            <w:tcW w:w="2535" w:type="dxa"/>
            <w:tcBorders>
              <w:top w:val="none" w:sz="4" w:space="0" w:color="000000"/>
              <w:left w:val="none" w:sz="4" w:space="0" w:color="000000"/>
              <w:bottom w:val="none" w:sz="4" w:space="0" w:color="000000"/>
              <w:right w:val="none" w:sz="4" w:space="0" w:color="000000"/>
            </w:tcBorders>
            <w:vAlign w:val="center"/>
          </w:tcPr>
          <w:p w14:paraId="4774089F" w14:textId="5FE9801E" w:rsidR="5937A937" w:rsidRDefault="5937A937" w:rsidP="5937A937">
            <w:pPr>
              <w:spacing w:before="120" w:after="120"/>
              <w:jc w:val="center"/>
            </w:pPr>
            <w:r w:rsidRPr="5937A937">
              <w:rPr>
                <w:rFonts w:eastAsia="Calibri" w:cs="Calibri"/>
                <w:color w:val="0C0C0C" w:themeColor="text1"/>
                <w:sz w:val="18"/>
                <w:szCs w:val="18"/>
                <w:lang w:val="en-GB"/>
              </w:rPr>
              <w:t>FT- Diesel</w:t>
            </w:r>
          </w:p>
        </w:tc>
        <w:tc>
          <w:tcPr>
            <w:tcW w:w="1035" w:type="dxa"/>
            <w:tcBorders>
              <w:top w:val="none" w:sz="4" w:space="0" w:color="000000"/>
              <w:left w:val="none" w:sz="4" w:space="0" w:color="000000"/>
              <w:bottom w:val="none" w:sz="4" w:space="0" w:color="000000"/>
              <w:right w:val="none" w:sz="4" w:space="0" w:color="000000"/>
            </w:tcBorders>
            <w:vAlign w:val="center"/>
          </w:tcPr>
          <w:p w14:paraId="70BF8963" w14:textId="436060A7" w:rsidR="5937A937" w:rsidRDefault="5937A937" w:rsidP="5937A937">
            <w:pPr>
              <w:spacing w:before="120" w:after="120"/>
              <w:jc w:val="center"/>
            </w:pPr>
            <w:r w:rsidRPr="5937A937">
              <w:rPr>
                <w:rFonts w:eastAsia="Calibri" w:cs="Calibri"/>
                <w:color w:val="0C0C0C" w:themeColor="text1"/>
                <w:sz w:val="18"/>
                <w:szCs w:val="18"/>
                <w:lang w:val="en-GB"/>
              </w:rPr>
              <w:t>Yes</w:t>
            </w:r>
          </w:p>
        </w:tc>
        <w:tc>
          <w:tcPr>
            <w:tcW w:w="6060" w:type="dxa"/>
            <w:tcBorders>
              <w:top w:val="none" w:sz="4" w:space="0" w:color="000000"/>
              <w:left w:val="none" w:sz="4" w:space="0" w:color="000000"/>
              <w:bottom w:val="none" w:sz="4" w:space="0" w:color="000000"/>
              <w:right w:val="none" w:sz="4" w:space="0" w:color="000000"/>
            </w:tcBorders>
            <w:vAlign w:val="center"/>
          </w:tcPr>
          <w:p w14:paraId="7539A9FC" w14:textId="73C45029" w:rsidR="5937A937" w:rsidRDefault="5937A937" w:rsidP="5937A937">
            <w:pPr>
              <w:spacing w:before="120" w:after="120"/>
              <w:jc w:val="center"/>
            </w:pPr>
            <w:r w:rsidRPr="5937A937">
              <w:rPr>
                <w:rFonts w:eastAsia="Calibri" w:cs="Calibri"/>
                <w:color w:val="0C0C0C" w:themeColor="text1"/>
                <w:sz w:val="18"/>
                <w:szCs w:val="18"/>
                <w:lang w:val="en-GB"/>
              </w:rPr>
              <w:t>Need larger fuel tanks due to the lower volumetric energy density.</w:t>
            </w:r>
          </w:p>
          <w:p w14:paraId="3EE29C42" w14:textId="3028E07D" w:rsidR="5937A937" w:rsidRDefault="5937A937" w:rsidP="5937A937">
            <w:pPr>
              <w:spacing w:before="120" w:after="120"/>
              <w:jc w:val="center"/>
            </w:pPr>
            <w:r w:rsidRPr="5937A937">
              <w:rPr>
                <w:rFonts w:eastAsia="Calibri" w:cs="Calibri"/>
                <w:color w:val="0C0C0C" w:themeColor="text1"/>
                <w:sz w:val="18"/>
                <w:szCs w:val="18"/>
                <w:lang w:val="en-GB"/>
              </w:rPr>
              <w:t>Compatible with current vessel and port infrastructure.</w:t>
            </w:r>
          </w:p>
        </w:tc>
      </w:tr>
      <w:tr w:rsidR="5937A937" w14:paraId="78359E73" w14:textId="77777777" w:rsidTr="5937A937">
        <w:tc>
          <w:tcPr>
            <w:tcW w:w="2535" w:type="dxa"/>
            <w:tcBorders>
              <w:top w:val="none" w:sz="4" w:space="0" w:color="000000"/>
              <w:left w:val="none" w:sz="4" w:space="0" w:color="000000"/>
              <w:bottom w:val="none" w:sz="4" w:space="0" w:color="000000"/>
              <w:right w:val="none" w:sz="4" w:space="0" w:color="000000"/>
            </w:tcBorders>
            <w:vAlign w:val="center"/>
          </w:tcPr>
          <w:p w14:paraId="64555A73" w14:textId="7844C72D" w:rsidR="5937A937" w:rsidRDefault="5937A937" w:rsidP="5937A937">
            <w:pPr>
              <w:spacing w:before="120" w:after="120"/>
              <w:jc w:val="center"/>
            </w:pPr>
            <w:r w:rsidRPr="5937A937">
              <w:rPr>
                <w:rFonts w:eastAsia="Calibri" w:cs="Calibri"/>
                <w:color w:val="0C0C0C" w:themeColor="text1"/>
                <w:sz w:val="18"/>
                <w:szCs w:val="18"/>
                <w:lang w:val="en-GB"/>
              </w:rPr>
              <w:t>HVO</w:t>
            </w:r>
          </w:p>
        </w:tc>
        <w:tc>
          <w:tcPr>
            <w:tcW w:w="1035" w:type="dxa"/>
            <w:tcBorders>
              <w:top w:val="none" w:sz="4" w:space="0" w:color="000000"/>
              <w:left w:val="none" w:sz="4" w:space="0" w:color="000000"/>
              <w:bottom w:val="none" w:sz="4" w:space="0" w:color="000000"/>
              <w:right w:val="none" w:sz="4" w:space="0" w:color="000000"/>
            </w:tcBorders>
            <w:vAlign w:val="center"/>
          </w:tcPr>
          <w:p w14:paraId="1774E237" w14:textId="132EB2DA" w:rsidR="5937A937" w:rsidRDefault="5937A937" w:rsidP="5937A937">
            <w:pPr>
              <w:spacing w:before="120" w:after="120"/>
              <w:jc w:val="center"/>
            </w:pPr>
            <w:r w:rsidRPr="5937A937">
              <w:rPr>
                <w:rFonts w:eastAsia="Calibri" w:cs="Calibri"/>
                <w:color w:val="0C0C0C" w:themeColor="text1"/>
                <w:sz w:val="18"/>
                <w:szCs w:val="18"/>
                <w:lang w:val="en-GB"/>
              </w:rPr>
              <w:t>Yes</w:t>
            </w:r>
          </w:p>
        </w:tc>
        <w:tc>
          <w:tcPr>
            <w:tcW w:w="6060" w:type="dxa"/>
            <w:tcBorders>
              <w:top w:val="none" w:sz="4" w:space="0" w:color="000000"/>
              <w:left w:val="none" w:sz="4" w:space="0" w:color="000000"/>
              <w:bottom w:val="none" w:sz="4" w:space="0" w:color="000000"/>
              <w:right w:val="none" w:sz="4" w:space="0" w:color="000000"/>
            </w:tcBorders>
            <w:vAlign w:val="center"/>
          </w:tcPr>
          <w:p w14:paraId="30A456E4" w14:textId="43F87910" w:rsidR="5937A937" w:rsidRDefault="5937A937" w:rsidP="5937A937">
            <w:pPr>
              <w:spacing w:before="120" w:after="120"/>
              <w:jc w:val="center"/>
            </w:pPr>
            <w:r w:rsidRPr="5937A937">
              <w:rPr>
                <w:rFonts w:eastAsia="Calibri" w:cs="Calibri"/>
                <w:color w:val="0C0C0C" w:themeColor="text1"/>
                <w:sz w:val="18"/>
                <w:szCs w:val="18"/>
                <w:lang w:val="en-GB"/>
              </w:rPr>
              <w:t>Compatible with current marine diesel engines running on HFO, MDO, and MGO</w:t>
            </w:r>
          </w:p>
        </w:tc>
      </w:tr>
      <w:tr w:rsidR="5937A937" w14:paraId="3D37666C" w14:textId="77777777" w:rsidTr="5937A937">
        <w:tc>
          <w:tcPr>
            <w:tcW w:w="2535" w:type="dxa"/>
            <w:tcBorders>
              <w:top w:val="none" w:sz="4" w:space="0" w:color="000000"/>
              <w:left w:val="none" w:sz="4" w:space="0" w:color="000000"/>
              <w:bottom w:val="none" w:sz="4" w:space="0" w:color="000000"/>
              <w:right w:val="none" w:sz="4" w:space="0" w:color="000000"/>
            </w:tcBorders>
            <w:vAlign w:val="center"/>
          </w:tcPr>
          <w:p w14:paraId="37818AF1" w14:textId="03402E12" w:rsidR="5937A937" w:rsidRDefault="5937A937" w:rsidP="5937A937">
            <w:pPr>
              <w:spacing w:before="120" w:after="120"/>
              <w:jc w:val="center"/>
            </w:pPr>
            <w:r w:rsidRPr="5937A937">
              <w:rPr>
                <w:rFonts w:eastAsia="Calibri" w:cs="Calibri"/>
                <w:color w:val="0C0C0C" w:themeColor="text1"/>
                <w:sz w:val="18"/>
                <w:szCs w:val="18"/>
                <w:lang w:val="en-GB"/>
              </w:rPr>
              <w:t>(Bio) Methanol</w:t>
            </w:r>
          </w:p>
        </w:tc>
        <w:tc>
          <w:tcPr>
            <w:tcW w:w="1035" w:type="dxa"/>
            <w:tcBorders>
              <w:top w:val="none" w:sz="4" w:space="0" w:color="000000"/>
              <w:left w:val="none" w:sz="4" w:space="0" w:color="000000"/>
              <w:bottom w:val="none" w:sz="4" w:space="0" w:color="000000"/>
              <w:right w:val="none" w:sz="4" w:space="0" w:color="000000"/>
            </w:tcBorders>
            <w:vAlign w:val="center"/>
          </w:tcPr>
          <w:p w14:paraId="38192A50" w14:textId="360FAF03" w:rsidR="5937A937" w:rsidRDefault="5937A937" w:rsidP="5937A937">
            <w:pPr>
              <w:spacing w:before="120" w:after="120"/>
              <w:jc w:val="center"/>
            </w:pPr>
            <w:r w:rsidRPr="5937A937">
              <w:rPr>
                <w:rFonts w:eastAsia="Calibri" w:cs="Calibri"/>
                <w:color w:val="0C0C0C" w:themeColor="text1"/>
                <w:sz w:val="18"/>
                <w:szCs w:val="18"/>
                <w:lang w:val="en-GB"/>
              </w:rPr>
              <w:t>No</w:t>
            </w:r>
          </w:p>
        </w:tc>
        <w:tc>
          <w:tcPr>
            <w:tcW w:w="6060" w:type="dxa"/>
            <w:tcBorders>
              <w:top w:val="none" w:sz="4" w:space="0" w:color="000000"/>
              <w:left w:val="none" w:sz="4" w:space="0" w:color="000000"/>
              <w:bottom w:val="none" w:sz="4" w:space="0" w:color="000000"/>
              <w:right w:val="none" w:sz="4" w:space="0" w:color="000000"/>
            </w:tcBorders>
            <w:vAlign w:val="center"/>
          </w:tcPr>
          <w:p w14:paraId="3AC8132A" w14:textId="0913E494" w:rsidR="5937A937" w:rsidRDefault="5937A937" w:rsidP="5937A937">
            <w:pPr>
              <w:spacing w:before="120" w:after="120"/>
              <w:jc w:val="center"/>
            </w:pPr>
            <w:r w:rsidRPr="5937A937">
              <w:rPr>
                <w:rFonts w:eastAsia="Calibri" w:cs="Calibri"/>
                <w:color w:val="0C0C0C" w:themeColor="text1"/>
                <w:sz w:val="18"/>
                <w:szCs w:val="18"/>
                <w:lang w:val="en-GB"/>
              </w:rPr>
              <w:t xml:space="preserve">Higher application potential for short-sea-shipping due to the lower energy density. </w:t>
            </w:r>
          </w:p>
          <w:p w14:paraId="30D918FA" w14:textId="764CE780" w:rsidR="5937A937" w:rsidRDefault="5937A937" w:rsidP="5937A937">
            <w:pPr>
              <w:spacing w:before="120" w:after="120"/>
              <w:jc w:val="center"/>
            </w:pPr>
            <w:r w:rsidRPr="5937A937">
              <w:rPr>
                <w:rFonts w:eastAsia="Calibri" w:cs="Calibri"/>
                <w:color w:val="0C0C0C" w:themeColor="text1"/>
                <w:sz w:val="18"/>
                <w:szCs w:val="18"/>
                <w:lang w:val="en-GB"/>
              </w:rPr>
              <w:t xml:space="preserve">Mayor changes in engine system are needed, including injection, ignition enhancer, fuelling system and storage. </w:t>
            </w:r>
          </w:p>
        </w:tc>
      </w:tr>
      <w:tr w:rsidR="5937A937" w14:paraId="7186B269" w14:textId="77777777" w:rsidTr="5937A937">
        <w:tc>
          <w:tcPr>
            <w:tcW w:w="2535" w:type="dxa"/>
            <w:tcBorders>
              <w:top w:val="none" w:sz="4" w:space="0" w:color="000000"/>
              <w:left w:val="nil"/>
              <w:bottom w:val="single" w:sz="8" w:space="0" w:color="auto"/>
              <w:right w:val="nil"/>
            </w:tcBorders>
            <w:vAlign w:val="center"/>
          </w:tcPr>
          <w:p w14:paraId="5835EF6C" w14:textId="4AB0D284" w:rsidR="5937A937" w:rsidRDefault="5937A937" w:rsidP="5937A937">
            <w:pPr>
              <w:spacing w:before="120" w:after="120"/>
              <w:jc w:val="center"/>
            </w:pPr>
            <w:r w:rsidRPr="5937A937">
              <w:rPr>
                <w:rFonts w:eastAsia="Calibri" w:cs="Calibri"/>
                <w:color w:val="0C0C0C" w:themeColor="text1"/>
                <w:sz w:val="18"/>
                <w:szCs w:val="18"/>
                <w:lang w:val="en-GB"/>
              </w:rPr>
              <w:t>Ethanol (lignocellulose base)</w:t>
            </w:r>
          </w:p>
        </w:tc>
        <w:tc>
          <w:tcPr>
            <w:tcW w:w="1035" w:type="dxa"/>
            <w:tcBorders>
              <w:top w:val="none" w:sz="4" w:space="0" w:color="000000"/>
              <w:left w:val="nil"/>
              <w:bottom w:val="single" w:sz="8" w:space="0" w:color="auto"/>
              <w:right w:val="nil"/>
            </w:tcBorders>
            <w:vAlign w:val="center"/>
          </w:tcPr>
          <w:p w14:paraId="255D307B" w14:textId="369DB33E" w:rsidR="5937A937" w:rsidRDefault="5937A937" w:rsidP="5937A937">
            <w:pPr>
              <w:spacing w:before="120" w:after="120"/>
              <w:jc w:val="center"/>
            </w:pPr>
            <w:r w:rsidRPr="5937A937">
              <w:rPr>
                <w:rFonts w:eastAsia="Calibri" w:cs="Calibri"/>
                <w:color w:val="0C0C0C" w:themeColor="text1"/>
                <w:sz w:val="18"/>
                <w:szCs w:val="18"/>
                <w:lang w:val="en-GB"/>
              </w:rPr>
              <w:t>No</w:t>
            </w:r>
          </w:p>
        </w:tc>
        <w:tc>
          <w:tcPr>
            <w:tcW w:w="6060" w:type="dxa"/>
            <w:tcBorders>
              <w:top w:val="none" w:sz="4" w:space="0" w:color="000000"/>
              <w:left w:val="nil"/>
              <w:bottom w:val="single" w:sz="8" w:space="0" w:color="auto"/>
              <w:right w:val="nil"/>
            </w:tcBorders>
            <w:vAlign w:val="center"/>
          </w:tcPr>
          <w:p w14:paraId="3D0C7B18" w14:textId="3EC4DA22" w:rsidR="5937A937" w:rsidRDefault="5937A937" w:rsidP="5937A937">
            <w:pPr>
              <w:spacing w:before="120" w:after="120"/>
              <w:jc w:val="center"/>
            </w:pPr>
            <w:r w:rsidRPr="5937A937">
              <w:rPr>
                <w:rFonts w:eastAsia="Calibri" w:cs="Calibri"/>
                <w:color w:val="0C0C0C" w:themeColor="text1"/>
                <w:sz w:val="18"/>
                <w:szCs w:val="18"/>
                <w:lang w:val="en-GB"/>
              </w:rPr>
              <w:t>Similar requirements to methanol.</w:t>
            </w:r>
          </w:p>
        </w:tc>
      </w:tr>
    </w:tbl>
    <w:p w14:paraId="1D9C6626" w14:textId="77777777" w:rsidR="0022473B" w:rsidRDefault="0022473B" w:rsidP="5937A937">
      <w:pPr>
        <w:spacing w:line="360" w:lineRule="auto"/>
        <w:ind w:firstLine="720"/>
        <w:rPr>
          <w:szCs w:val="21"/>
          <w:lang w:val="en-GB"/>
        </w:rPr>
      </w:pPr>
    </w:p>
    <w:p w14:paraId="3B81A2BC" w14:textId="77777777" w:rsidR="00DC3405" w:rsidRDefault="00DC3405">
      <w:pPr>
        <w:spacing w:after="160" w:line="259" w:lineRule="auto"/>
        <w:jc w:val="left"/>
        <w:rPr>
          <w:rFonts w:asciiTheme="minorHAnsi" w:eastAsiaTheme="majorEastAsia" w:hAnsiTheme="minorHAnsi" w:cstheme="majorBidi"/>
          <w:b/>
          <w:color w:val="002244"/>
          <w:sz w:val="28"/>
          <w:szCs w:val="32"/>
          <w:lang w:val="en-GB"/>
        </w:rPr>
      </w:pPr>
      <w:r>
        <w:br w:type="page"/>
      </w:r>
    </w:p>
    <w:p w14:paraId="25E2EEFA" w14:textId="5A52F4AE" w:rsidR="00C53804" w:rsidRPr="00650B23" w:rsidRDefault="1C595714" w:rsidP="00DC3405">
      <w:pPr>
        <w:pStyle w:val="Heading1"/>
      </w:pPr>
      <w:bookmarkStart w:id="31" w:name="_Toc85627867"/>
      <w:r>
        <w:lastRenderedPageBreak/>
        <w:t>Future Market</w:t>
      </w:r>
      <w:bookmarkEnd w:id="31"/>
    </w:p>
    <w:p w14:paraId="14CF1E58" w14:textId="5795B5DC" w:rsidR="00C53804" w:rsidRPr="00650B23" w:rsidRDefault="00C53804" w:rsidP="65215FB1">
      <w:pPr>
        <w:rPr>
          <w:lang w:val="en-GB"/>
        </w:rPr>
      </w:pPr>
    </w:p>
    <w:p w14:paraId="7E20B84D" w14:textId="36E983DE" w:rsidR="7BF6C1B3" w:rsidRDefault="7BF6C1B3" w:rsidP="5937A937">
      <w:pPr>
        <w:spacing w:line="360" w:lineRule="auto"/>
        <w:ind w:firstLine="720"/>
        <w:rPr>
          <w:rFonts w:eastAsia="Calibri" w:cs="Calibri"/>
          <w:sz w:val="22"/>
          <w:szCs w:val="22"/>
          <w:lang w:val="en-GB"/>
        </w:rPr>
      </w:pPr>
      <w:r w:rsidRPr="5937A937">
        <w:rPr>
          <w:rFonts w:eastAsia="Calibri" w:cs="Calibri"/>
          <w:sz w:val="22"/>
          <w:szCs w:val="22"/>
          <w:lang w:val="en-GB"/>
        </w:rPr>
        <w:t xml:space="preserve">The </w:t>
      </w:r>
      <w:r w:rsidR="35FCEE24" w:rsidRPr="5937A937">
        <w:rPr>
          <w:rFonts w:eastAsia="Calibri" w:cs="Calibri"/>
          <w:sz w:val="22"/>
          <w:szCs w:val="22"/>
          <w:lang w:val="en-GB"/>
        </w:rPr>
        <w:t xml:space="preserve">potential </w:t>
      </w:r>
      <w:r w:rsidRPr="5937A937">
        <w:rPr>
          <w:rFonts w:eastAsia="Calibri" w:cs="Calibri"/>
          <w:sz w:val="22"/>
          <w:szCs w:val="22"/>
          <w:lang w:val="en-GB"/>
        </w:rPr>
        <w:t xml:space="preserve">market </w:t>
      </w:r>
      <w:r w:rsidR="06D44FC7" w:rsidRPr="5937A937">
        <w:rPr>
          <w:rFonts w:eastAsia="Calibri" w:cs="Calibri"/>
          <w:sz w:val="22"/>
          <w:szCs w:val="22"/>
          <w:lang w:val="en-GB"/>
        </w:rPr>
        <w:t>for</w:t>
      </w:r>
      <w:r w:rsidRPr="5937A937">
        <w:rPr>
          <w:rFonts w:eastAsia="Calibri" w:cs="Calibri"/>
          <w:sz w:val="22"/>
          <w:szCs w:val="22"/>
          <w:lang w:val="en-GB"/>
        </w:rPr>
        <w:t xml:space="preserve"> a fuel will depend on the market size</w:t>
      </w:r>
      <w:r w:rsidR="5C0FDE09" w:rsidRPr="5937A937">
        <w:rPr>
          <w:rFonts w:eastAsia="Calibri" w:cs="Calibri"/>
          <w:sz w:val="22"/>
          <w:szCs w:val="22"/>
          <w:lang w:val="en-GB"/>
        </w:rPr>
        <w:t xml:space="preserve"> and profile</w:t>
      </w:r>
      <w:r w:rsidRPr="5937A937">
        <w:rPr>
          <w:rFonts w:eastAsia="Calibri" w:cs="Calibri"/>
          <w:sz w:val="22"/>
          <w:szCs w:val="22"/>
          <w:lang w:val="en-GB"/>
        </w:rPr>
        <w:t xml:space="preserve">, </w:t>
      </w:r>
      <w:r w:rsidR="68418B33" w:rsidRPr="5937A937">
        <w:rPr>
          <w:rFonts w:eastAsia="Calibri" w:cs="Calibri"/>
          <w:sz w:val="22"/>
          <w:szCs w:val="22"/>
          <w:lang w:val="en-GB"/>
        </w:rPr>
        <w:t xml:space="preserve">legislation, </w:t>
      </w:r>
      <w:proofErr w:type="gramStart"/>
      <w:r w:rsidR="68418B33" w:rsidRPr="5937A937">
        <w:rPr>
          <w:rFonts w:eastAsia="Calibri" w:cs="Calibri"/>
          <w:sz w:val="22"/>
          <w:szCs w:val="22"/>
          <w:lang w:val="en-GB"/>
        </w:rPr>
        <w:t>competition</w:t>
      </w:r>
      <w:proofErr w:type="gramEnd"/>
      <w:r w:rsidRPr="5937A937">
        <w:rPr>
          <w:rFonts w:eastAsia="Calibri" w:cs="Calibri"/>
          <w:sz w:val="22"/>
          <w:szCs w:val="22"/>
          <w:lang w:val="en-GB"/>
        </w:rPr>
        <w:t xml:space="preserve"> and prices.  </w:t>
      </w:r>
      <w:r w:rsidR="4B5BAC0F" w:rsidRPr="5937A937">
        <w:rPr>
          <w:rFonts w:eastAsia="Calibri" w:cs="Calibri"/>
          <w:sz w:val="22"/>
          <w:szCs w:val="22"/>
          <w:lang w:val="en-GB"/>
        </w:rPr>
        <w:t>I</w:t>
      </w:r>
      <w:r w:rsidR="2DCEBBD1" w:rsidRPr="5937A937">
        <w:rPr>
          <w:rFonts w:eastAsia="Calibri" w:cs="Calibri"/>
          <w:sz w:val="22"/>
          <w:szCs w:val="22"/>
          <w:lang w:val="en-GB"/>
        </w:rPr>
        <w:t>n</w:t>
      </w:r>
      <w:r w:rsidR="4B5BAC0F" w:rsidRPr="5937A937">
        <w:rPr>
          <w:rFonts w:eastAsia="Calibri" w:cs="Calibri"/>
          <w:sz w:val="22"/>
          <w:szCs w:val="22"/>
          <w:lang w:val="en-GB"/>
        </w:rPr>
        <w:t xml:space="preserve"> this section, each of </w:t>
      </w:r>
      <w:r w:rsidR="429EC17A" w:rsidRPr="5937A937">
        <w:rPr>
          <w:rFonts w:eastAsia="Calibri" w:cs="Calibri"/>
          <w:sz w:val="22"/>
          <w:szCs w:val="22"/>
          <w:lang w:val="en-GB"/>
        </w:rPr>
        <w:t>these aspects</w:t>
      </w:r>
      <w:r w:rsidR="4B5BAC0F" w:rsidRPr="5937A937">
        <w:rPr>
          <w:rFonts w:eastAsia="Calibri" w:cs="Calibri"/>
          <w:sz w:val="22"/>
          <w:szCs w:val="22"/>
          <w:lang w:val="en-GB"/>
        </w:rPr>
        <w:t xml:space="preserve"> are discussed</w:t>
      </w:r>
      <w:r w:rsidR="0CB6C6DE" w:rsidRPr="5937A937">
        <w:rPr>
          <w:rFonts w:eastAsia="Calibri" w:cs="Calibri"/>
          <w:sz w:val="22"/>
          <w:szCs w:val="22"/>
          <w:lang w:val="en-GB"/>
        </w:rPr>
        <w:t>, but legislation which has a dedicated</w:t>
      </w:r>
      <w:r w:rsidR="13208DDD" w:rsidRPr="5937A937">
        <w:rPr>
          <w:rFonts w:eastAsia="Calibri" w:cs="Calibri"/>
          <w:sz w:val="22"/>
          <w:szCs w:val="22"/>
          <w:lang w:val="en-GB"/>
        </w:rPr>
        <w:t xml:space="preserve"> section already discussed.</w:t>
      </w:r>
    </w:p>
    <w:p w14:paraId="4D3CFB40" w14:textId="07B66FDC" w:rsidR="5937A937" w:rsidRDefault="5937A937" w:rsidP="5937A937">
      <w:pPr>
        <w:rPr>
          <w:szCs w:val="21"/>
        </w:rPr>
      </w:pPr>
    </w:p>
    <w:p w14:paraId="69FF9790" w14:textId="424EE8ED" w:rsidR="00C53804" w:rsidRPr="00650B23" w:rsidRDefault="65E29757" w:rsidP="002F7E75">
      <w:pPr>
        <w:pStyle w:val="Heading2"/>
        <w:rPr>
          <w:rFonts w:asciiTheme="majorHAnsi" w:hAnsiTheme="majorHAnsi"/>
          <w:color w:val="0075B0" w:themeColor="accent6"/>
          <w:sz w:val="24"/>
          <w:szCs w:val="24"/>
        </w:rPr>
      </w:pPr>
      <w:bookmarkStart w:id="32" w:name="_Toc85627868"/>
      <w:r>
        <w:t>Market Size</w:t>
      </w:r>
      <w:bookmarkEnd w:id="32"/>
    </w:p>
    <w:p w14:paraId="16905DAF" w14:textId="576B966C" w:rsidR="7D6C5C87" w:rsidRPr="00A24536" w:rsidRDefault="7D6C5C87" w:rsidP="59587566">
      <w:pPr>
        <w:spacing w:line="360" w:lineRule="auto"/>
        <w:ind w:firstLine="720"/>
        <w:rPr>
          <w:rFonts w:asciiTheme="majorHAnsi" w:hAnsiTheme="majorHAnsi" w:cstheme="majorHAnsi"/>
          <w:szCs w:val="21"/>
          <w:lang w:val="en-GB"/>
        </w:rPr>
      </w:pPr>
      <w:r w:rsidRPr="00A24536">
        <w:rPr>
          <w:rFonts w:asciiTheme="majorHAnsi" w:hAnsiTheme="majorHAnsi" w:cstheme="majorHAnsi"/>
          <w:color w:val="0C0C0C" w:themeColor="text1"/>
          <w:sz w:val="22"/>
          <w:szCs w:val="22"/>
          <w:lang w:val="en-GB"/>
        </w:rPr>
        <w:t>Without specific policy in place, the future market for alternative marine fuels will be mostly governed by price on costumer decision making</w:t>
      </w:r>
      <w:r w:rsidR="33FA7740" w:rsidRPr="00A24536">
        <w:rPr>
          <w:rFonts w:asciiTheme="majorHAnsi" w:hAnsiTheme="majorHAnsi" w:cstheme="majorHAnsi"/>
          <w:color w:val="0C0C0C" w:themeColor="text1"/>
          <w:sz w:val="22"/>
          <w:szCs w:val="22"/>
          <w:lang w:val="en-GB"/>
        </w:rPr>
        <w:t>. This assumption is</w:t>
      </w:r>
      <w:r w:rsidR="632A3326" w:rsidRPr="00A24536">
        <w:rPr>
          <w:rFonts w:asciiTheme="majorHAnsi" w:hAnsiTheme="majorHAnsi" w:cstheme="majorHAnsi"/>
          <w:color w:val="0C0C0C" w:themeColor="text1"/>
          <w:sz w:val="22"/>
          <w:szCs w:val="22"/>
          <w:lang w:val="en-GB"/>
        </w:rPr>
        <w:t xml:space="preserve"> also indicated by respondents of public consultation</w:t>
      </w:r>
      <w:r w:rsidR="00DC4B5A">
        <w:rPr>
          <w:rFonts w:asciiTheme="majorHAnsi" w:hAnsiTheme="majorHAnsi" w:cstheme="majorHAnsi"/>
          <w:color w:val="0C0C0C" w:themeColor="text1"/>
          <w:sz w:val="22"/>
          <w:szCs w:val="22"/>
          <w:lang w:val="en-GB"/>
        </w:rPr>
        <w:t xml:space="preserve"> (Fig. </w:t>
      </w:r>
      <w:r w:rsidR="002174B6">
        <w:rPr>
          <w:rFonts w:asciiTheme="majorHAnsi" w:hAnsiTheme="majorHAnsi" w:cstheme="majorHAnsi"/>
          <w:color w:val="0C0C0C" w:themeColor="text1"/>
          <w:sz w:val="22"/>
          <w:szCs w:val="22"/>
          <w:lang w:val="en-GB"/>
        </w:rPr>
        <w:t>6)</w:t>
      </w:r>
      <w:r w:rsidR="3C9A417D" w:rsidRPr="00A24536">
        <w:rPr>
          <w:rFonts w:asciiTheme="majorHAnsi" w:hAnsiTheme="majorHAnsi" w:cstheme="majorHAnsi"/>
          <w:color w:val="0C0C0C" w:themeColor="text1"/>
          <w:sz w:val="22"/>
          <w:szCs w:val="22"/>
          <w:lang w:val="en-GB"/>
        </w:rPr>
        <w:t>, in which</w:t>
      </w:r>
      <w:r w:rsidR="40C175EF" w:rsidRPr="00A24536">
        <w:rPr>
          <w:rFonts w:asciiTheme="majorHAnsi" w:hAnsiTheme="majorHAnsi" w:cstheme="majorHAnsi"/>
          <w:color w:val="0C0C0C" w:themeColor="text1"/>
          <w:sz w:val="22"/>
          <w:szCs w:val="22"/>
          <w:lang w:val="en-GB"/>
        </w:rPr>
        <w:t xml:space="preserve"> </w:t>
      </w:r>
      <w:r w:rsidR="431005C7" w:rsidRPr="00A24536">
        <w:rPr>
          <w:rFonts w:asciiTheme="majorHAnsi" w:hAnsiTheme="majorHAnsi" w:cstheme="majorHAnsi"/>
          <w:color w:val="0C0C0C" w:themeColor="text1"/>
          <w:sz w:val="22"/>
          <w:szCs w:val="22"/>
          <w:lang w:val="en-GB"/>
        </w:rPr>
        <w:t xml:space="preserve">87 % of respondents focused on the demand-side </w:t>
      </w:r>
      <w:r w:rsidR="3B990D97" w:rsidRPr="00A24536">
        <w:rPr>
          <w:rFonts w:asciiTheme="majorHAnsi" w:hAnsiTheme="majorHAnsi" w:cstheme="majorHAnsi"/>
          <w:color w:val="0C0C0C" w:themeColor="text1"/>
          <w:sz w:val="22"/>
          <w:szCs w:val="22"/>
          <w:lang w:val="en-GB"/>
        </w:rPr>
        <w:t>while addressing renewables uptake in the marine sector.</w:t>
      </w:r>
      <w:r w:rsidR="431005C7" w:rsidRPr="00A24536">
        <w:rPr>
          <w:rFonts w:asciiTheme="majorHAnsi" w:hAnsiTheme="majorHAnsi" w:cstheme="majorHAnsi"/>
          <w:color w:val="0C0C0C" w:themeColor="text1"/>
          <w:sz w:val="22"/>
          <w:szCs w:val="22"/>
          <w:lang w:val="en-GB"/>
        </w:rPr>
        <w:t xml:space="preserve"> </w:t>
      </w:r>
      <w:r w:rsidR="3FC67022" w:rsidRPr="00A24536">
        <w:rPr>
          <w:rFonts w:asciiTheme="majorHAnsi" w:eastAsia="Calibri" w:hAnsiTheme="majorHAnsi" w:cstheme="majorHAnsi"/>
          <w:color w:val="0C0C0C" w:themeColor="text1"/>
          <w:sz w:val="22"/>
          <w:szCs w:val="22"/>
          <w:lang w:val="en-GB"/>
        </w:rPr>
        <w:t>In a business-as-usual scenario, the emission of maritime sector would rise 14% and 30% by 2030 and 2050, respectively, incompatible with the road map for carbon neutrality 2050.</w:t>
      </w:r>
    </w:p>
    <w:p w14:paraId="5E0B9EA5" w14:textId="0E0F3700" w:rsidR="5937A937" w:rsidRDefault="5937A937" w:rsidP="5937A937">
      <w:pPr>
        <w:rPr>
          <w:rFonts w:eastAsia="Calibri" w:cs="Calibri"/>
          <w:b/>
          <w:bCs/>
          <w:color w:val="4C565C"/>
          <w:sz w:val="18"/>
          <w:szCs w:val="18"/>
          <w:lang w:val="en-GB"/>
        </w:rPr>
      </w:pPr>
    </w:p>
    <w:p w14:paraId="00F18B40" w14:textId="77777777" w:rsidR="00092EB5" w:rsidRDefault="31BB4A89" w:rsidP="00092EB5">
      <w:pPr>
        <w:keepNext/>
      </w:pPr>
      <w:r>
        <w:rPr>
          <w:noProof/>
        </w:rPr>
        <w:drawing>
          <wp:inline distT="0" distB="0" distL="0" distR="0" wp14:anchorId="0B50B111" wp14:editId="697B1190">
            <wp:extent cx="6019802" cy="1467326"/>
            <wp:effectExtent l="0" t="0" r="0" b="0"/>
            <wp:docPr id="1963332890" name="Picture 203119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193117"/>
                    <pic:cNvPicPr/>
                  </pic:nvPicPr>
                  <pic:blipFill>
                    <a:blip r:embed="rId18">
                      <a:extLst>
                        <a:ext uri="{28A0092B-C50C-407E-A947-70E740481C1C}">
                          <a14:useLocalDpi xmlns:a14="http://schemas.microsoft.com/office/drawing/2010/main" val="0"/>
                        </a:ext>
                      </a:extLst>
                    </a:blip>
                    <a:stretch>
                      <a:fillRect/>
                    </a:stretch>
                  </pic:blipFill>
                  <pic:spPr>
                    <a:xfrm>
                      <a:off x="0" y="0"/>
                      <a:ext cx="6019802" cy="1467326"/>
                    </a:xfrm>
                    <a:prstGeom prst="rect">
                      <a:avLst/>
                    </a:prstGeom>
                  </pic:spPr>
                </pic:pic>
              </a:graphicData>
            </a:graphic>
          </wp:inline>
        </w:drawing>
      </w:r>
    </w:p>
    <w:p w14:paraId="0E426A23" w14:textId="0FE71D21" w:rsidR="31BB4A89" w:rsidRDefault="00092EB5" w:rsidP="00092EB5">
      <w:pPr>
        <w:pStyle w:val="Caption"/>
        <w:rPr>
          <w:szCs w:val="21"/>
        </w:rPr>
      </w:pPr>
      <w:bookmarkStart w:id="33" w:name="_Toc85627884"/>
      <w:r>
        <w:t xml:space="preserve">Figure </w:t>
      </w:r>
      <w:fldSimple w:instr=" SEQ Figure \* ARABIC ">
        <w:r w:rsidR="008027AE">
          <w:rPr>
            <w:noProof/>
          </w:rPr>
          <w:t>6</w:t>
        </w:r>
      </w:fldSimple>
      <w:r>
        <w:t xml:space="preserve">. </w:t>
      </w:r>
      <w:r w:rsidRPr="006915C9">
        <w:t xml:space="preserve">Public consultation: How likely is the uptake of renewable fuels in the marine sector without specific policy intervention? </w:t>
      </w:r>
      <w:r w:rsidR="000378E4">
        <w:t>(</w:t>
      </w:r>
      <w:r w:rsidRPr="006915C9">
        <w:t>Source: European Commission Proposal 2021 – Amending Directive 2009/16/EC</w:t>
      </w:r>
      <w:r w:rsidR="000378E4">
        <w:t>)</w:t>
      </w:r>
      <w:bookmarkEnd w:id="33"/>
    </w:p>
    <w:p w14:paraId="5E10E405" w14:textId="49BB0C36" w:rsidR="5937A937" w:rsidRDefault="5937A937" w:rsidP="5937A937">
      <w:pPr>
        <w:rPr>
          <w:b/>
          <w:bCs/>
          <w:szCs w:val="21"/>
          <w:lang w:val="en-GB"/>
        </w:rPr>
      </w:pPr>
    </w:p>
    <w:p w14:paraId="17E78F73" w14:textId="6B3EEF6A" w:rsidR="2989D637" w:rsidRDefault="2989D637" w:rsidP="5937A937">
      <w:pPr>
        <w:spacing w:line="360" w:lineRule="auto"/>
        <w:ind w:firstLine="720"/>
      </w:pPr>
      <w:r w:rsidRPr="59587566">
        <w:rPr>
          <w:rFonts w:eastAsia="Calibri" w:cs="Calibri"/>
          <w:color w:val="0C0C0C" w:themeColor="text1"/>
          <w:sz w:val="22"/>
          <w:szCs w:val="22"/>
          <w:lang w:val="en-GB"/>
        </w:rPr>
        <w:t xml:space="preserve">Having said that, the future market of alternative fuels will be </w:t>
      </w:r>
      <w:r w:rsidR="6C66705B" w:rsidRPr="59587566">
        <w:rPr>
          <w:rFonts w:eastAsia="Calibri" w:cs="Calibri"/>
          <w:color w:val="0C0C0C" w:themeColor="text1"/>
          <w:sz w:val="22"/>
          <w:szCs w:val="22"/>
          <w:lang w:val="en-GB"/>
        </w:rPr>
        <w:t>influenced</w:t>
      </w:r>
      <w:r w:rsidRPr="59587566">
        <w:rPr>
          <w:rFonts w:eastAsia="Calibri" w:cs="Calibri"/>
          <w:color w:val="0C0C0C" w:themeColor="text1"/>
          <w:sz w:val="22"/>
          <w:szCs w:val="22"/>
          <w:lang w:val="en-GB"/>
        </w:rPr>
        <w:t xml:space="preserve">, </w:t>
      </w:r>
      <w:r w:rsidR="14784FDE" w:rsidRPr="59587566">
        <w:rPr>
          <w:rFonts w:eastAsia="Calibri" w:cs="Calibri"/>
          <w:color w:val="0C0C0C" w:themeColor="text1"/>
          <w:sz w:val="22"/>
          <w:szCs w:val="22"/>
          <w:lang w:val="en-GB"/>
        </w:rPr>
        <w:t>apart from</w:t>
      </w:r>
      <w:r w:rsidRPr="59587566">
        <w:rPr>
          <w:rFonts w:eastAsia="Calibri" w:cs="Calibri"/>
          <w:color w:val="0C0C0C" w:themeColor="text1"/>
          <w:sz w:val="22"/>
          <w:szCs w:val="22"/>
          <w:lang w:val="en-GB"/>
        </w:rPr>
        <w:t xml:space="preserve"> price, by mandates and incentives. Mandates will guarantee a floor level for alternative fuels market size. Incentives will be translated into premium payment, benefiting the adoption of renewable fuels from a pricing perspective, most likely aligned to carbon equivalent metrics</w:t>
      </w:r>
      <w:proofErr w:type="gramStart"/>
      <w:r w:rsidRPr="59587566">
        <w:rPr>
          <w:rFonts w:eastAsia="Calibri" w:cs="Calibri"/>
          <w:color w:val="0C0C0C" w:themeColor="text1"/>
          <w:sz w:val="22"/>
          <w:szCs w:val="22"/>
          <w:lang w:val="en-GB"/>
        </w:rPr>
        <w:t xml:space="preserve">.  </w:t>
      </w:r>
      <w:proofErr w:type="gramEnd"/>
    </w:p>
    <w:p w14:paraId="4C45DC6E" w14:textId="261358AF" w:rsidR="4A4C348F" w:rsidRDefault="307B6CC7" w:rsidP="59587566">
      <w:pPr>
        <w:spacing w:line="360" w:lineRule="auto"/>
        <w:ind w:firstLine="720"/>
        <w:rPr>
          <w:rFonts w:eastAsia="Calibri" w:cs="Calibri"/>
          <w:sz w:val="22"/>
          <w:szCs w:val="22"/>
          <w:lang w:val="en-GB"/>
        </w:rPr>
      </w:pPr>
      <w:r w:rsidRPr="59587566">
        <w:rPr>
          <w:rFonts w:eastAsia="Calibri" w:cs="Calibri"/>
          <w:color w:val="0C0C0C" w:themeColor="text1"/>
          <w:sz w:val="22"/>
          <w:szCs w:val="22"/>
          <w:lang w:val="en-GB"/>
        </w:rPr>
        <w:t xml:space="preserve">In 2018, IMO </w:t>
      </w:r>
      <w:r w:rsidR="2E66AF50" w:rsidRPr="59587566">
        <w:rPr>
          <w:rFonts w:eastAsia="Calibri" w:cs="Calibri"/>
          <w:color w:val="0C0C0C" w:themeColor="text1"/>
          <w:sz w:val="22"/>
          <w:szCs w:val="22"/>
          <w:lang w:val="en-GB"/>
        </w:rPr>
        <w:t>a</w:t>
      </w:r>
      <w:r w:rsidRPr="59587566">
        <w:rPr>
          <w:rFonts w:eastAsia="Calibri" w:cs="Calibri"/>
          <w:color w:val="0C0C0C" w:themeColor="text1"/>
          <w:sz w:val="22"/>
          <w:szCs w:val="22"/>
          <w:lang w:val="en-GB"/>
        </w:rPr>
        <w:t xml:space="preserve">dopted the UN </w:t>
      </w:r>
      <w:r w:rsidR="63DB84AC" w:rsidRPr="59587566">
        <w:rPr>
          <w:rFonts w:eastAsia="Calibri" w:cs="Calibri"/>
          <w:color w:val="0C0C0C" w:themeColor="text1"/>
          <w:sz w:val="22"/>
          <w:szCs w:val="22"/>
          <w:lang w:val="en-GB"/>
        </w:rPr>
        <w:t>strategy for shipping</w:t>
      </w:r>
      <w:r w:rsidR="2093CCE2" w:rsidRPr="59587566">
        <w:rPr>
          <w:rFonts w:eastAsia="Calibri" w:cs="Calibri"/>
          <w:color w:val="0C0C0C" w:themeColor="text1"/>
          <w:sz w:val="22"/>
          <w:szCs w:val="22"/>
          <w:lang w:val="en-GB"/>
        </w:rPr>
        <w:t xml:space="preserve"> GHG emissions with 3 main </w:t>
      </w:r>
      <w:r w:rsidR="4BEF3E70" w:rsidRPr="59587566">
        <w:rPr>
          <w:rFonts w:eastAsia="Calibri" w:cs="Calibri"/>
          <w:color w:val="0C0C0C" w:themeColor="text1"/>
          <w:sz w:val="22"/>
          <w:szCs w:val="22"/>
          <w:lang w:val="en-GB"/>
        </w:rPr>
        <w:t xml:space="preserve">objectives: </w:t>
      </w:r>
      <w:proofErr w:type="spellStart"/>
      <w:r w:rsidR="4BEF3E70" w:rsidRPr="59587566">
        <w:rPr>
          <w:rFonts w:eastAsia="Calibri" w:cs="Calibri"/>
          <w:color w:val="0C0C0C" w:themeColor="text1"/>
          <w:sz w:val="22"/>
          <w:szCs w:val="22"/>
          <w:lang w:val="en-GB"/>
        </w:rPr>
        <w:t>i</w:t>
      </w:r>
      <w:proofErr w:type="spellEnd"/>
      <w:r w:rsidR="4BEF3E70" w:rsidRPr="59587566">
        <w:rPr>
          <w:rFonts w:eastAsia="Calibri" w:cs="Calibri"/>
          <w:color w:val="0C0C0C" w:themeColor="text1"/>
          <w:sz w:val="22"/>
          <w:szCs w:val="22"/>
          <w:lang w:val="en-GB"/>
        </w:rPr>
        <w:t xml:space="preserve">) reduction in the energy intensity of </w:t>
      </w:r>
      <w:r w:rsidR="1EF8B663" w:rsidRPr="59587566">
        <w:rPr>
          <w:rFonts w:eastAsia="Calibri" w:cs="Calibri"/>
          <w:color w:val="0C0C0C" w:themeColor="text1"/>
          <w:sz w:val="22"/>
          <w:szCs w:val="22"/>
          <w:lang w:val="en-GB"/>
        </w:rPr>
        <w:t>ships</w:t>
      </w:r>
      <w:r w:rsidR="05D13E6C" w:rsidRPr="59587566">
        <w:rPr>
          <w:rFonts w:eastAsia="Calibri" w:cs="Calibri"/>
          <w:color w:val="0C0C0C" w:themeColor="text1"/>
          <w:sz w:val="22"/>
          <w:szCs w:val="22"/>
          <w:lang w:val="en-GB"/>
        </w:rPr>
        <w:t xml:space="preserve">; ii) </w:t>
      </w:r>
      <w:r w:rsidR="6FC8FA7C" w:rsidRPr="59587566">
        <w:rPr>
          <w:rFonts w:eastAsia="Calibri" w:cs="Calibri"/>
          <w:color w:val="0C0C0C" w:themeColor="text1"/>
          <w:sz w:val="22"/>
          <w:szCs w:val="22"/>
          <w:lang w:val="en-GB"/>
        </w:rPr>
        <w:t xml:space="preserve">international emission to decline by at least 40 % by 2030, </w:t>
      </w:r>
      <w:r w:rsidR="3CF00E2D" w:rsidRPr="59587566">
        <w:rPr>
          <w:rFonts w:eastAsia="Calibri" w:cs="Calibri"/>
          <w:color w:val="0C0C0C" w:themeColor="text1"/>
          <w:sz w:val="22"/>
          <w:szCs w:val="22"/>
          <w:lang w:val="en-GB"/>
        </w:rPr>
        <w:t>pursuing</w:t>
      </w:r>
      <w:r w:rsidR="6FC8FA7C" w:rsidRPr="59587566">
        <w:rPr>
          <w:rFonts w:eastAsia="Calibri" w:cs="Calibri"/>
          <w:color w:val="0C0C0C" w:themeColor="text1"/>
          <w:sz w:val="22"/>
          <w:szCs w:val="22"/>
          <w:lang w:val="en-GB"/>
        </w:rPr>
        <w:t xml:space="preserve"> efforts </w:t>
      </w:r>
      <w:r w:rsidR="134F2C45" w:rsidRPr="59587566">
        <w:rPr>
          <w:rFonts w:eastAsia="Calibri" w:cs="Calibri"/>
          <w:color w:val="0C0C0C" w:themeColor="text1"/>
          <w:sz w:val="22"/>
          <w:szCs w:val="22"/>
          <w:lang w:val="en-GB"/>
        </w:rPr>
        <w:t>towards</w:t>
      </w:r>
      <w:r w:rsidR="6FC8FA7C" w:rsidRPr="59587566">
        <w:rPr>
          <w:rFonts w:eastAsia="Calibri" w:cs="Calibri"/>
          <w:color w:val="0C0C0C" w:themeColor="text1"/>
          <w:sz w:val="22"/>
          <w:szCs w:val="22"/>
          <w:lang w:val="en-GB"/>
        </w:rPr>
        <w:t xml:space="preserve"> 70 % by 2050</w:t>
      </w:r>
      <w:r w:rsidR="193B2CB9" w:rsidRPr="59587566">
        <w:rPr>
          <w:rFonts w:eastAsia="Calibri" w:cs="Calibri"/>
          <w:color w:val="0C0C0C" w:themeColor="text1"/>
          <w:sz w:val="22"/>
          <w:szCs w:val="22"/>
          <w:lang w:val="en-GB"/>
        </w:rPr>
        <w:t xml:space="preserve"> (2008 base case)</w:t>
      </w:r>
      <w:r w:rsidR="6FC8FA7C" w:rsidRPr="59587566">
        <w:rPr>
          <w:rFonts w:eastAsia="Calibri" w:cs="Calibri"/>
          <w:color w:val="0C0C0C" w:themeColor="text1"/>
          <w:sz w:val="22"/>
          <w:szCs w:val="22"/>
          <w:lang w:val="en-GB"/>
        </w:rPr>
        <w:t xml:space="preserve">; iii) </w:t>
      </w:r>
      <w:r w:rsidR="606E4C2D" w:rsidRPr="59587566">
        <w:rPr>
          <w:rFonts w:eastAsia="Calibri" w:cs="Calibri"/>
          <w:color w:val="0C0C0C" w:themeColor="text1"/>
          <w:sz w:val="22"/>
          <w:szCs w:val="22"/>
          <w:lang w:val="en-GB"/>
        </w:rPr>
        <w:t>total emissions to peak and decline as soon as possible, reducing total annual emissions at least</w:t>
      </w:r>
      <w:r w:rsidR="07F138A3" w:rsidRPr="59587566">
        <w:rPr>
          <w:rFonts w:eastAsia="Calibri" w:cs="Calibri"/>
          <w:color w:val="0C0C0C" w:themeColor="text1"/>
          <w:sz w:val="22"/>
          <w:szCs w:val="22"/>
          <w:lang w:val="en-GB"/>
        </w:rPr>
        <w:t xml:space="preserve"> by 50 % by 2050. </w:t>
      </w:r>
      <w:r w:rsidR="4324AE6B" w:rsidRPr="59587566">
        <w:rPr>
          <w:rFonts w:eastAsia="Calibri" w:cs="Calibri"/>
          <w:color w:val="0C0C0C" w:themeColor="text1"/>
          <w:sz w:val="22"/>
          <w:szCs w:val="22"/>
          <w:lang w:val="en-GB"/>
        </w:rPr>
        <w:t>Framed by these commitments, 3 different scenarios were assumed</w:t>
      </w:r>
      <w:r w:rsidR="22772104" w:rsidRPr="59587566">
        <w:rPr>
          <w:rFonts w:eastAsia="Calibri" w:cs="Calibri"/>
          <w:color w:val="0C0C0C" w:themeColor="text1"/>
          <w:sz w:val="22"/>
          <w:szCs w:val="22"/>
          <w:lang w:val="en-GB"/>
        </w:rPr>
        <w:t xml:space="preserve"> towards decarbonisation</w:t>
      </w:r>
      <w:r w:rsidR="42A7ACA7" w:rsidRPr="59587566">
        <w:rPr>
          <w:rFonts w:eastAsia="Calibri" w:cs="Calibri"/>
          <w:color w:val="0C0C0C" w:themeColor="text1"/>
          <w:sz w:val="22"/>
          <w:szCs w:val="22"/>
          <w:lang w:val="en-GB"/>
        </w:rPr>
        <w:t xml:space="preserve">, two </w:t>
      </w:r>
      <w:r w:rsidR="3FCCA3BE" w:rsidRPr="59587566">
        <w:rPr>
          <w:rFonts w:eastAsia="Calibri" w:cs="Calibri"/>
          <w:color w:val="0C0C0C" w:themeColor="text1"/>
          <w:sz w:val="22"/>
          <w:szCs w:val="22"/>
          <w:lang w:val="en-GB"/>
        </w:rPr>
        <w:t xml:space="preserve">considering </w:t>
      </w:r>
      <w:r w:rsidR="42A7ACA7" w:rsidRPr="59587566">
        <w:rPr>
          <w:rFonts w:eastAsia="Calibri" w:cs="Calibri"/>
          <w:color w:val="0C0C0C" w:themeColor="text1"/>
          <w:sz w:val="22"/>
          <w:szCs w:val="22"/>
          <w:lang w:val="en-GB"/>
        </w:rPr>
        <w:t>the uptak</w:t>
      </w:r>
      <w:r w:rsidR="2860B5A4" w:rsidRPr="59587566">
        <w:rPr>
          <w:rFonts w:eastAsia="Calibri" w:cs="Calibri"/>
          <w:color w:val="0C0C0C" w:themeColor="text1"/>
          <w:sz w:val="22"/>
          <w:szCs w:val="22"/>
          <w:lang w:val="en-GB"/>
        </w:rPr>
        <w:t xml:space="preserve">e of </w:t>
      </w:r>
      <w:r w:rsidR="00772DBC">
        <w:rPr>
          <w:rFonts w:eastAsia="Calibri" w:cs="Calibri"/>
          <w:color w:val="0C0C0C" w:themeColor="text1"/>
          <w:sz w:val="22"/>
          <w:szCs w:val="22"/>
          <w:lang w:val="en-GB"/>
        </w:rPr>
        <w:t>hydrogen (</w:t>
      </w:r>
      <w:r w:rsidR="2860B5A4" w:rsidRPr="59587566">
        <w:rPr>
          <w:rFonts w:eastAsia="Calibri" w:cs="Calibri"/>
          <w:color w:val="0C0C0C" w:themeColor="text1"/>
          <w:sz w:val="22"/>
          <w:szCs w:val="22"/>
          <w:lang w:val="en-GB"/>
        </w:rPr>
        <w:t>H</w:t>
      </w:r>
      <w:r w:rsidR="2860B5A4" w:rsidRPr="00B55ADC">
        <w:rPr>
          <w:rFonts w:eastAsia="Calibri" w:cs="Calibri"/>
          <w:color w:val="0C0C0C" w:themeColor="text1"/>
          <w:sz w:val="22"/>
          <w:szCs w:val="22"/>
          <w:vertAlign w:val="subscript"/>
          <w:lang w:val="en-GB"/>
        </w:rPr>
        <w:t>2</w:t>
      </w:r>
      <w:r w:rsidR="00772DBC">
        <w:rPr>
          <w:rFonts w:eastAsia="Calibri" w:cs="Calibri"/>
          <w:color w:val="0C0C0C" w:themeColor="text1"/>
          <w:sz w:val="22"/>
          <w:szCs w:val="22"/>
          <w:lang w:val="en-GB"/>
        </w:rPr>
        <w:t>)</w:t>
      </w:r>
      <w:r w:rsidR="2860B5A4" w:rsidRPr="59587566">
        <w:rPr>
          <w:rFonts w:eastAsia="Calibri" w:cs="Calibri"/>
          <w:color w:val="0C0C0C" w:themeColor="text1"/>
          <w:sz w:val="22"/>
          <w:szCs w:val="22"/>
          <w:lang w:val="en-GB"/>
        </w:rPr>
        <w:t xml:space="preserve"> and one </w:t>
      </w:r>
      <w:r w:rsidR="50F6CEC0" w:rsidRPr="59587566">
        <w:rPr>
          <w:rFonts w:eastAsia="Calibri" w:cs="Calibri"/>
          <w:color w:val="0C0C0C" w:themeColor="text1"/>
          <w:sz w:val="22"/>
          <w:szCs w:val="22"/>
          <w:lang w:val="en-GB"/>
        </w:rPr>
        <w:t>follow</w:t>
      </w:r>
      <w:r w:rsidR="2860B5A4" w:rsidRPr="59587566">
        <w:rPr>
          <w:rFonts w:eastAsia="Calibri" w:cs="Calibri"/>
          <w:color w:val="0C0C0C" w:themeColor="text1"/>
          <w:sz w:val="22"/>
          <w:szCs w:val="22"/>
          <w:lang w:val="en-GB"/>
        </w:rPr>
        <w:t xml:space="preserve">ing the </w:t>
      </w:r>
      <w:r w:rsidR="28CF7E4E" w:rsidRPr="59587566">
        <w:rPr>
          <w:rFonts w:eastAsia="Calibri" w:cs="Calibri"/>
          <w:color w:val="0C0C0C" w:themeColor="text1"/>
          <w:sz w:val="22"/>
          <w:szCs w:val="22"/>
          <w:lang w:val="en-GB"/>
        </w:rPr>
        <w:t>UN</w:t>
      </w:r>
      <w:r w:rsidR="2860B5A4" w:rsidRPr="59587566">
        <w:rPr>
          <w:rFonts w:eastAsia="Calibri" w:cs="Calibri"/>
          <w:color w:val="0C0C0C" w:themeColor="text1"/>
          <w:sz w:val="22"/>
          <w:szCs w:val="22"/>
          <w:lang w:val="en-GB"/>
        </w:rPr>
        <w:t xml:space="preserve"> below 1.5 °</w:t>
      </w:r>
      <w:r w:rsidR="2215ED7D" w:rsidRPr="59587566">
        <w:rPr>
          <w:rFonts w:eastAsia="Calibri" w:cs="Calibri"/>
          <w:color w:val="0C0C0C" w:themeColor="text1"/>
          <w:sz w:val="22"/>
          <w:szCs w:val="22"/>
          <w:lang w:val="en-GB"/>
        </w:rPr>
        <w:t>C global warming potential</w:t>
      </w:r>
      <w:r w:rsidR="1369B7A7" w:rsidRPr="59587566">
        <w:rPr>
          <w:rFonts w:eastAsia="Calibri" w:cs="Calibri"/>
          <w:color w:val="0C0C0C" w:themeColor="text1"/>
          <w:sz w:val="22"/>
          <w:szCs w:val="22"/>
          <w:lang w:val="en-GB"/>
        </w:rPr>
        <w:t xml:space="preserve">, </w:t>
      </w:r>
      <w:r w:rsidR="2215ED7D" w:rsidRPr="59587566">
        <w:rPr>
          <w:rFonts w:eastAsia="Calibri" w:cs="Calibri"/>
          <w:color w:val="0C0C0C" w:themeColor="text1"/>
          <w:sz w:val="22"/>
          <w:szCs w:val="22"/>
          <w:lang w:val="en-GB"/>
        </w:rPr>
        <w:t>as depicted in Figure</w:t>
      </w:r>
      <w:r w:rsidR="7B455A4A" w:rsidRPr="59587566">
        <w:rPr>
          <w:rFonts w:eastAsia="Calibri" w:cs="Calibri"/>
          <w:color w:val="0C0C0C" w:themeColor="text1"/>
          <w:sz w:val="22"/>
          <w:szCs w:val="22"/>
          <w:lang w:val="en-GB"/>
        </w:rPr>
        <w:t xml:space="preserve"> </w:t>
      </w:r>
      <w:r w:rsidR="007E37EB">
        <w:rPr>
          <w:rFonts w:eastAsia="Calibri" w:cs="Calibri"/>
          <w:color w:val="0C0C0C" w:themeColor="text1"/>
          <w:sz w:val="22"/>
          <w:szCs w:val="22"/>
          <w:lang w:val="en-GB"/>
        </w:rPr>
        <w:t>7</w:t>
      </w:r>
      <w:r w:rsidR="2215ED7D" w:rsidRPr="59587566">
        <w:rPr>
          <w:rFonts w:eastAsia="Calibri" w:cs="Calibri"/>
          <w:sz w:val="22"/>
          <w:szCs w:val="22"/>
          <w:lang w:val="en-GB"/>
        </w:rPr>
        <w:t xml:space="preserve"> (</w:t>
      </w:r>
      <w:proofErr w:type="spellStart"/>
      <w:r w:rsidR="2215ED7D" w:rsidRPr="59587566">
        <w:rPr>
          <w:rFonts w:eastAsia="Calibri" w:cs="Calibri"/>
          <w:sz w:val="22"/>
          <w:szCs w:val="22"/>
          <w:lang w:val="en-GB"/>
        </w:rPr>
        <w:t>Prussi</w:t>
      </w:r>
      <w:proofErr w:type="spellEnd"/>
      <w:r w:rsidR="2215ED7D" w:rsidRPr="59587566">
        <w:rPr>
          <w:rFonts w:eastAsia="Calibri" w:cs="Calibri"/>
          <w:sz w:val="22"/>
          <w:szCs w:val="22"/>
          <w:lang w:val="en-GB"/>
        </w:rPr>
        <w:t xml:space="preserve"> et al., 2021)</w:t>
      </w:r>
      <w:proofErr w:type="gramStart"/>
      <w:r w:rsidR="2215ED7D" w:rsidRPr="59587566">
        <w:rPr>
          <w:rFonts w:eastAsia="Calibri" w:cs="Calibri"/>
          <w:color w:val="0C0C0C" w:themeColor="text1"/>
          <w:sz w:val="22"/>
          <w:szCs w:val="22"/>
          <w:lang w:val="en-GB"/>
        </w:rPr>
        <w:t xml:space="preserve">. </w:t>
      </w:r>
      <w:r w:rsidR="5BAF9AFB" w:rsidRPr="59587566">
        <w:rPr>
          <w:rFonts w:eastAsia="Calibri" w:cs="Calibri"/>
          <w:color w:val="0C0C0C" w:themeColor="text1"/>
          <w:sz w:val="22"/>
          <w:szCs w:val="22"/>
          <w:lang w:val="en-GB"/>
        </w:rPr>
        <w:t xml:space="preserve"> </w:t>
      </w:r>
      <w:proofErr w:type="gramEnd"/>
      <w:r w:rsidR="5BAF9AFB" w:rsidRPr="59587566">
        <w:rPr>
          <w:rFonts w:eastAsia="Calibri" w:cs="Calibri"/>
          <w:color w:val="0C0C0C" w:themeColor="text1"/>
          <w:sz w:val="22"/>
          <w:szCs w:val="22"/>
          <w:lang w:val="en-GB"/>
        </w:rPr>
        <w:t>Scenarios I, II and 1.5 °C consider</w:t>
      </w:r>
      <w:r w:rsidR="22772104" w:rsidRPr="59587566">
        <w:rPr>
          <w:rFonts w:eastAsia="Calibri" w:cs="Calibri"/>
          <w:color w:val="0C0C0C" w:themeColor="text1"/>
          <w:sz w:val="22"/>
          <w:szCs w:val="22"/>
          <w:lang w:val="en-GB"/>
        </w:rPr>
        <w:t xml:space="preserve"> </w:t>
      </w:r>
      <w:r w:rsidR="49843C13" w:rsidRPr="59587566">
        <w:rPr>
          <w:rFonts w:eastAsia="Calibri" w:cs="Calibri"/>
          <w:color w:val="0C0C0C" w:themeColor="text1"/>
          <w:sz w:val="22"/>
          <w:szCs w:val="22"/>
          <w:lang w:val="en-GB"/>
        </w:rPr>
        <w:t xml:space="preserve">a biofuel uptake </w:t>
      </w:r>
      <w:r w:rsidR="49843C13" w:rsidRPr="59587566">
        <w:rPr>
          <w:rFonts w:eastAsia="Calibri" w:cs="Calibri"/>
          <w:sz w:val="22"/>
          <w:szCs w:val="22"/>
          <w:lang w:val="en-GB"/>
        </w:rPr>
        <w:t>of 37 %, 54 % and 54 %, respectively.</w:t>
      </w:r>
    </w:p>
    <w:p w14:paraId="4F3E057E" w14:textId="77777777" w:rsidR="00244B79" w:rsidRDefault="00244B79" w:rsidP="59587566">
      <w:pPr>
        <w:spacing w:line="360" w:lineRule="auto"/>
        <w:ind w:firstLine="720"/>
        <w:rPr>
          <w:szCs w:val="21"/>
          <w:lang w:val="en-GB"/>
        </w:rPr>
      </w:pPr>
    </w:p>
    <w:p w14:paraId="033717C7" w14:textId="77777777" w:rsidR="00092EB5" w:rsidRDefault="007E37EB" w:rsidP="00092EB5">
      <w:pPr>
        <w:keepNext/>
        <w:spacing w:line="360" w:lineRule="auto"/>
        <w:ind w:firstLine="720"/>
      </w:pPr>
      <w:r>
        <w:rPr>
          <w:noProof/>
        </w:rPr>
        <w:lastRenderedPageBreak/>
        <w:drawing>
          <wp:inline distT="0" distB="0" distL="0" distR="0" wp14:anchorId="76514292" wp14:editId="2673DAF2">
            <wp:extent cx="5388926" cy="2469924"/>
            <wp:effectExtent l="0" t="0" r="0" b="0"/>
            <wp:docPr id="11" name="Picture 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388926" cy="2469924"/>
                    </a:xfrm>
                    <a:prstGeom prst="rect">
                      <a:avLst/>
                    </a:prstGeom>
                  </pic:spPr>
                </pic:pic>
              </a:graphicData>
            </a:graphic>
          </wp:inline>
        </w:drawing>
      </w:r>
    </w:p>
    <w:p w14:paraId="71EE6A61" w14:textId="27E029BC" w:rsidR="4A4C348F" w:rsidRDefault="00092EB5" w:rsidP="00092EB5">
      <w:pPr>
        <w:pStyle w:val="Caption"/>
        <w:jc w:val="center"/>
        <w:rPr>
          <w:szCs w:val="21"/>
        </w:rPr>
      </w:pPr>
      <w:bookmarkStart w:id="34" w:name="_Toc85627885"/>
      <w:r>
        <w:t xml:space="preserve">Figure </w:t>
      </w:r>
      <w:fldSimple w:instr=" SEQ Figure \* ARABIC ">
        <w:r w:rsidR="008027AE">
          <w:rPr>
            <w:noProof/>
          </w:rPr>
          <w:t>7</w:t>
        </w:r>
      </w:fldSimple>
      <w:r>
        <w:t xml:space="preserve">. </w:t>
      </w:r>
      <w:r w:rsidRPr="001A50D5">
        <w:t>European Commission 2050 long-term scenarios for maritime fuel mix</w:t>
      </w:r>
      <w:r>
        <w:t xml:space="preserve"> (source</w:t>
      </w:r>
      <w:r w:rsidR="00244B79">
        <w:t>:</w:t>
      </w:r>
      <w:r>
        <w:t xml:space="preserve"> </w:t>
      </w:r>
      <w:proofErr w:type="spellStart"/>
      <w:r>
        <w:t>Prussi</w:t>
      </w:r>
      <w:proofErr w:type="spellEnd"/>
      <w:r>
        <w:t xml:space="preserve"> et al., 2021)</w:t>
      </w:r>
      <w:bookmarkEnd w:id="34"/>
    </w:p>
    <w:p w14:paraId="5972571E" w14:textId="3D52DD80" w:rsidR="00C53804" w:rsidRPr="00650B23" w:rsidRDefault="654CA926" w:rsidP="005D6854">
      <w:pPr>
        <w:pStyle w:val="Heading2"/>
      </w:pPr>
      <w:bookmarkStart w:id="35" w:name="_Toc85627869"/>
      <w:r>
        <w:t>Pricing</w:t>
      </w:r>
      <w:bookmarkEnd w:id="35"/>
    </w:p>
    <w:p w14:paraId="26D61B91" w14:textId="6653826D" w:rsidR="00C53804" w:rsidRPr="00650B23" w:rsidRDefault="00C53804" w:rsidP="65215FB1"/>
    <w:p w14:paraId="3C34CEBD" w14:textId="486EED5A" w:rsidR="0F8FE80C" w:rsidRDefault="4FE1F1F2" w:rsidP="59587566">
      <w:pPr>
        <w:spacing w:after="120" w:line="360" w:lineRule="auto"/>
        <w:ind w:firstLine="720"/>
        <w:rPr>
          <w:rFonts w:asciiTheme="minorHAnsi" w:eastAsiaTheme="minorEastAsia" w:hAnsiTheme="minorHAnsi" w:cstheme="minorBidi"/>
          <w:sz w:val="22"/>
          <w:szCs w:val="22"/>
        </w:rPr>
      </w:pPr>
      <w:r w:rsidRPr="59587566">
        <w:rPr>
          <w:rFonts w:asciiTheme="majorHAnsi" w:eastAsiaTheme="majorEastAsia" w:hAnsiTheme="majorHAnsi" w:cstheme="majorBidi"/>
          <w:sz w:val="22"/>
          <w:szCs w:val="22"/>
          <w:lang w:val="en-GB"/>
        </w:rPr>
        <w:t xml:space="preserve">Price is usually the most impacting factor on </w:t>
      </w:r>
      <w:r w:rsidR="3B7D5F31" w:rsidRPr="59587566">
        <w:rPr>
          <w:rFonts w:asciiTheme="majorHAnsi" w:eastAsiaTheme="majorEastAsia" w:hAnsiTheme="majorHAnsi" w:cstheme="majorBidi"/>
          <w:sz w:val="22"/>
          <w:szCs w:val="22"/>
          <w:lang w:val="en-GB"/>
        </w:rPr>
        <w:t>costumers'</w:t>
      </w:r>
      <w:r w:rsidRPr="59587566">
        <w:rPr>
          <w:rFonts w:asciiTheme="majorHAnsi" w:eastAsiaTheme="majorEastAsia" w:hAnsiTheme="majorHAnsi" w:cstheme="majorBidi"/>
          <w:sz w:val="22"/>
          <w:szCs w:val="22"/>
          <w:lang w:val="en-GB"/>
        </w:rPr>
        <w:t xml:space="preserve"> decision making. Fossil fuels, on </w:t>
      </w:r>
      <w:r w:rsidR="796EBD1A" w:rsidRPr="59587566">
        <w:rPr>
          <w:rFonts w:asciiTheme="majorHAnsi" w:eastAsiaTheme="majorEastAsia" w:hAnsiTheme="majorHAnsi" w:cstheme="majorBidi"/>
          <w:sz w:val="22"/>
          <w:szCs w:val="22"/>
          <w:lang w:val="en-GB"/>
        </w:rPr>
        <w:t>this</w:t>
      </w:r>
      <w:r w:rsidRPr="59587566">
        <w:rPr>
          <w:rFonts w:asciiTheme="majorHAnsi" w:eastAsiaTheme="majorEastAsia" w:hAnsiTheme="majorHAnsi" w:cstheme="majorBidi"/>
          <w:sz w:val="22"/>
          <w:szCs w:val="22"/>
          <w:lang w:val="en-GB"/>
        </w:rPr>
        <w:t xml:space="preserve"> regard, have enormous advanta</w:t>
      </w:r>
      <w:r w:rsidR="66FCC257" w:rsidRPr="59587566">
        <w:rPr>
          <w:rFonts w:asciiTheme="majorHAnsi" w:eastAsiaTheme="majorEastAsia" w:hAnsiTheme="majorHAnsi" w:cstheme="majorBidi"/>
          <w:sz w:val="22"/>
          <w:szCs w:val="22"/>
          <w:lang w:val="en-GB"/>
        </w:rPr>
        <w:t>ge</w:t>
      </w:r>
      <w:r w:rsidR="5DB5988D" w:rsidRPr="59587566">
        <w:rPr>
          <w:rFonts w:asciiTheme="majorHAnsi" w:eastAsiaTheme="majorEastAsia" w:hAnsiTheme="majorHAnsi" w:cstheme="majorBidi"/>
          <w:sz w:val="22"/>
          <w:szCs w:val="22"/>
          <w:lang w:val="en-GB"/>
        </w:rPr>
        <w:t xml:space="preserve"> on biofuels</w:t>
      </w:r>
      <w:r w:rsidR="481C2182" w:rsidRPr="59587566">
        <w:rPr>
          <w:rFonts w:asciiTheme="majorHAnsi" w:eastAsiaTheme="majorEastAsia" w:hAnsiTheme="majorHAnsi" w:cstheme="majorBidi"/>
          <w:sz w:val="22"/>
          <w:szCs w:val="22"/>
          <w:lang w:val="en-GB"/>
        </w:rPr>
        <w:t xml:space="preserve">. The higher </w:t>
      </w:r>
      <w:r w:rsidR="786C0C1A" w:rsidRPr="59587566">
        <w:rPr>
          <w:rFonts w:asciiTheme="majorHAnsi" w:eastAsiaTheme="majorEastAsia" w:hAnsiTheme="majorHAnsi" w:cstheme="majorBidi"/>
          <w:sz w:val="22"/>
          <w:szCs w:val="22"/>
          <w:lang w:val="en-GB"/>
        </w:rPr>
        <w:t xml:space="preserve">prices of </w:t>
      </w:r>
      <w:r w:rsidR="481C2182" w:rsidRPr="59587566">
        <w:rPr>
          <w:rFonts w:asciiTheme="majorHAnsi" w:eastAsiaTheme="majorEastAsia" w:hAnsiTheme="majorHAnsi" w:cstheme="majorBidi"/>
          <w:sz w:val="22"/>
          <w:szCs w:val="22"/>
          <w:lang w:val="en-GB"/>
        </w:rPr>
        <w:t xml:space="preserve">biofuel are mostly </w:t>
      </w:r>
      <w:r w:rsidR="56D28CA3" w:rsidRPr="59587566">
        <w:rPr>
          <w:rFonts w:asciiTheme="majorHAnsi" w:eastAsiaTheme="majorEastAsia" w:hAnsiTheme="majorHAnsi" w:cstheme="majorBidi"/>
          <w:sz w:val="22"/>
          <w:szCs w:val="22"/>
          <w:lang w:val="en-GB"/>
        </w:rPr>
        <w:t xml:space="preserve">attributed to </w:t>
      </w:r>
      <w:r w:rsidR="00963F36">
        <w:rPr>
          <w:rFonts w:asciiTheme="majorHAnsi" w:eastAsiaTheme="majorEastAsia" w:hAnsiTheme="majorHAnsi" w:cstheme="majorBidi"/>
          <w:sz w:val="22"/>
          <w:szCs w:val="22"/>
          <w:lang w:val="en-GB"/>
        </w:rPr>
        <w:t>its</w:t>
      </w:r>
      <w:r w:rsidR="56D28CA3" w:rsidRPr="59587566">
        <w:rPr>
          <w:rFonts w:asciiTheme="majorHAnsi" w:eastAsiaTheme="majorEastAsia" w:hAnsiTheme="majorHAnsi" w:cstheme="majorBidi"/>
          <w:sz w:val="22"/>
          <w:szCs w:val="22"/>
          <w:lang w:val="en-GB"/>
        </w:rPr>
        <w:t xml:space="preserve"> production and feedstock costs. </w:t>
      </w:r>
      <w:r w:rsidR="3710F14C" w:rsidRPr="59587566">
        <w:rPr>
          <w:rFonts w:asciiTheme="majorHAnsi" w:eastAsiaTheme="majorEastAsia" w:hAnsiTheme="majorHAnsi" w:cstheme="majorBidi"/>
          <w:sz w:val="22"/>
          <w:szCs w:val="22"/>
          <w:lang w:val="en-GB"/>
        </w:rPr>
        <w:t>Nevertheless, overall p</w:t>
      </w:r>
      <w:r w:rsidR="56D28CA3" w:rsidRPr="59587566">
        <w:rPr>
          <w:rFonts w:asciiTheme="majorHAnsi" w:eastAsiaTheme="majorEastAsia" w:hAnsiTheme="majorHAnsi" w:cstheme="majorBidi"/>
          <w:sz w:val="22"/>
          <w:szCs w:val="22"/>
          <w:lang w:val="en-GB"/>
        </w:rPr>
        <w:t>rices tend to dec</w:t>
      </w:r>
      <w:r w:rsidR="1920A23E" w:rsidRPr="59587566">
        <w:rPr>
          <w:rFonts w:asciiTheme="majorHAnsi" w:eastAsiaTheme="majorEastAsia" w:hAnsiTheme="majorHAnsi" w:cstheme="majorBidi"/>
          <w:sz w:val="22"/>
          <w:szCs w:val="22"/>
          <w:lang w:val="en-GB"/>
        </w:rPr>
        <w:t xml:space="preserve">rease </w:t>
      </w:r>
      <w:r w:rsidR="19A7FEE7" w:rsidRPr="59587566">
        <w:rPr>
          <w:rFonts w:asciiTheme="majorHAnsi" w:eastAsiaTheme="majorEastAsia" w:hAnsiTheme="majorHAnsi" w:cstheme="majorBidi"/>
          <w:sz w:val="22"/>
          <w:szCs w:val="22"/>
          <w:lang w:val="en-GB"/>
        </w:rPr>
        <w:t xml:space="preserve">with time </w:t>
      </w:r>
      <w:proofErr w:type="gramStart"/>
      <w:r w:rsidR="19A7FEE7" w:rsidRPr="59587566">
        <w:rPr>
          <w:rFonts w:asciiTheme="majorHAnsi" w:eastAsiaTheme="majorEastAsia" w:hAnsiTheme="majorHAnsi" w:cstheme="majorBidi"/>
          <w:sz w:val="22"/>
          <w:szCs w:val="22"/>
          <w:lang w:val="en-GB"/>
        </w:rPr>
        <w:t xml:space="preserve">as a consequence </w:t>
      </w:r>
      <w:r w:rsidR="2912F4EF" w:rsidRPr="59587566">
        <w:rPr>
          <w:rFonts w:asciiTheme="majorHAnsi" w:eastAsiaTheme="majorEastAsia" w:hAnsiTheme="majorHAnsi" w:cstheme="majorBidi"/>
          <w:sz w:val="22"/>
          <w:szCs w:val="22"/>
          <w:lang w:val="en-GB"/>
        </w:rPr>
        <w:t>of</w:t>
      </w:r>
      <w:proofErr w:type="gramEnd"/>
      <w:r w:rsidR="2912F4EF" w:rsidRPr="59587566">
        <w:rPr>
          <w:rFonts w:asciiTheme="majorHAnsi" w:eastAsiaTheme="majorEastAsia" w:hAnsiTheme="majorHAnsi" w:cstheme="majorBidi"/>
          <w:sz w:val="22"/>
          <w:szCs w:val="22"/>
          <w:lang w:val="en-GB"/>
        </w:rPr>
        <w:t xml:space="preserve"> technology development and economy of scale</w:t>
      </w:r>
      <w:r w:rsidR="008F4F1A">
        <w:rPr>
          <w:rFonts w:asciiTheme="majorHAnsi" w:eastAsiaTheme="majorEastAsia" w:hAnsiTheme="majorHAnsi" w:cstheme="majorBidi"/>
          <w:sz w:val="22"/>
          <w:szCs w:val="22"/>
          <w:lang w:val="en-GB"/>
        </w:rPr>
        <w:t xml:space="preserve"> </w:t>
      </w:r>
      <w:r w:rsidR="00943179" w:rsidRPr="59587566">
        <w:rPr>
          <w:rFonts w:asciiTheme="majorHAnsi" w:eastAsiaTheme="majorEastAsia" w:hAnsiTheme="majorHAnsi" w:cstheme="majorBidi"/>
          <w:sz w:val="22"/>
          <w:szCs w:val="22"/>
          <w:lang w:val="en-GB"/>
        </w:rPr>
        <w:t>(Brown et al., 2020).</w:t>
      </w:r>
      <w:r w:rsidR="1DB5C4B7" w:rsidRPr="59587566">
        <w:rPr>
          <w:rFonts w:asciiTheme="majorHAnsi" w:eastAsiaTheme="majorEastAsia" w:hAnsiTheme="majorHAnsi" w:cstheme="majorBidi"/>
          <w:sz w:val="22"/>
          <w:szCs w:val="22"/>
          <w:lang w:val="en-GB"/>
        </w:rPr>
        <w:t xml:space="preserve"> </w:t>
      </w:r>
      <w:r w:rsidR="1920A23E" w:rsidRPr="59587566">
        <w:rPr>
          <w:rFonts w:asciiTheme="majorHAnsi" w:eastAsiaTheme="majorEastAsia" w:hAnsiTheme="majorHAnsi" w:cstheme="majorBidi"/>
          <w:sz w:val="22"/>
          <w:szCs w:val="22"/>
          <w:lang w:val="en-GB"/>
        </w:rPr>
        <w:t xml:space="preserve"> </w:t>
      </w:r>
      <w:r w:rsidR="3056F505" w:rsidRPr="59587566">
        <w:rPr>
          <w:rFonts w:asciiTheme="majorHAnsi" w:eastAsiaTheme="majorEastAsia" w:hAnsiTheme="majorHAnsi" w:cstheme="majorBidi"/>
          <w:sz w:val="22"/>
          <w:szCs w:val="22"/>
          <w:lang w:val="en-GB"/>
        </w:rPr>
        <w:t xml:space="preserve">Feedstock </w:t>
      </w:r>
      <w:r w:rsidR="1A899612" w:rsidRPr="59587566">
        <w:rPr>
          <w:rFonts w:asciiTheme="majorHAnsi" w:eastAsiaTheme="majorEastAsia" w:hAnsiTheme="majorHAnsi" w:cstheme="majorBidi"/>
          <w:sz w:val="22"/>
          <w:szCs w:val="22"/>
          <w:lang w:val="en-GB"/>
        </w:rPr>
        <w:t xml:space="preserve">availability </w:t>
      </w:r>
      <w:r w:rsidR="3056F505" w:rsidRPr="59587566">
        <w:rPr>
          <w:rFonts w:asciiTheme="majorHAnsi" w:eastAsiaTheme="majorEastAsia" w:hAnsiTheme="majorHAnsi" w:cstheme="majorBidi"/>
          <w:sz w:val="22"/>
          <w:szCs w:val="22"/>
          <w:lang w:val="en-GB"/>
        </w:rPr>
        <w:t xml:space="preserve">is </w:t>
      </w:r>
      <w:r w:rsidR="3461C46B" w:rsidRPr="59587566">
        <w:rPr>
          <w:rFonts w:asciiTheme="majorHAnsi" w:eastAsiaTheme="majorEastAsia" w:hAnsiTheme="majorHAnsi" w:cstheme="majorBidi"/>
          <w:sz w:val="22"/>
          <w:szCs w:val="22"/>
          <w:lang w:val="en-GB"/>
        </w:rPr>
        <w:t xml:space="preserve">a </w:t>
      </w:r>
      <w:r w:rsidR="3D7E906C" w:rsidRPr="59587566">
        <w:rPr>
          <w:rFonts w:asciiTheme="majorHAnsi" w:eastAsiaTheme="majorEastAsia" w:hAnsiTheme="majorHAnsi" w:cstheme="majorBidi"/>
          <w:sz w:val="22"/>
          <w:szCs w:val="22"/>
          <w:lang w:val="en-GB"/>
        </w:rPr>
        <w:t xml:space="preserve">crucial variable </w:t>
      </w:r>
      <w:r w:rsidR="3D018EA8" w:rsidRPr="59587566">
        <w:rPr>
          <w:rFonts w:asciiTheme="majorHAnsi" w:eastAsiaTheme="majorEastAsia" w:hAnsiTheme="majorHAnsi" w:cstheme="majorBidi"/>
          <w:sz w:val="22"/>
          <w:szCs w:val="22"/>
          <w:lang w:val="en-GB"/>
        </w:rPr>
        <w:t>affecting</w:t>
      </w:r>
      <w:r w:rsidR="142F60AE" w:rsidRPr="59587566">
        <w:rPr>
          <w:rFonts w:asciiTheme="majorHAnsi" w:eastAsiaTheme="majorEastAsia" w:hAnsiTheme="majorHAnsi" w:cstheme="majorBidi"/>
          <w:sz w:val="22"/>
          <w:szCs w:val="22"/>
          <w:lang w:val="en-GB"/>
        </w:rPr>
        <w:t xml:space="preserve"> biofuel </w:t>
      </w:r>
      <w:r w:rsidR="30026651" w:rsidRPr="59587566">
        <w:rPr>
          <w:rFonts w:asciiTheme="majorHAnsi" w:eastAsiaTheme="majorEastAsia" w:hAnsiTheme="majorHAnsi" w:cstheme="majorBidi"/>
          <w:sz w:val="22"/>
          <w:szCs w:val="22"/>
          <w:lang w:val="en-GB"/>
        </w:rPr>
        <w:t xml:space="preserve">production </w:t>
      </w:r>
      <w:r w:rsidR="142F60AE" w:rsidRPr="59587566">
        <w:rPr>
          <w:rFonts w:asciiTheme="majorHAnsi" w:eastAsiaTheme="majorEastAsia" w:hAnsiTheme="majorHAnsi" w:cstheme="majorBidi"/>
          <w:sz w:val="22"/>
          <w:szCs w:val="22"/>
          <w:lang w:val="en-GB"/>
        </w:rPr>
        <w:t>cost</w:t>
      </w:r>
      <w:r w:rsidR="05F3196D" w:rsidRPr="59587566">
        <w:rPr>
          <w:rFonts w:asciiTheme="majorHAnsi" w:eastAsiaTheme="majorEastAsia" w:hAnsiTheme="majorHAnsi" w:cstheme="majorBidi"/>
          <w:sz w:val="22"/>
          <w:szCs w:val="22"/>
          <w:lang w:val="en-GB"/>
        </w:rPr>
        <w:t xml:space="preserve">. </w:t>
      </w:r>
      <w:r w:rsidR="4121BA56" w:rsidRPr="59587566">
        <w:rPr>
          <w:rFonts w:asciiTheme="majorHAnsi" w:eastAsiaTheme="majorEastAsia" w:hAnsiTheme="majorHAnsi" w:cstheme="majorBidi"/>
          <w:sz w:val="22"/>
          <w:szCs w:val="22"/>
          <w:lang w:val="en-GB"/>
        </w:rPr>
        <w:t>For processes based on lignocellulosic residues, feedstock price</w:t>
      </w:r>
      <w:r w:rsidR="184490E0" w:rsidRPr="59587566">
        <w:rPr>
          <w:rFonts w:asciiTheme="majorHAnsi" w:eastAsiaTheme="majorEastAsia" w:hAnsiTheme="majorHAnsi" w:cstheme="majorBidi"/>
          <w:sz w:val="22"/>
          <w:szCs w:val="22"/>
          <w:lang w:val="en-GB"/>
        </w:rPr>
        <w:t xml:space="preserve"> </w:t>
      </w:r>
      <w:r w:rsidR="379625AB" w:rsidRPr="59587566">
        <w:rPr>
          <w:rFonts w:asciiTheme="majorHAnsi" w:eastAsiaTheme="majorEastAsia" w:hAnsiTheme="majorHAnsi" w:cstheme="majorBidi"/>
          <w:sz w:val="22"/>
          <w:szCs w:val="22"/>
          <w:lang w:val="en-GB"/>
        </w:rPr>
        <w:t>accounts for</w:t>
      </w:r>
      <w:r w:rsidR="184490E0" w:rsidRPr="59587566">
        <w:rPr>
          <w:rFonts w:asciiTheme="majorHAnsi" w:eastAsiaTheme="majorEastAsia" w:hAnsiTheme="majorHAnsi" w:cstheme="majorBidi"/>
          <w:sz w:val="22"/>
          <w:szCs w:val="22"/>
          <w:lang w:val="en-GB"/>
        </w:rPr>
        <w:t xml:space="preserve"> 10 % to 20% of the production cost (</w:t>
      </w:r>
      <w:proofErr w:type="spellStart"/>
      <w:r w:rsidR="184490E0" w:rsidRPr="59587566">
        <w:rPr>
          <w:rFonts w:asciiTheme="majorHAnsi" w:eastAsiaTheme="majorEastAsia" w:hAnsiTheme="majorHAnsi" w:cstheme="majorBidi"/>
          <w:sz w:val="22"/>
          <w:szCs w:val="22"/>
          <w:lang w:val="en-GB"/>
        </w:rPr>
        <w:t>Tanzer</w:t>
      </w:r>
      <w:proofErr w:type="spellEnd"/>
      <w:r w:rsidR="184490E0" w:rsidRPr="59587566">
        <w:rPr>
          <w:rFonts w:asciiTheme="majorHAnsi" w:eastAsiaTheme="majorEastAsia" w:hAnsiTheme="majorHAnsi" w:cstheme="majorBidi"/>
          <w:sz w:val="22"/>
          <w:szCs w:val="22"/>
          <w:lang w:val="en-GB"/>
        </w:rPr>
        <w:t xml:space="preserve"> </w:t>
      </w:r>
      <w:r w:rsidR="166B9680" w:rsidRPr="59587566">
        <w:rPr>
          <w:rFonts w:asciiTheme="majorHAnsi" w:eastAsiaTheme="majorEastAsia" w:hAnsiTheme="majorHAnsi" w:cstheme="majorBidi"/>
          <w:sz w:val="22"/>
          <w:szCs w:val="22"/>
          <w:lang w:val="en-GB"/>
        </w:rPr>
        <w:t xml:space="preserve">et al., </w:t>
      </w:r>
      <w:r w:rsidR="184490E0" w:rsidRPr="59587566">
        <w:rPr>
          <w:rFonts w:asciiTheme="majorHAnsi" w:eastAsiaTheme="majorEastAsia" w:hAnsiTheme="majorHAnsi" w:cstheme="majorBidi"/>
          <w:sz w:val="22"/>
          <w:szCs w:val="22"/>
          <w:lang w:val="en-GB"/>
        </w:rPr>
        <w:t>2019)</w:t>
      </w:r>
      <w:r w:rsidR="3938723C" w:rsidRPr="59587566">
        <w:rPr>
          <w:rFonts w:asciiTheme="majorHAnsi" w:eastAsiaTheme="majorEastAsia" w:hAnsiTheme="majorHAnsi" w:cstheme="majorBidi"/>
          <w:sz w:val="22"/>
          <w:szCs w:val="22"/>
          <w:lang w:val="en-GB"/>
        </w:rPr>
        <w:t xml:space="preserve">, whereas it </w:t>
      </w:r>
      <w:r w:rsidR="2E1CCC31" w:rsidRPr="59587566">
        <w:rPr>
          <w:rFonts w:asciiTheme="majorHAnsi" w:eastAsiaTheme="majorEastAsia" w:hAnsiTheme="majorHAnsi" w:cstheme="majorBidi"/>
          <w:sz w:val="22"/>
          <w:szCs w:val="22"/>
          <w:lang w:val="en-GB"/>
        </w:rPr>
        <w:t>might</w:t>
      </w:r>
      <w:r w:rsidR="3938723C" w:rsidRPr="59587566">
        <w:rPr>
          <w:rFonts w:asciiTheme="majorHAnsi" w:eastAsiaTheme="majorEastAsia" w:hAnsiTheme="majorHAnsi" w:cstheme="majorBidi"/>
          <w:sz w:val="22"/>
          <w:szCs w:val="22"/>
          <w:lang w:val="en-GB"/>
        </w:rPr>
        <w:t xml:space="preserve"> represent </w:t>
      </w:r>
      <w:r w:rsidR="09A37D19" w:rsidRPr="59587566">
        <w:rPr>
          <w:rFonts w:asciiTheme="majorHAnsi" w:eastAsiaTheme="majorEastAsia" w:hAnsiTheme="majorHAnsi" w:cstheme="majorBidi"/>
          <w:sz w:val="22"/>
          <w:szCs w:val="22"/>
          <w:lang w:val="en-GB"/>
        </w:rPr>
        <w:t>up to</w:t>
      </w:r>
      <w:r w:rsidR="3938723C" w:rsidRPr="59587566">
        <w:rPr>
          <w:rFonts w:asciiTheme="majorHAnsi" w:eastAsiaTheme="majorEastAsia" w:hAnsiTheme="majorHAnsi" w:cstheme="majorBidi"/>
          <w:sz w:val="22"/>
          <w:szCs w:val="22"/>
          <w:lang w:val="en-GB"/>
        </w:rPr>
        <w:t xml:space="preserve"> 60 % </w:t>
      </w:r>
      <w:r w:rsidR="4FAB1933" w:rsidRPr="59587566">
        <w:rPr>
          <w:rFonts w:asciiTheme="majorHAnsi" w:eastAsiaTheme="majorEastAsia" w:hAnsiTheme="majorHAnsi" w:cstheme="majorBidi"/>
          <w:sz w:val="22"/>
          <w:szCs w:val="22"/>
          <w:lang w:val="en-GB"/>
        </w:rPr>
        <w:t xml:space="preserve">for other processes </w:t>
      </w:r>
      <w:r w:rsidR="6CF99591" w:rsidRPr="59587566">
        <w:rPr>
          <w:rFonts w:asciiTheme="majorHAnsi" w:eastAsiaTheme="majorEastAsia" w:hAnsiTheme="majorHAnsi" w:cstheme="majorBidi"/>
          <w:sz w:val="22"/>
          <w:szCs w:val="22"/>
          <w:lang w:val="en-GB"/>
        </w:rPr>
        <w:t>(Brown et al., 2020).</w:t>
      </w:r>
      <w:r w:rsidR="6D7F0BF2" w:rsidRPr="59587566">
        <w:rPr>
          <w:rFonts w:asciiTheme="majorHAnsi" w:eastAsiaTheme="majorEastAsia" w:hAnsiTheme="majorHAnsi" w:cstheme="majorBidi"/>
          <w:sz w:val="22"/>
          <w:szCs w:val="22"/>
          <w:lang w:val="en-GB"/>
        </w:rPr>
        <w:t xml:space="preserve"> </w:t>
      </w:r>
      <w:r w:rsidR="0F8FE80C" w:rsidRPr="59587566">
        <w:rPr>
          <w:rFonts w:asciiTheme="minorHAnsi" w:eastAsiaTheme="minorEastAsia" w:hAnsiTheme="minorHAnsi" w:cstheme="minorBidi"/>
          <w:sz w:val="22"/>
          <w:szCs w:val="22"/>
        </w:rPr>
        <w:t>While predicting the price of future biofuels can represent a challenging task</w:t>
      </w:r>
      <w:r w:rsidR="03C4A1AD" w:rsidRPr="59587566">
        <w:rPr>
          <w:rFonts w:asciiTheme="minorHAnsi" w:eastAsiaTheme="minorEastAsia" w:hAnsiTheme="minorHAnsi" w:cstheme="minorBidi"/>
          <w:sz w:val="22"/>
          <w:szCs w:val="22"/>
        </w:rPr>
        <w:t xml:space="preserve">, </w:t>
      </w:r>
      <w:r w:rsidR="0610DF70" w:rsidRPr="59587566">
        <w:rPr>
          <w:rFonts w:asciiTheme="minorHAnsi" w:eastAsiaTheme="minorEastAsia" w:hAnsiTheme="minorHAnsi" w:cstheme="minorBidi"/>
          <w:sz w:val="22"/>
          <w:szCs w:val="22"/>
        </w:rPr>
        <w:t>especially</w:t>
      </w:r>
      <w:r w:rsidR="03C4A1AD" w:rsidRPr="59587566">
        <w:rPr>
          <w:rFonts w:asciiTheme="minorHAnsi" w:eastAsiaTheme="minorEastAsia" w:hAnsiTheme="minorHAnsi" w:cstheme="minorBidi"/>
          <w:sz w:val="22"/>
          <w:szCs w:val="22"/>
        </w:rPr>
        <w:t xml:space="preserve"> </w:t>
      </w:r>
      <w:r w:rsidR="65635208" w:rsidRPr="59587566">
        <w:rPr>
          <w:rFonts w:asciiTheme="minorHAnsi" w:eastAsiaTheme="minorEastAsia" w:hAnsiTheme="minorHAnsi" w:cstheme="minorBidi"/>
          <w:sz w:val="22"/>
          <w:szCs w:val="22"/>
        </w:rPr>
        <w:t xml:space="preserve">for </w:t>
      </w:r>
      <w:r w:rsidR="03C4A1AD" w:rsidRPr="59587566">
        <w:rPr>
          <w:rFonts w:asciiTheme="minorHAnsi" w:eastAsiaTheme="minorEastAsia" w:hAnsiTheme="minorHAnsi" w:cstheme="minorBidi"/>
          <w:sz w:val="22"/>
          <w:szCs w:val="22"/>
        </w:rPr>
        <w:t>post-COVID time</w:t>
      </w:r>
      <w:r w:rsidR="0F8FE80C" w:rsidRPr="59587566">
        <w:rPr>
          <w:rFonts w:asciiTheme="minorHAnsi" w:eastAsiaTheme="minorEastAsia" w:hAnsiTheme="minorHAnsi" w:cstheme="minorBidi"/>
          <w:sz w:val="22"/>
          <w:szCs w:val="22"/>
        </w:rPr>
        <w:t xml:space="preserve">, </w:t>
      </w:r>
      <w:r w:rsidR="0191EBAF" w:rsidRPr="59587566">
        <w:rPr>
          <w:rFonts w:asciiTheme="minorHAnsi" w:eastAsiaTheme="minorEastAsia" w:hAnsiTheme="minorHAnsi" w:cstheme="minorBidi"/>
          <w:sz w:val="22"/>
          <w:szCs w:val="22"/>
        </w:rPr>
        <w:t xml:space="preserve">the currently </w:t>
      </w:r>
      <w:r w:rsidR="256BA7BB" w:rsidRPr="59587566">
        <w:rPr>
          <w:rFonts w:asciiTheme="minorHAnsi" w:eastAsiaTheme="minorEastAsia" w:hAnsiTheme="minorHAnsi" w:cstheme="minorBidi"/>
          <w:sz w:val="22"/>
          <w:szCs w:val="22"/>
        </w:rPr>
        <w:t>scenario</w:t>
      </w:r>
      <w:r w:rsidR="0191EBAF" w:rsidRPr="59587566">
        <w:rPr>
          <w:rFonts w:asciiTheme="minorHAnsi" w:eastAsiaTheme="minorEastAsia" w:hAnsiTheme="minorHAnsi" w:cstheme="minorBidi"/>
          <w:sz w:val="22"/>
          <w:szCs w:val="22"/>
        </w:rPr>
        <w:t xml:space="preserve"> can provide valuable insight</w:t>
      </w:r>
      <w:r w:rsidR="511EF2C1" w:rsidRPr="59587566">
        <w:rPr>
          <w:rFonts w:asciiTheme="minorHAnsi" w:eastAsiaTheme="minorEastAsia" w:hAnsiTheme="minorHAnsi" w:cstheme="minorBidi"/>
          <w:sz w:val="22"/>
          <w:szCs w:val="22"/>
        </w:rPr>
        <w:t>s</w:t>
      </w:r>
      <w:r w:rsidR="0191EBAF" w:rsidRPr="59587566">
        <w:rPr>
          <w:rFonts w:asciiTheme="minorHAnsi" w:eastAsiaTheme="minorEastAsia" w:hAnsiTheme="minorHAnsi" w:cstheme="minorBidi"/>
          <w:sz w:val="22"/>
          <w:szCs w:val="22"/>
        </w:rPr>
        <w:t xml:space="preserve"> about </w:t>
      </w:r>
      <w:r w:rsidR="25EBAE96" w:rsidRPr="59587566">
        <w:rPr>
          <w:rFonts w:asciiTheme="minorHAnsi" w:eastAsiaTheme="minorEastAsia" w:hAnsiTheme="minorHAnsi" w:cstheme="minorBidi"/>
          <w:sz w:val="22"/>
          <w:szCs w:val="22"/>
        </w:rPr>
        <w:t>product positioning</w:t>
      </w:r>
      <w:proofErr w:type="gramStart"/>
      <w:r w:rsidR="25EBAE96" w:rsidRPr="59587566">
        <w:rPr>
          <w:rFonts w:asciiTheme="minorHAnsi" w:eastAsiaTheme="minorEastAsia" w:hAnsiTheme="minorHAnsi" w:cstheme="minorBidi"/>
          <w:sz w:val="22"/>
          <w:szCs w:val="22"/>
        </w:rPr>
        <w:t xml:space="preserve">.  </w:t>
      </w:r>
      <w:proofErr w:type="gramEnd"/>
      <w:r w:rsidR="25EBAE96" w:rsidRPr="59587566">
        <w:rPr>
          <w:rFonts w:asciiTheme="minorHAnsi" w:eastAsiaTheme="minorEastAsia" w:hAnsiTheme="minorHAnsi" w:cstheme="minorBidi"/>
          <w:sz w:val="22"/>
          <w:szCs w:val="22"/>
        </w:rPr>
        <w:t xml:space="preserve">In figure </w:t>
      </w:r>
      <w:r w:rsidR="00945B67">
        <w:rPr>
          <w:rFonts w:asciiTheme="minorHAnsi" w:eastAsiaTheme="minorEastAsia" w:hAnsiTheme="minorHAnsi" w:cstheme="minorBidi"/>
          <w:sz w:val="22"/>
          <w:szCs w:val="22"/>
        </w:rPr>
        <w:t>8</w:t>
      </w:r>
      <w:r w:rsidR="25EBAE96" w:rsidRPr="59587566">
        <w:rPr>
          <w:rFonts w:asciiTheme="minorHAnsi" w:eastAsiaTheme="minorEastAsia" w:hAnsiTheme="minorHAnsi" w:cstheme="minorBidi"/>
          <w:sz w:val="22"/>
          <w:szCs w:val="22"/>
        </w:rPr>
        <w:t xml:space="preserve">, the price record for </w:t>
      </w:r>
      <w:r w:rsidR="00DA2AEF">
        <w:rPr>
          <w:rFonts w:asciiTheme="minorHAnsi" w:eastAsiaTheme="minorEastAsia" w:hAnsiTheme="minorHAnsi" w:cstheme="minorBidi"/>
          <w:sz w:val="22"/>
          <w:szCs w:val="22"/>
        </w:rPr>
        <w:t>RMG</w:t>
      </w:r>
      <w:r w:rsidR="25EBAE96" w:rsidRPr="59587566">
        <w:rPr>
          <w:rFonts w:asciiTheme="minorHAnsi" w:eastAsiaTheme="minorEastAsia" w:hAnsiTheme="minorHAnsi" w:cstheme="minorBidi"/>
          <w:sz w:val="22"/>
          <w:szCs w:val="22"/>
        </w:rPr>
        <w:t xml:space="preserve"> 380, ULSFO, MGO and FAME</w:t>
      </w:r>
      <w:r w:rsidR="0114E9EB" w:rsidRPr="59587566">
        <w:rPr>
          <w:rFonts w:asciiTheme="minorHAnsi" w:eastAsiaTheme="minorEastAsia" w:hAnsiTheme="minorHAnsi" w:cstheme="minorBidi"/>
          <w:sz w:val="22"/>
          <w:szCs w:val="22"/>
        </w:rPr>
        <w:t xml:space="preserve"> are presented</w:t>
      </w:r>
      <w:r w:rsidR="00D65D44">
        <w:rPr>
          <w:rFonts w:asciiTheme="minorHAnsi" w:eastAsiaTheme="minorEastAsia" w:hAnsiTheme="minorHAnsi" w:cstheme="minorBidi"/>
          <w:sz w:val="22"/>
          <w:szCs w:val="22"/>
        </w:rPr>
        <w:t>. As can be observed no clear tendenc</w:t>
      </w:r>
      <w:r w:rsidR="0019547B">
        <w:rPr>
          <w:rFonts w:asciiTheme="minorHAnsi" w:eastAsiaTheme="minorEastAsia" w:hAnsiTheme="minorHAnsi" w:cstheme="minorBidi"/>
          <w:sz w:val="22"/>
          <w:szCs w:val="22"/>
        </w:rPr>
        <w:t>es</w:t>
      </w:r>
      <w:r w:rsidR="00D65D44">
        <w:rPr>
          <w:rFonts w:asciiTheme="minorHAnsi" w:eastAsiaTheme="minorEastAsia" w:hAnsiTheme="minorHAnsi" w:cstheme="minorBidi"/>
          <w:sz w:val="22"/>
          <w:szCs w:val="22"/>
        </w:rPr>
        <w:t xml:space="preserve"> can be </w:t>
      </w:r>
      <w:r w:rsidR="0019547B">
        <w:rPr>
          <w:rFonts w:asciiTheme="minorHAnsi" w:eastAsiaTheme="minorEastAsia" w:hAnsiTheme="minorHAnsi" w:cstheme="minorBidi"/>
          <w:sz w:val="22"/>
          <w:szCs w:val="22"/>
        </w:rPr>
        <w:t>concluded.</w:t>
      </w:r>
    </w:p>
    <w:p w14:paraId="34709A15" w14:textId="118DD89B" w:rsidR="3370D476" w:rsidRDefault="3370D476" w:rsidP="59587566">
      <w:pPr>
        <w:spacing w:after="120" w:line="360" w:lineRule="auto"/>
        <w:ind w:firstLine="720"/>
        <w:rPr>
          <w:rFonts w:asciiTheme="minorHAnsi" w:eastAsiaTheme="minorEastAsia" w:hAnsiTheme="minorHAnsi" w:cstheme="minorBidi"/>
          <w:sz w:val="22"/>
          <w:szCs w:val="22"/>
        </w:rPr>
      </w:pPr>
      <w:r w:rsidRPr="59587566">
        <w:rPr>
          <w:rFonts w:asciiTheme="minorHAnsi" w:eastAsiaTheme="minorEastAsia" w:hAnsiTheme="minorHAnsi" w:cstheme="minorBidi"/>
          <w:sz w:val="22"/>
          <w:szCs w:val="22"/>
        </w:rPr>
        <w:t>As mentioned before, fossil-based fuels ha</w:t>
      </w:r>
      <w:r w:rsidR="2132E446" w:rsidRPr="59587566">
        <w:rPr>
          <w:rFonts w:asciiTheme="minorHAnsi" w:eastAsiaTheme="minorEastAsia" w:hAnsiTheme="minorHAnsi" w:cstheme="minorBidi"/>
          <w:sz w:val="22"/>
          <w:szCs w:val="22"/>
        </w:rPr>
        <w:t>ve a substantial lower price than bio-based alternatives</w:t>
      </w:r>
      <w:r w:rsidR="27997AAA" w:rsidRPr="59587566">
        <w:rPr>
          <w:rFonts w:asciiTheme="minorHAnsi" w:eastAsiaTheme="minorEastAsia" w:hAnsiTheme="minorHAnsi" w:cstheme="minorBidi"/>
          <w:sz w:val="22"/>
          <w:szCs w:val="22"/>
        </w:rPr>
        <w:t xml:space="preserve">. On the other hand, bio-based fuel can benefit from the premium related to </w:t>
      </w:r>
      <w:r w:rsidR="6EC8C0A0" w:rsidRPr="59587566">
        <w:rPr>
          <w:rFonts w:asciiTheme="minorHAnsi" w:eastAsiaTheme="minorEastAsia" w:hAnsiTheme="minorHAnsi" w:cstheme="minorBidi"/>
          <w:sz w:val="22"/>
          <w:szCs w:val="22"/>
        </w:rPr>
        <w:t>emissions reduction, whether GHG or sulfur.</w:t>
      </w:r>
      <w:r w:rsidR="3C71E799" w:rsidRPr="59587566">
        <w:rPr>
          <w:rFonts w:asciiTheme="minorHAnsi" w:eastAsiaTheme="minorEastAsia" w:hAnsiTheme="minorHAnsi" w:cstheme="minorBidi"/>
          <w:sz w:val="22"/>
          <w:szCs w:val="22"/>
        </w:rPr>
        <w:t xml:space="preserve"> From the data is possible to infer the market premium for sulfur content</w:t>
      </w:r>
      <w:r w:rsidR="410E12CE" w:rsidRPr="59587566">
        <w:rPr>
          <w:rFonts w:asciiTheme="minorHAnsi" w:eastAsiaTheme="minorEastAsia" w:hAnsiTheme="minorHAnsi" w:cstheme="minorBidi"/>
          <w:sz w:val="22"/>
          <w:szCs w:val="22"/>
        </w:rPr>
        <w:t xml:space="preserve"> by taking the spread between </w:t>
      </w:r>
      <w:r w:rsidR="00DA2AEF">
        <w:rPr>
          <w:rFonts w:asciiTheme="minorHAnsi" w:eastAsiaTheme="minorEastAsia" w:hAnsiTheme="minorHAnsi" w:cstheme="minorBidi"/>
          <w:sz w:val="22"/>
          <w:szCs w:val="22"/>
        </w:rPr>
        <w:t>RMG</w:t>
      </w:r>
      <w:r w:rsidR="410E12CE" w:rsidRPr="59587566">
        <w:rPr>
          <w:rFonts w:asciiTheme="minorHAnsi" w:eastAsiaTheme="minorEastAsia" w:hAnsiTheme="minorHAnsi" w:cstheme="minorBidi"/>
          <w:sz w:val="22"/>
          <w:szCs w:val="22"/>
        </w:rPr>
        <w:t xml:space="preserve"> 380 and ULSFO</w:t>
      </w:r>
      <w:r w:rsidR="03039D07" w:rsidRPr="59587566">
        <w:rPr>
          <w:rFonts w:asciiTheme="minorHAnsi" w:eastAsiaTheme="minorEastAsia" w:hAnsiTheme="minorHAnsi" w:cstheme="minorBidi"/>
          <w:sz w:val="22"/>
          <w:szCs w:val="22"/>
        </w:rPr>
        <w:t>.</w:t>
      </w:r>
      <w:r w:rsidR="410E12CE" w:rsidRPr="59587566">
        <w:rPr>
          <w:rFonts w:asciiTheme="minorHAnsi" w:eastAsiaTheme="minorEastAsia" w:hAnsiTheme="minorHAnsi" w:cstheme="minorBidi"/>
          <w:sz w:val="22"/>
          <w:szCs w:val="22"/>
        </w:rPr>
        <w:t xml:space="preserve"> </w:t>
      </w:r>
      <w:r w:rsidR="2FC82EEE" w:rsidRPr="59587566">
        <w:rPr>
          <w:rFonts w:asciiTheme="minorHAnsi" w:eastAsiaTheme="minorEastAsia" w:hAnsiTheme="minorHAnsi" w:cstheme="minorBidi"/>
          <w:sz w:val="22"/>
          <w:szCs w:val="22"/>
        </w:rPr>
        <w:t>The average price of HFO i</w:t>
      </w:r>
      <w:r w:rsidR="17BA6BC4" w:rsidRPr="59587566">
        <w:rPr>
          <w:rFonts w:asciiTheme="minorHAnsi" w:eastAsiaTheme="minorEastAsia" w:hAnsiTheme="minorHAnsi" w:cstheme="minorBidi"/>
          <w:sz w:val="22"/>
          <w:szCs w:val="22"/>
        </w:rPr>
        <w:t xml:space="preserve">n the past 20 months is $ 330/ ton, while an </w:t>
      </w:r>
      <w:r w:rsidR="5D6A4523" w:rsidRPr="59587566">
        <w:rPr>
          <w:rFonts w:asciiTheme="minorHAnsi" w:eastAsiaTheme="minorEastAsia" w:hAnsiTheme="minorHAnsi" w:cstheme="minorBidi"/>
          <w:sz w:val="22"/>
          <w:szCs w:val="22"/>
        </w:rPr>
        <w:t>average</w:t>
      </w:r>
      <w:r w:rsidR="17BA6BC4" w:rsidRPr="59587566">
        <w:rPr>
          <w:rFonts w:asciiTheme="minorHAnsi" w:eastAsiaTheme="minorEastAsia" w:hAnsiTheme="minorHAnsi" w:cstheme="minorBidi"/>
          <w:sz w:val="22"/>
          <w:szCs w:val="22"/>
        </w:rPr>
        <w:t xml:space="preserve"> of </w:t>
      </w:r>
      <w:r w:rsidR="43AFBFEB" w:rsidRPr="59587566">
        <w:rPr>
          <w:rFonts w:asciiTheme="minorHAnsi" w:eastAsiaTheme="minorEastAsia" w:hAnsiTheme="minorHAnsi" w:cstheme="minorBidi"/>
          <w:sz w:val="22"/>
          <w:szCs w:val="22"/>
        </w:rPr>
        <w:t xml:space="preserve">$ </w:t>
      </w:r>
      <w:r w:rsidR="17BA6BC4" w:rsidRPr="59587566">
        <w:rPr>
          <w:rFonts w:asciiTheme="minorHAnsi" w:eastAsiaTheme="minorEastAsia" w:hAnsiTheme="minorHAnsi" w:cstheme="minorBidi"/>
          <w:sz w:val="22"/>
          <w:szCs w:val="22"/>
        </w:rPr>
        <w:t>57</w:t>
      </w:r>
      <w:r w:rsidR="15043627" w:rsidRPr="59587566">
        <w:rPr>
          <w:rFonts w:asciiTheme="minorHAnsi" w:eastAsiaTheme="minorEastAsia" w:hAnsiTheme="minorHAnsi" w:cstheme="minorBidi"/>
          <w:sz w:val="22"/>
          <w:szCs w:val="22"/>
        </w:rPr>
        <w:t>0</w:t>
      </w:r>
      <w:r w:rsidR="49F862F9" w:rsidRPr="59587566">
        <w:rPr>
          <w:rFonts w:asciiTheme="minorHAnsi" w:eastAsiaTheme="minorEastAsia" w:hAnsiTheme="minorHAnsi" w:cstheme="minorBidi"/>
          <w:sz w:val="22"/>
          <w:szCs w:val="22"/>
        </w:rPr>
        <w:t xml:space="preserve"> in found for ULSFO in the past 2 months</w:t>
      </w:r>
      <w:r w:rsidR="53A91B58" w:rsidRPr="59587566">
        <w:rPr>
          <w:rFonts w:asciiTheme="minorHAnsi" w:eastAsiaTheme="minorEastAsia" w:hAnsiTheme="minorHAnsi" w:cstheme="minorBidi"/>
          <w:sz w:val="22"/>
          <w:szCs w:val="22"/>
        </w:rPr>
        <w:t>, which</w:t>
      </w:r>
      <w:r w:rsidR="0254A51D" w:rsidRPr="59587566">
        <w:rPr>
          <w:rFonts w:asciiTheme="minorHAnsi" w:eastAsiaTheme="minorEastAsia" w:hAnsiTheme="minorHAnsi" w:cstheme="minorBidi"/>
          <w:sz w:val="22"/>
          <w:szCs w:val="22"/>
        </w:rPr>
        <w:t xml:space="preserve"> it gives</w:t>
      </w:r>
      <w:r w:rsidR="1F8E8139" w:rsidRPr="59587566">
        <w:rPr>
          <w:rFonts w:asciiTheme="minorHAnsi" w:eastAsiaTheme="minorEastAsia" w:hAnsiTheme="minorHAnsi" w:cstheme="minorBidi"/>
          <w:sz w:val="22"/>
          <w:szCs w:val="22"/>
        </w:rPr>
        <w:t xml:space="preserve"> a spread of</w:t>
      </w:r>
      <w:r w:rsidR="0254A51D" w:rsidRPr="59587566">
        <w:rPr>
          <w:rFonts w:asciiTheme="minorHAnsi" w:eastAsiaTheme="minorEastAsia" w:hAnsiTheme="minorHAnsi" w:cstheme="minorBidi"/>
          <w:sz w:val="22"/>
          <w:szCs w:val="22"/>
        </w:rPr>
        <w:t xml:space="preserve"> </w:t>
      </w:r>
      <w:r w:rsidR="375B0991" w:rsidRPr="59587566">
        <w:rPr>
          <w:rFonts w:asciiTheme="minorHAnsi" w:eastAsiaTheme="minorEastAsia" w:hAnsiTheme="minorHAnsi" w:cstheme="minorBidi"/>
          <w:sz w:val="22"/>
          <w:szCs w:val="22"/>
        </w:rPr>
        <w:t>$ 240/ ton</w:t>
      </w:r>
      <w:r w:rsidR="4E841BDB" w:rsidRPr="59587566">
        <w:rPr>
          <w:rFonts w:asciiTheme="minorHAnsi" w:eastAsiaTheme="minorEastAsia" w:hAnsiTheme="minorHAnsi" w:cstheme="minorBidi"/>
          <w:sz w:val="22"/>
          <w:szCs w:val="22"/>
        </w:rPr>
        <w:t>. Considering the difference of 3.4 %</w:t>
      </w:r>
      <w:r w:rsidR="07D82ACD" w:rsidRPr="59587566">
        <w:rPr>
          <w:rFonts w:asciiTheme="minorHAnsi" w:eastAsiaTheme="minorEastAsia" w:hAnsiTheme="minorHAnsi" w:cstheme="minorBidi"/>
          <w:sz w:val="22"/>
          <w:szCs w:val="22"/>
        </w:rPr>
        <w:t xml:space="preserve"> in the sulfur content, linearly it suggests a premium of $ 70</w:t>
      </w:r>
      <w:r w:rsidR="0A5C5C45" w:rsidRPr="59587566">
        <w:rPr>
          <w:rFonts w:asciiTheme="minorHAnsi" w:eastAsiaTheme="minorEastAsia" w:hAnsiTheme="minorHAnsi" w:cstheme="minorBidi"/>
          <w:sz w:val="22"/>
          <w:szCs w:val="22"/>
        </w:rPr>
        <w:t xml:space="preserve">/ ton for each percentage reduced in the </w:t>
      </w:r>
      <w:r w:rsidR="000B40B6">
        <w:rPr>
          <w:rFonts w:asciiTheme="minorHAnsi" w:eastAsiaTheme="minorEastAsia" w:hAnsiTheme="minorHAnsi" w:cstheme="minorBidi"/>
          <w:sz w:val="22"/>
          <w:szCs w:val="22"/>
        </w:rPr>
        <w:t>s</w:t>
      </w:r>
      <w:r w:rsidR="2E361851" w:rsidRPr="59587566">
        <w:rPr>
          <w:rFonts w:asciiTheme="minorHAnsi" w:eastAsiaTheme="minorEastAsia" w:hAnsiTheme="minorHAnsi" w:cstheme="minorBidi"/>
          <w:sz w:val="22"/>
          <w:szCs w:val="22"/>
        </w:rPr>
        <w:t>ul</w:t>
      </w:r>
      <w:r w:rsidR="000B40B6">
        <w:rPr>
          <w:rFonts w:asciiTheme="minorHAnsi" w:eastAsiaTheme="minorEastAsia" w:hAnsiTheme="minorHAnsi" w:cstheme="minorBidi"/>
          <w:sz w:val="22"/>
          <w:szCs w:val="22"/>
        </w:rPr>
        <w:t>f</w:t>
      </w:r>
      <w:r w:rsidR="2E361851" w:rsidRPr="59587566">
        <w:rPr>
          <w:rFonts w:asciiTheme="minorHAnsi" w:eastAsiaTheme="minorEastAsia" w:hAnsiTheme="minorHAnsi" w:cstheme="minorBidi"/>
          <w:sz w:val="22"/>
          <w:szCs w:val="22"/>
        </w:rPr>
        <w:t>ur</w:t>
      </w:r>
      <w:r w:rsidR="0A5C5C45" w:rsidRPr="59587566">
        <w:rPr>
          <w:rFonts w:asciiTheme="minorHAnsi" w:eastAsiaTheme="minorEastAsia" w:hAnsiTheme="minorHAnsi" w:cstheme="minorBidi"/>
          <w:sz w:val="22"/>
          <w:szCs w:val="22"/>
        </w:rPr>
        <w:t xml:space="preserve"> concentration.</w:t>
      </w:r>
      <w:r w:rsidR="597C5579" w:rsidRPr="59587566">
        <w:rPr>
          <w:rFonts w:asciiTheme="minorHAnsi" w:eastAsiaTheme="minorEastAsia" w:hAnsiTheme="minorHAnsi" w:cstheme="minorBidi"/>
          <w:sz w:val="22"/>
          <w:szCs w:val="22"/>
        </w:rPr>
        <w:t xml:space="preserve"> </w:t>
      </w:r>
    </w:p>
    <w:p w14:paraId="12EA4724" w14:textId="259B8C25" w:rsidR="2946AEDB" w:rsidRPr="007A56EA" w:rsidRDefault="2946AEDB" w:rsidP="59587566">
      <w:pPr>
        <w:spacing w:after="120" w:line="360" w:lineRule="auto"/>
        <w:ind w:firstLine="720"/>
        <w:rPr>
          <w:rFonts w:asciiTheme="minorHAnsi" w:eastAsiaTheme="minorEastAsia" w:hAnsiTheme="minorHAnsi" w:cstheme="minorBidi"/>
          <w:sz w:val="22"/>
          <w:szCs w:val="22"/>
        </w:rPr>
      </w:pPr>
      <w:r w:rsidRPr="007A56EA">
        <w:rPr>
          <w:rFonts w:asciiTheme="minorHAnsi" w:eastAsiaTheme="minorEastAsia" w:hAnsiTheme="minorHAnsi" w:cstheme="minorBidi"/>
          <w:sz w:val="22"/>
          <w:szCs w:val="22"/>
        </w:rPr>
        <w:t>The B</w:t>
      </w:r>
      <w:r w:rsidR="67EB940C" w:rsidRPr="007A56EA">
        <w:rPr>
          <w:rFonts w:asciiTheme="minorHAnsi" w:eastAsiaTheme="minorEastAsia" w:hAnsiTheme="minorHAnsi" w:cstheme="minorBidi"/>
          <w:sz w:val="22"/>
          <w:szCs w:val="22"/>
        </w:rPr>
        <w:t>i</w:t>
      </w:r>
      <w:r w:rsidRPr="007A56EA">
        <w:rPr>
          <w:rFonts w:asciiTheme="minorHAnsi" w:eastAsiaTheme="minorEastAsia" w:hAnsiTheme="minorHAnsi" w:cstheme="minorBidi"/>
          <w:sz w:val="22"/>
          <w:szCs w:val="22"/>
        </w:rPr>
        <w:t xml:space="preserve">o-HFO can also benefit from GHG mitigation. According to a </w:t>
      </w:r>
      <w:r w:rsidR="7F7C5572" w:rsidRPr="007A56EA">
        <w:rPr>
          <w:rFonts w:asciiTheme="minorHAnsi" w:eastAsiaTheme="minorEastAsia" w:hAnsiTheme="minorHAnsi" w:cstheme="minorBidi"/>
          <w:sz w:val="22"/>
          <w:szCs w:val="22"/>
        </w:rPr>
        <w:t>survey</w:t>
      </w:r>
      <w:r w:rsidRPr="007A56EA">
        <w:rPr>
          <w:rFonts w:asciiTheme="minorHAnsi" w:eastAsiaTheme="minorEastAsia" w:hAnsiTheme="minorHAnsi" w:cstheme="minorBidi"/>
          <w:sz w:val="22"/>
          <w:szCs w:val="22"/>
        </w:rPr>
        <w:t xml:space="preserve"> conducted by the Emission Trade Association (IETA</w:t>
      </w:r>
      <w:r w:rsidR="00D56666" w:rsidRPr="007A56EA">
        <w:rPr>
          <w:rFonts w:asciiTheme="minorHAnsi" w:eastAsiaTheme="minorEastAsia" w:hAnsiTheme="minorHAnsi" w:cstheme="minorBidi"/>
          <w:sz w:val="22"/>
          <w:szCs w:val="22"/>
        </w:rPr>
        <w:t>)</w:t>
      </w:r>
      <w:r w:rsidR="1D622C50" w:rsidRPr="007A56EA">
        <w:rPr>
          <w:rFonts w:asciiTheme="minorHAnsi" w:eastAsiaTheme="minorEastAsia" w:hAnsiTheme="minorHAnsi" w:cstheme="minorBidi"/>
          <w:sz w:val="22"/>
          <w:szCs w:val="22"/>
        </w:rPr>
        <w:t>, the carbon price in the European market is expected to be around $ 57</w:t>
      </w:r>
      <w:r w:rsidR="39AED2F2" w:rsidRPr="007A56EA">
        <w:rPr>
          <w:rFonts w:asciiTheme="minorHAnsi" w:eastAsiaTheme="minorEastAsia" w:hAnsiTheme="minorHAnsi" w:cstheme="minorBidi"/>
          <w:sz w:val="22"/>
          <w:szCs w:val="22"/>
        </w:rPr>
        <w:t>/ ton</w:t>
      </w:r>
      <w:r w:rsidR="1D622C50" w:rsidRPr="007A56EA">
        <w:rPr>
          <w:rFonts w:asciiTheme="minorHAnsi" w:eastAsiaTheme="minorEastAsia" w:hAnsiTheme="minorHAnsi" w:cstheme="minorBidi"/>
          <w:sz w:val="22"/>
          <w:szCs w:val="22"/>
        </w:rPr>
        <w:t xml:space="preserve"> between 2021 and 2025, and $ 58.60</w:t>
      </w:r>
      <w:r w:rsidR="52F7847D" w:rsidRPr="007A56EA">
        <w:rPr>
          <w:rFonts w:asciiTheme="minorHAnsi" w:eastAsiaTheme="minorEastAsia" w:hAnsiTheme="minorHAnsi" w:cstheme="minorBidi"/>
          <w:sz w:val="22"/>
          <w:szCs w:val="22"/>
        </w:rPr>
        <w:t>/ ton</w:t>
      </w:r>
      <w:r w:rsidR="1D622C50" w:rsidRPr="007A56EA">
        <w:rPr>
          <w:rFonts w:asciiTheme="minorHAnsi" w:eastAsiaTheme="minorEastAsia" w:hAnsiTheme="minorHAnsi" w:cstheme="minorBidi"/>
          <w:sz w:val="22"/>
          <w:szCs w:val="22"/>
        </w:rPr>
        <w:t xml:space="preserve"> betw</w:t>
      </w:r>
      <w:r w:rsidR="081C1FB0" w:rsidRPr="007A56EA">
        <w:rPr>
          <w:rFonts w:asciiTheme="minorHAnsi" w:eastAsiaTheme="minorEastAsia" w:hAnsiTheme="minorHAnsi" w:cstheme="minorBidi"/>
          <w:sz w:val="22"/>
          <w:szCs w:val="22"/>
        </w:rPr>
        <w:t>een 2026 and 2030</w:t>
      </w:r>
      <w:proofErr w:type="gramStart"/>
      <w:r w:rsidR="081C1FB0" w:rsidRPr="007A56EA">
        <w:rPr>
          <w:rFonts w:asciiTheme="minorHAnsi" w:eastAsiaTheme="minorEastAsia" w:hAnsiTheme="minorHAnsi" w:cstheme="minorBidi"/>
          <w:sz w:val="22"/>
          <w:szCs w:val="22"/>
        </w:rPr>
        <w:t xml:space="preserve">. </w:t>
      </w:r>
      <w:r w:rsidR="2A46C621" w:rsidRPr="007A56EA">
        <w:rPr>
          <w:rFonts w:asciiTheme="minorHAnsi" w:eastAsiaTheme="minorEastAsia" w:hAnsiTheme="minorHAnsi" w:cstheme="minorBidi"/>
          <w:sz w:val="22"/>
          <w:szCs w:val="22"/>
        </w:rPr>
        <w:t xml:space="preserve"> </w:t>
      </w:r>
      <w:proofErr w:type="gramEnd"/>
      <w:r w:rsidR="726F3507" w:rsidRPr="007A56EA">
        <w:rPr>
          <w:rFonts w:asciiTheme="minorHAnsi" w:eastAsiaTheme="minorEastAsia" w:hAnsiTheme="minorHAnsi" w:cstheme="minorBidi"/>
          <w:sz w:val="22"/>
          <w:szCs w:val="22"/>
        </w:rPr>
        <w:t xml:space="preserve">In </w:t>
      </w:r>
      <w:r w:rsidR="6AEE7932" w:rsidRPr="007A56EA">
        <w:rPr>
          <w:rFonts w:asciiTheme="minorHAnsi" w:eastAsiaTheme="minorEastAsia" w:hAnsiTheme="minorHAnsi" w:cstheme="minorBidi"/>
          <w:sz w:val="22"/>
          <w:szCs w:val="22"/>
        </w:rPr>
        <w:t>T</w:t>
      </w:r>
      <w:r w:rsidR="726F3507" w:rsidRPr="007A56EA">
        <w:rPr>
          <w:rFonts w:asciiTheme="minorHAnsi" w:eastAsiaTheme="minorEastAsia" w:hAnsiTheme="minorHAnsi" w:cstheme="minorBidi"/>
          <w:sz w:val="22"/>
          <w:szCs w:val="22"/>
        </w:rPr>
        <w:t xml:space="preserve">able </w:t>
      </w:r>
      <w:r w:rsidR="008E3076" w:rsidRPr="007A56EA">
        <w:rPr>
          <w:rFonts w:asciiTheme="minorHAnsi" w:eastAsiaTheme="minorEastAsia" w:hAnsiTheme="minorHAnsi" w:cstheme="minorBidi"/>
          <w:sz w:val="22"/>
          <w:szCs w:val="22"/>
        </w:rPr>
        <w:t>4</w:t>
      </w:r>
      <w:r w:rsidR="726F3507" w:rsidRPr="007A56EA">
        <w:rPr>
          <w:rFonts w:asciiTheme="minorHAnsi" w:eastAsiaTheme="minorEastAsia" w:hAnsiTheme="minorHAnsi" w:cstheme="minorBidi"/>
          <w:sz w:val="22"/>
          <w:szCs w:val="22"/>
        </w:rPr>
        <w:t>,</w:t>
      </w:r>
      <w:r w:rsidR="00A52BD1" w:rsidRPr="007A56EA">
        <w:rPr>
          <w:rFonts w:asciiTheme="minorHAnsi" w:eastAsiaTheme="minorEastAsia" w:hAnsiTheme="minorHAnsi" w:cstheme="minorBidi"/>
          <w:sz w:val="22"/>
          <w:szCs w:val="22"/>
        </w:rPr>
        <w:t xml:space="preserve"> </w:t>
      </w:r>
      <w:r w:rsidR="00A52BD1" w:rsidRPr="00B55ADC">
        <w:rPr>
          <w:sz w:val="22"/>
          <w:szCs w:val="22"/>
        </w:rPr>
        <w:t xml:space="preserve">the estimated benefit due to </w:t>
      </w:r>
      <w:r w:rsidR="00A52BD1" w:rsidRPr="00B55ADC">
        <w:rPr>
          <w:sz w:val="22"/>
          <w:szCs w:val="22"/>
        </w:rPr>
        <w:lastRenderedPageBreak/>
        <w:t>decarbonization is presented in relation to one ton of HFO, assuming $ 58/ ton</w:t>
      </w:r>
      <w:r w:rsidR="007A6596" w:rsidRPr="00B55ADC">
        <w:rPr>
          <w:sz w:val="22"/>
          <w:szCs w:val="22"/>
        </w:rPr>
        <w:t xml:space="preserve"> and following </w:t>
      </w:r>
      <w:r w:rsidR="008E6C0F" w:rsidRPr="00B55ADC">
        <w:rPr>
          <w:sz w:val="22"/>
          <w:szCs w:val="22"/>
        </w:rPr>
        <w:t>RED II annex V, part C3</w:t>
      </w:r>
      <w:r w:rsidR="006B6F0D" w:rsidRPr="00B55ADC">
        <w:rPr>
          <w:sz w:val="22"/>
          <w:szCs w:val="22"/>
        </w:rPr>
        <w:t>.</w:t>
      </w:r>
    </w:p>
    <w:p w14:paraId="0D787321" w14:textId="60E57E5F" w:rsidR="00945B67" w:rsidRDefault="00945B67" w:rsidP="59587566">
      <w:pPr>
        <w:spacing w:after="120" w:line="360" w:lineRule="auto"/>
        <w:ind w:firstLine="720"/>
        <w:rPr>
          <w:rFonts w:asciiTheme="minorHAnsi" w:eastAsiaTheme="minorEastAsia" w:hAnsiTheme="minorHAnsi" w:cstheme="minorBidi"/>
          <w:sz w:val="22"/>
          <w:szCs w:val="22"/>
        </w:rPr>
      </w:pPr>
    </w:p>
    <w:p w14:paraId="5D49C621" w14:textId="77777777" w:rsidR="00945B67" w:rsidRDefault="00945B67" w:rsidP="00945B67">
      <w:pPr>
        <w:keepNext/>
        <w:spacing w:after="120" w:line="360" w:lineRule="auto"/>
        <w:ind w:firstLine="720"/>
        <w:jc w:val="center"/>
      </w:pPr>
      <w:r>
        <w:rPr>
          <w:noProof/>
        </w:rPr>
        <w:drawing>
          <wp:inline distT="0" distB="0" distL="0" distR="0" wp14:anchorId="126B086F" wp14:editId="3FDA07BE">
            <wp:extent cx="4972050" cy="2941796"/>
            <wp:effectExtent l="0" t="0" r="0" b="0"/>
            <wp:docPr id="1654391681" name="Picture 165439168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391681" name="Picture 1654391681" descr="Chart, line 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972050" cy="2941796"/>
                    </a:xfrm>
                    <a:prstGeom prst="rect">
                      <a:avLst/>
                    </a:prstGeom>
                  </pic:spPr>
                </pic:pic>
              </a:graphicData>
            </a:graphic>
          </wp:inline>
        </w:drawing>
      </w:r>
    </w:p>
    <w:p w14:paraId="7AADE3DE" w14:textId="321507CE" w:rsidR="00C53804" w:rsidRDefault="00945B67" w:rsidP="00945B67">
      <w:pPr>
        <w:pStyle w:val="Caption"/>
        <w:jc w:val="center"/>
        <w:rPr>
          <w:rFonts w:ascii="Times New Roman" w:hAnsi="Times New Roman"/>
          <w:sz w:val="20"/>
        </w:rPr>
      </w:pPr>
      <w:bookmarkStart w:id="36" w:name="_Toc85627886"/>
      <w:r>
        <w:t xml:space="preserve">Figure </w:t>
      </w:r>
      <w:fldSimple w:instr=" SEQ Figure \* ARABIC ">
        <w:r w:rsidR="008027AE">
          <w:rPr>
            <w:noProof/>
          </w:rPr>
          <w:t>8</w:t>
        </w:r>
      </w:fldSimple>
      <w:proofErr w:type="gramStart"/>
      <w:r>
        <w:t xml:space="preserve">. </w:t>
      </w:r>
      <w:r w:rsidRPr="0049299F">
        <w:t xml:space="preserve"> </w:t>
      </w:r>
      <w:proofErr w:type="gramEnd"/>
      <w:r w:rsidRPr="0049299F">
        <w:t xml:space="preserve">Price record of FAME, </w:t>
      </w:r>
      <w:r w:rsidR="000966E5">
        <w:t>RMG (</w:t>
      </w:r>
      <w:r w:rsidRPr="0049299F">
        <w:t>IFO</w:t>
      </w:r>
      <w:r w:rsidR="000966E5">
        <w:t>)</w:t>
      </w:r>
      <w:r w:rsidRPr="0049299F">
        <w:t xml:space="preserve"> 380, ULSFO and MGO (source: Platts, Ship and Bunker)</w:t>
      </w:r>
      <w:r>
        <w:t>.</w:t>
      </w:r>
      <w:bookmarkEnd w:id="36"/>
    </w:p>
    <w:p w14:paraId="36AF972A" w14:textId="0946F11D" w:rsidR="00945B67" w:rsidRDefault="00945B67" w:rsidP="00945B67">
      <w:pPr>
        <w:spacing w:after="120" w:line="360" w:lineRule="auto"/>
        <w:ind w:firstLine="720"/>
        <w:rPr>
          <w:rFonts w:ascii="Times New Roman" w:hAnsi="Times New Roman"/>
          <w:sz w:val="20"/>
          <w:lang w:val="en-GB"/>
        </w:rPr>
      </w:pPr>
    </w:p>
    <w:p w14:paraId="70719425" w14:textId="24B91706" w:rsidR="002E78F9" w:rsidRDefault="002E78F9" w:rsidP="002E78F9">
      <w:pPr>
        <w:pStyle w:val="Caption"/>
        <w:keepNext/>
      </w:pPr>
      <w:bookmarkStart w:id="37" w:name="_Toc85627890"/>
      <w:bookmarkStart w:id="38" w:name="_Toc85627896"/>
      <w:r>
        <w:t xml:space="preserve">Table </w:t>
      </w:r>
      <w:fldSimple w:instr=" SEQ Table \* ARABIC ">
        <w:r w:rsidR="008027AE">
          <w:rPr>
            <w:noProof/>
          </w:rPr>
          <w:t>4</w:t>
        </w:r>
      </w:fldSimple>
      <w:r>
        <w:t xml:space="preserve">. </w:t>
      </w:r>
      <w:r w:rsidRPr="00700230">
        <w:t>Decarbonization premium per ton of product in comparison to HFO, assuming equivalent densities and heat value</w:t>
      </w:r>
      <w:r w:rsidR="006B6F0D">
        <w:t xml:space="preserve"> and a carbon price </w:t>
      </w:r>
      <w:r w:rsidR="00971909">
        <w:t xml:space="preserve">of </w:t>
      </w:r>
      <w:r w:rsidR="00971909" w:rsidRPr="00971909">
        <w:t>$58/ton CO</w:t>
      </w:r>
      <w:r w:rsidR="00971909" w:rsidRPr="00A939A0">
        <w:rPr>
          <w:vertAlign w:val="subscript"/>
        </w:rPr>
        <w:t>2eq</w:t>
      </w:r>
      <w:r>
        <w:t>.</w:t>
      </w:r>
      <w:bookmarkEnd w:id="37"/>
      <w:bookmarkEnd w:id="38"/>
    </w:p>
    <w:tbl>
      <w:tblPr>
        <w:tblStyle w:val="TableGrid"/>
        <w:tblW w:w="0" w:type="auto"/>
        <w:jc w:val="center"/>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6A0" w:firstRow="1" w:lastRow="0" w:firstColumn="1" w:lastColumn="0" w:noHBand="1" w:noVBand="1"/>
      </w:tblPr>
      <w:tblGrid>
        <w:gridCol w:w="2490"/>
        <w:gridCol w:w="2025"/>
      </w:tblGrid>
      <w:tr w:rsidR="5937A937" w14:paraId="3241AB94" w14:textId="77777777" w:rsidTr="5937A937">
        <w:trPr>
          <w:jc w:val="center"/>
        </w:trPr>
        <w:tc>
          <w:tcPr>
            <w:tcW w:w="2490" w:type="dxa"/>
            <w:tcBorders>
              <w:top w:val="single" w:sz="4" w:space="0" w:color="000000"/>
              <w:bottom w:val="single" w:sz="4" w:space="0" w:color="000000"/>
            </w:tcBorders>
            <w:vAlign w:val="center"/>
          </w:tcPr>
          <w:p w14:paraId="426E0876" w14:textId="2C5D0C93" w:rsidR="6462FF90" w:rsidRPr="00AD1ED7" w:rsidRDefault="6462FF90" w:rsidP="00111D02">
            <w:pPr>
              <w:spacing w:before="120" w:after="120"/>
              <w:jc w:val="center"/>
              <w:rPr>
                <w:rFonts w:asciiTheme="minorHAnsi" w:hAnsiTheme="minorHAnsi" w:cstheme="minorHAnsi"/>
                <w:b/>
                <w:bCs/>
                <w:color w:val="auto"/>
                <w:sz w:val="18"/>
                <w:szCs w:val="18"/>
              </w:rPr>
            </w:pPr>
            <w:r w:rsidRPr="00AD1ED7">
              <w:rPr>
                <w:rFonts w:asciiTheme="minorHAnsi" w:hAnsiTheme="minorHAnsi" w:cstheme="minorHAnsi"/>
                <w:b/>
                <w:bCs/>
                <w:color w:val="auto"/>
                <w:sz w:val="18"/>
                <w:szCs w:val="18"/>
              </w:rPr>
              <w:t>Life Cycle GHG Reduction</w:t>
            </w:r>
          </w:p>
        </w:tc>
        <w:tc>
          <w:tcPr>
            <w:tcW w:w="2025" w:type="dxa"/>
            <w:tcBorders>
              <w:top w:val="single" w:sz="4" w:space="0" w:color="000000"/>
              <w:bottom w:val="single" w:sz="4" w:space="0" w:color="000000"/>
            </w:tcBorders>
            <w:vAlign w:val="center"/>
          </w:tcPr>
          <w:p w14:paraId="76719692" w14:textId="1ECB541C" w:rsidR="6462FF90" w:rsidRPr="00AD1ED7" w:rsidRDefault="006C794C" w:rsidP="00111D02">
            <w:pPr>
              <w:spacing w:before="120" w:after="120"/>
              <w:jc w:val="center"/>
              <w:rPr>
                <w:rFonts w:asciiTheme="minorHAnsi" w:hAnsiTheme="minorHAnsi" w:cstheme="minorHAnsi"/>
                <w:b/>
                <w:bCs/>
                <w:color w:val="auto"/>
                <w:sz w:val="18"/>
                <w:szCs w:val="18"/>
              </w:rPr>
            </w:pPr>
            <w:r w:rsidRPr="00AD1ED7">
              <w:rPr>
                <w:rFonts w:asciiTheme="minorHAnsi" w:hAnsiTheme="minorHAnsi" w:cstheme="minorHAnsi"/>
                <w:b/>
                <w:bCs/>
                <w:color w:val="auto"/>
                <w:sz w:val="18"/>
                <w:szCs w:val="18"/>
              </w:rPr>
              <w:t>Value of CO</w:t>
            </w:r>
            <w:r w:rsidRPr="00AD1ED7">
              <w:rPr>
                <w:rFonts w:asciiTheme="minorHAnsi" w:hAnsiTheme="minorHAnsi" w:cstheme="minorHAnsi"/>
                <w:b/>
                <w:bCs/>
                <w:color w:val="auto"/>
                <w:sz w:val="18"/>
                <w:szCs w:val="18"/>
                <w:vertAlign w:val="subscript"/>
              </w:rPr>
              <w:t>2eq</w:t>
            </w:r>
            <w:r w:rsidRPr="00AD1ED7">
              <w:rPr>
                <w:rFonts w:asciiTheme="minorHAnsi" w:hAnsiTheme="minorHAnsi" w:cstheme="minorHAnsi"/>
                <w:b/>
                <w:bCs/>
                <w:color w:val="auto"/>
                <w:sz w:val="18"/>
                <w:szCs w:val="18"/>
              </w:rPr>
              <w:t xml:space="preserve"> reduction per ton of Bio-HFO</w:t>
            </w:r>
          </w:p>
        </w:tc>
      </w:tr>
      <w:tr w:rsidR="5937A937" w14:paraId="4DE3641F" w14:textId="77777777" w:rsidTr="5937A937">
        <w:trPr>
          <w:trHeight w:val="300"/>
          <w:jc w:val="center"/>
        </w:trPr>
        <w:tc>
          <w:tcPr>
            <w:tcW w:w="2490" w:type="dxa"/>
            <w:tcBorders>
              <w:top w:val="single" w:sz="4" w:space="0" w:color="000000"/>
            </w:tcBorders>
            <w:vAlign w:val="center"/>
          </w:tcPr>
          <w:p w14:paraId="3EF42C76" w14:textId="38726574" w:rsidR="6462FF90" w:rsidRPr="00111D02" w:rsidRDefault="6462FF90" w:rsidP="00111D02">
            <w:pPr>
              <w:spacing w:before="120" w:after="120"/>
              <w:jc w:val="center"/>
              <w:rPr>
                <w:rFonts w:asciiTheme="minorHAnsi" w:hAnsiTheme="minorHAnsi" w:cstheme="minorHAnsi"/>
                <w:sz w:val="18"/>
                <w:szCs w:val="18"/>
              </w:rPr>
            </w:pPr>
            <w:r w:rsidRPr="00111D02">
              <w:rPr>
                <w:rFonts w:asciiTheme="minorHAnsi" w:hAnsiTheme="minorHAnsi" w:cstheme="minorHAnsi"/>
                <w:sz w:val="18"/>
                <w:szCs w:val="18"/>
              </w:rPr>
              <w:t>90 %</w:t>
            </w:r>
          </w:p>
        </w:tc>
        <w:tc>
          <w:tcPr>
            <w:tcW w:w="2025" w:type="dxa"/>
            <w:tcBorders>
              <w:top w:val="single" w:sz="4" w:space="0" w:color="000000"/>
            </w:tcBorders>
            <w:vAlign w:val="center"/>
          </w:tcPr>
          <w:p w14:paraId="472DF21C" w14:textId="19FD914E" w:rsidR="6462FF90" w:rsidRPr="00111D02" w:rsidRDefault="6462FF90" w:rsidP="00111D02">
            <w:pPr>
              <w:spacing w:before="120" w:after="120"/>
              <w:jc w:val="center"/>
              <w:rPr>
                <w:rFonts w:asciiTheme="minorHAnsi" w:hAnsiTheme="minorHAnsi" w:cstheme="minorHAnsi"/>
                <w:sz w:val="18"/>
                <w:szCs w:val="18"/>
              </w:rPr>
            </w:pPr>
            <w:r w:rsidRPr="00111D02">
              <w:rPr>
                <w:rFonts w:asciiTheme="minorHAnsi" w:hAnsiTheme="minorHAnsi" w:cstheme="minorHAnsi"/>
                <w:sz w:val="18"/>
                <w:szCs w:val="18"/>
              </w:rPr>
              <w:t>$ 160</w:t>
            </w:r>
          </w:p>
        </w:tc>
      </w:tr>
      <w:tr w:rsidR="5937A937" w14:paraId="10DFF6DF" w14:textId="77777777" w:rsidTr="5937A937">
        <w:trPr>
          <w:jc w:val="center"/>
        </w:trPr>
        <w:tc>
          <w:tcPr>
            <w:tcW w:w="2490" w:type="dxa"/>
            <w:vAlign w:val="center"/>
          </w:tcPr>
          <w:p w14:paraId="6D33CA29" w14:textId="5A90511F" w:rsidR="6462FF90" w:rsidRPr="00111D02" w:rsidRDefault="6462FF90" w:rsidP="00111D02">
            <w:pPr>
              <w:spacing w:before="120" w:after="120"/>
              <w:jc w:val="center"/>
              <w:rPr>
                <w:rFonts w:asciiTheme="minorHAnsi" w:hAnsiTheme="minorHAnsi" w:cstheme="minorHAnsi"/>
                <w:sz w:val="18"/>
                <w:szCs w:val="18"/>
              </w:rPr>
            </w:pPr>
            <w:r w:rsidRPr="00111D02">
              <w:rPr>
                <w:rFonts w:asciiTheme="minorHAnsi" w:hAnsiTheme="minorHAnsi" w:cstheme="minorHAnsi"/>
                <w:sz w:val="18"/>
                <w:szCs w:val="18"/>
              </w:rPr>
              <w:t>80 %</w:t>
            </w:r>
          </w:p>
        </w:tc>
        <w:tc>
          <w:tcPr>
            <w:tcW w:w="2025" w:type="dxa"/>
            <w:vAlign w:val="center"/>
          </w:tcPr>
          <w:p w14:paraId="7D3868AE" w14:textId="612C119E" w:rsidR="6462FF90" w:rsidRPr="00111D02" w:rsidRDefault="6462FF90" w:rsidP="00111D02">
            <w:pPr>
              <w:spacing w:before="120" w:after="120"/>
              <w:jc w:val="center"/>
              <w:rPr>
                <w:rFonts w:asciiTheme="minorHAnsi" w:hAnsiTheme="minorHAnsi" w:cstheme="minorHAnsi"/>
                <w:sz w:val="18"/>
                <w:szCs w:val="18"/>
              </w:rPr>
            </w:pPr>
            <w:r w:rsidRPr="00111D02">
              <w:rPr>
                <w:rFonts w:asciiTheme="minorHAnsi" w:hAnsiTheme="minorHAnsi" w:cstheme="minorHAnsi"/>
                <w:sz w:val="18"/>
                <w:szCs w:val="18"/>
              </w:rPr>
              <w:t>$ 142</w:t>
            </w:r>
          </w:p>
        </w:tc>
      </w:tr>
      <w:tr w:rsidR="5937A937" w14:paraId="2F7B8BE5" w14:textId="77777777" w:rsidTr="5937A937">
        <w:trPr>
          <w:jc w:val="center"/>
        </w:trPr>
        <w:tc>
          <w:tcPr>
            <w:tcW w:w="2490" w:type="dxa"/>
            <w:vAlign w:val="center"/>
          </w:tcPr>
          <w:p w14:paraId="6D6E2DFA" w14:textId="1BBE7E03" w:rsidR="6462FF90" w:rsidRPr="00111D02" w:rsidRDefault="6462FF90" w:rsidP="00111D02">
            <w:pPr>
              <w:spacing w:before="120" w:after="120"/>
              <w:jc w:val="center"/>
              <w:rPr>
                <w:rFonts w:asciiTheme="minorHAnsi" w:hAnsiTheme="minorHAnsi" w:cstheme="minorHAnsi"/>
                <w:sz w:val="18"/>
                <w:szCs w:val="18"/>
              </w:rPr>
            </w:pPr>
            <w:r w:rsidRPr="00111D02">
              <w:rPr>
                <w:rFonts w:asciiTheme="minorHAnsi" w:hAnsiTheme="minorHAnsi" w:cstheme="minorHAnsi"/>
                <w:sz w:val="18"/>
                <w:szCs w:val="18"/>
              </w:rPr>
              <w:t>70 %</w:t>
            </w:r>
          </w:p>
        </w:tc>
        <w:tc>
          <w:tcPr>
            <w:tcW w:w="2025" w:type="dxa"/>
            <w:vAlign w:val="center"/>
          </w:tcPr>
          <w:p w14:paraId="16D8F30D" w14:textId="1166A917" w:rsidR="6462FF90" w:rsidRPr="00111D02" w:rsidRDefault="6462FF90" w:rsidP="00111D02">
            <w:pPr>
              <w:spacing w:before="120" w:after="120"/>
              <w:jc w:val="center"/>
              <w:rPr>
                <w:rFonts w:asciiTheme="minorHAnsi" w:hAnsiTheme="minorHAnsi" w:cstheme="minorHAnsi"/>
                <w:sz w:val="18"/>
                <w:szCs w:val="18"/>
              </w:rPr>
            </w:pPr>
            <w:r w:rsidRPr="00111D02">
              <w:rPr>
                <w:rFonts w:asciiTheme="minorHAnsi" w:hAnsiTheme="minorHAnsi" w:cstheme="minorHAnsi"/>
                <w:sz w:val="18"/>
                <w:szCs w:val="18"/>
              </w:rPr>
              <w:t>$ 124</w:t>
            </w:r>
          </w:p>
        </w:tc>
      </w:tr>
      <w:tr w:rsidR="5937A937" w14:paraId="1700BA52" w14:textId="77777777" w:rsidTr="5937A937">
        <w:trPr>
          <w:jc w:val="center"/>
        </w:trPr>
        <w:tc>
          <w:tcPr>
            <w:tcW w:w="2490" w:type="dxa"/>
            <w:vAlign w:val="center"/>
          </w:tcPr>
          <w:p w14:paraId="7AC32E02" w14:textId="13CCCF0E" w:rsidR="6462FF90" w:rsidRPr="00111D02" w:rsidRDefault="6462FF90" w:rsidP="00111D02">
            <w:pPr>
              <w:spacing w:before="120" w:after="120"/>
              <w:jc w:val="center"/>
              <w:rPr>
                <w:rFonts w:asciiTheme="minorHAnsi" w:hAnsiTheme="minorHAnsi" w:cstheme="minorHAnsi"/>
                <w:sz w:val="18"/>
                <w:szCs w:val="18"/>
              </w:rPr>
            </w:pPr>
            <w:r w:rsidRPr="00111D02">
              <w:rPr>
                <w:rFonts w:asciiTheme="minorHAnsi" w:hAnsiTheme="minorHAnsi" w:cstheme="minorHAnsi"/>
                <w:sz w:val="18"/>
                <w:szCs w:val="18"/>
              </w:rPr>
              <w:t>60 %</w:t>
            </w:r>
          </w:p>
        </w:tc>
        <w:tc>
          <w:tcPr>
            <w:tcW w:w="2025" w:type="dxa"/>
            <w:vAlign w:val="center"/>
          </w:tcPr>
          <w:p w14:paraId="35163AB2" w14:textId="5D8F0C28" w:rsidR="6462FF90" w:rsidRPr="00111D02" w:rsidRDefault="6462FF90" w:rsidP="00111D02">
            <w:pPr>
              <w:spacing w:before="120" w:after="120"/>
              <w:jc w:val="center"/>
              <w:rPr>
                <w:rFonts w:asciiTheme="minorHAnsi" w:hAnsiTheme="minorHAnsi" w:cstheme="minorHAnsi"/>
                <w:sz w:val="18"/>
                <w:szCs w:val="18"/>
              </w:rPr>
            </w:pPr>
            <w:r w:rsidRPr="00111D02">
              <w:rPr>
                <w:rFonts w:asciiTheme="minorHAnsi" w:hAnsiTheme="minorHAnsi" w:cstheme="minorHAnsi"/>
                <w:sz w:val="18"/>
                <w:szCs w:val="18"/>
              </w:rPr>
              <w:t>$ 106</w:t>
            </w:r>
          </w:p>
        </w:tc>
      </w:tr>
      <w:tr w:rsidR="5937A937" w14:paraId="6F8696B0" w14:textId="77777777" w:rsidTr="5937A937">
        <w:trPr>
          <w:jc w:val="center"/>
        </w:trPr>
        <w:tc>
          <w:tcPr>
            <w:tcW w:w="2490" w:type="dxa"/>
            <w:vAlign w:val="center"/>
          </w:tcPr>
          <w:p w14:paraId="68483D4F" w14:textId="4FB6FFEA" w:rsidR="6462FF90" w:rsidRPr="00111D02" w:rsidRDefault="6462FF90" w:rsidP="00111D02">
            <w:pPr>
              <w:spacing w:before="120" w:after="120"/>
              <w:jc w:val="center"/>
              <w:rPr>
                <w:rFonts w:asciiTheme="minorHAnsi" w:hAnsiTheme="minorHAnsi" w:cstheme="minorHAnsi"/>
                <w:sz w:val="18"/>
                <w:szCs w:val="18"/>
              </w:rPr>
            </w:pPr>
            <w:r w:rsidRPr="00111D02">
              <w:rPr>
                <w:rFonts w:asciiTheme="minorHAnsi" w:hAnsiTheme="minorHAnsi" w:cstheme="minorHAnsi"/>
                <w:sz w:val="18"/>
                <w:szCs w:val="18"/>
              </w:rPr>
              <w:t>50 %</w:t>
            </w:r>
          </w:p>
        </w:tc>
        <w:tc>
          <w:tcPr>
            <w:tcW w:w="2025" w:type="dxa"/>
            <w:vAlign w:val="center"/>
          </w:tcPr>
          <w:p w14:paraId="7203835E" w14:textId="7CE7C3CB" w:rsidR="6462FF90" w:rsidRPr="00111D02" w:rsidRDefault="6462FF90" w:rsidP="00111D02">
            <w:pPr>
              <w:spacing w:before="120" w:after="120"/>
              <w:jc w:val="center"/>
              <w:rPr>
                <w:rFonts w:asciiTheme="minorHAnsi" w:hAnsiTheme="minorHAnsi" w:cstheme="minorHAnsi"/>
                <w:sz w:val="18"/>
                <w:szCs w:val="18"/>
              </w:rPr>
            </w:pPr>
            <w:r w:rsidRPr="00111D02">
              <w:rPr>
                <w:rFonts w:asciiTheme="minorHAnsi" w:hAnsiTheme="minorHAnsi" w:cstheme="minorHAnsi"/>
                <w:sz w:val="18"/>
                <w:szCs w:val="18"/>
              </w:rPr>
              <w:t>$ 88</w:t>
            </w:r>
          </w:p>
        </w:tc>
      </w:tr>
      <w:tr w:rsidR="5937A937" w14:paraId="56F4CC12" w14:textId="77777777" w:rsidTr="5937A937">
        <w:trPr>
          <w:jc w:val="center"/>
        </w:trPr>
        <w:tc>
          <w:tcPr>
            <w:tcW w:w="2490" w:type="dxa"/>
            <w:tcBorders>
              <w:bottom w:val="single" w:sz="4" w:space="0" w:color="000000"/>
            </w:tcBorders>
            <w:vAlign w:val="center"/>
          </w:tcPr>
          <w:p w14:paraId="46AD5BD9" w14:textId="12CD8DB5" w:rsidR="6462FF90" w:rsidRPr="00111D02" w:rsidRDefault="6462FF90" w:rsidP="00111D02">
            <w:pPr>
              <w:spacing w:before="120" w:after="120"/>
              <w:jc w:val="center"/>
              <w:rPr>
                <w:rFonts w:asciiTheme="minorHAnsi" w:hAnsiTheme="minorHAnsi" w:cstheme="minorHAnsi"/>
                <w:sz w:val="18"/>
                <w:szCs w:val="18"/>
              </w:rPr>
            </w:pPr>
            <w:r w:rsidRPr="00111D02">
              <w:rPr>
                <w:rFonts w:asciiTheme="minorHAnsi" w:hAnsiTheme="minorHAnsi" w:cstheme="minorHAnsi"/>
                <w:sz w:val="18"/>
                <w:szCs w:val="18"/>
              </w:rPr>
              <w:t>40 %</w:t>
            </w:r>
          </w:p>
        </w:tc>
        <w:tc>
          <w:tcPr>
            <w:tcW w:w="2025" w:type="dxa"/>
            <w:tcBorders>
              <w:bottom w:val="single" w:sz="4" w:space="0" w:color="000000"/>
            </w:tcBorders>
            <w:vAlign w:val="center"/>
          </w:tcPr>
          <w:p w14:paraId="48564D5E" w14:textId="4436E45D" w:rsidR="6462FF90" w:rsidRPr="00111D02" w:rsidRDefault="6462FF90" w:rsidP="00111D02">
            <w:pPr>
              <w:spacing w:before="120" w:after="120"/>
              <w:jc w:val="center"/>
              <w:rPr>
                <w:rFonts w:asciiTheme="minorHAnsi" w:hAnsiTheme="minorHAnsi" w:cstheme="minorHAnsi"/>
                <w:sz w:val="18"/>
                <w:szCs w:val="18"/>
              </w:rPr>
            </w:pPr>
            <w:r w:rsidRPr="00111D02">
              <w:rPr>
                <w:rFonts w:asciiTheme="minorHAnsi" w:hAnsiTheme="minorHAnsi" w:cstheme="minorHAnsi"/>
                <w:sz w:val="18"/>
                <w:szCs w:val="18"/>
              </w:rPr>
              <w:t>$ 71</w:t>
            </w:r>
          </w:p>
        </w:tc>
      </w:tr>
    </w:tbl>
    <w:p w14:paraId="72167F7F" w14:textId="3A2079AD" w:rsidR="00C53804" w:rsidRPr="00650B23" w:rsidRDefault="00C53804" w:rsidP="65215FB1"/>
    <w:p w14:paraId="416D1277" w14:textId="0F3AD57F" w:rsidR="00C53804" w:rsidRPr="00650B23" w:rsidRDefault="4BDE0E20" w:rsidP="59587566">
      <w:pPr>
        <w:spacing w:after="120" w:line="360" w:lineRule="auto"/>
        <w:ind w:firstLine="720"/>
        <w:rPr>
          <w:rFonts w:asciiTheme="majorHAnsi" w:eastAsiaTheme="majorEastAsia" w:hAnsiTheme="majorHAnsi" w:cstheme="majorBidi"/>
          <w:sz w:val="22"/>
          <w:szCs w:val="22"/>
        </w:rPr>
      </w:pPr>
      <w:r w:rsidRPr="59587566">
        <w:rPr>
          <w:rFonts w:asciiTheme="majorHAnsi" w:eastAsiaTheme="majorEastAsia" w:hAnsiTheme="majorHAnsi" w:cstheme="majorBidi"/>
          <w:sz w:val="22"/>
          <w:szCs w:val="22"/>
        </w:rPr>
        <w:t>T</w:t>
      </w:r>
      <w:r w:rsidR="77293ABE" w:rsidRPr="59587566">
        <w:rPr>
          <w:rFonts w:asciiTheme="majorHAnsi" w:eastAsiaTheme="majorEastAsia" w:hAnsiTheme="majorHAnsi" w:cstheme="majorBidi"/>
          <w:sz w:val="22"/>
          <w:szCs w:val="22"/>
        </w:rPr>
        <w:t>he</w:t>
      </w:r>
      <w:r w:rsidR="274BF171" w:rsidRPr="59587566">
        <w:rPr>
          <w:rFonts w:asciiTheme="majorHAnsi" w:eastAsiaTheme="majorEastAsia" w:hAnsiTheme="majorHAnsi" w:cstheme="majorBidi"/>
          <w:sz w:val="22"/>
          <w:szCs w:val="22"/>
        </w:rPr>
        <w:t xml:space="preserve">se </w:t>
      </w:r>
      <w:proofErr w:type="gramStart"/>
      <w:r w:rsidR="15209289" w:rsidRPr="59587566">
        <w:rPr>
          <w:rFonts w:asciiTheme="majorHAnsi" w:eastAsiaTheme="majorEastAsia" w:hAnsiTheme="majorHAnsi" w:cstheme="majorBidi"/>
          <w:sz w:val="22"/>
          <w:szCs w:val="22"/>
        </w:rPr>
        <w:t>assumptions</w:t>
      </w:r>
      <w:proofErr w:type="gramEnd"/>
      <w:r w:rsidRPr="59587566">
        <w:rPr>
          <w:rFonts w:asciiTheme="majorHAnsi" w:eastAsiaTheme="majorEastAsia" w:hAnsiTheme="majorHAnsi" w:cstheme="majorBidi"/>
          <w:sz w:val="22"/>
          <w:szCs w:val="22"/>
        </w:rPr>
        <w:t xml:space="preserve"> however, </w:t>
      </w:r>
      <w:r w:rsidR="13960378" w:rsidRPr="59587566">
        <w:rPr>
          <w:rFonts w:asciiTheme="majorHAnsi" w:eastAsiaTheme="majorEastAsia" w:hAnsiTheme="majorHAnsi" w:cstheme="majorBidi"/>
          <w:sz w:val="22"/>
          <w:szCs w:val="22"/>
        </w:rPr>
        <w:t xml:space="preserve">might be </w:t>
      </w:r>
      <w:r w:rsidR="5535C38E" w:rsidRPr="59587566">
        <w:rPr>
          <w:rFonts w:asciiTheme="majorHAnsi" w:eastAsiaTheme="majorEastAsia" w:hAnsiTheme="majorHAnsi" w:cstheme="majorBidi"/>
          <w:sz w:val="22"/>
          <w:szCs w:val="22"/>
        </w:rPr>
        <w:t>considered</w:t>
      </w:r>
      <w:r w:rsidR="0A8B5337" w:rsidRPr="59587566">
        <w:rPr>
          <w:rFonts w:asciiTheme="majorHAnsi" w:eastAsiaTheme="majorEastAsia" w:hAnsiTheme="majorHAnsi" w:cstheme="majorBidi"/>
          <w:sz w:val="22"/>
          <w:szCs w:val="22"/>
        </w:rPr>
        <w:t xml:space="preserve"> for alternative fuels competing </w:t>
      </w:r>
      <w:r w:rsidR="19B5B502" w:rsidRPr="59587566">
        <w:rPr>
          <w:rFonts w:asciiTheme="majorHAnsi" w:eastAsiaTheme="majorEastAsia" w:hAnsiTheme="majorHAnsi" w:cstheme="majorBidi"/>
          <w:sz w:val="22"/>
          <w:szCs w:val="22"/>
        </w:rPr>
        <w:t xml:space="preserve">in the same segment </w:t>
      </w:r>
      <w:r w:rsidR="7777B571" w:rsidRPr="59587566">
        <w:rPr>
          <w:rFonts w:asciiTheme="majorHAnsi" w:eastAsiaTheme="majorEastAsia" w:hAnsiTheme="majorHAnsi" w:cstheme="majorBidi"/>
          <w:sz w:val="22"/>
          <w:szCs w:val="22"/>
        </w:rPr>
        <w:t>of</w:t>
      </w:r>
      <w:r w:rsidR="0A8B5337" w:rsidRPr="59587566">
        <w:rPr>
          <w:rFonts w:asciiTheme="majorHAnsi" w:eastAsiaTheme="majorEastAsia" w:hAnsiTheme="majorHAnsi" w:cstheme="majorBidi"/>
          <w:sz w:val="22"/>
          <w:szCs w:val="22"/>
        </w:rPr>
        <w:t xml:space="preserve"> Bio-HFO</w:t>
      </w:r>
      <w:r w:rsidR="5243488E" w:rsidRPr="59587566">
        <w:rPr>
          <w:rFonts w:asciiTheme="majorHAnsi" w:eastAsiaTheme="majorEastAsia" w:hAnsiTheme="majorHAnsi" w:cstheme="majorBidi"/>
          <w:sz w:val="22"/>
          <w:szCs w:val="22"/>
        </w:rPr>
        <w:t>.</w:t>
      </w:r>
      <w:r w:rsidR="3F92B411" w:rsidRPr="59587566">
        <w:rPr>
          <w:rFonts w:asciiTheme="majorHAnsi" w:eastAsiaTheme="majorEastAsia" w:hAnsiTheme="majorHAnsi" w:cstheme="majorBidi"/>
          <w:sz w:val="22"/>
          <w:szCs w:val="22"/>
        </w:rPr>
        <w:t xml:space="preserve"> </w:t>
      </w:r>
      <w:r w:rsidR="275321CF" w:rsidRPr="59587566">
        <w:rPr>
          <w:rFonts w:asciiTheme="majorHAnsi" w:eastAsiaTheme="majorEastAsia" w:hAnsiTheme="majorHAnsi" w:cstheme="majorBidi"/>
          <w:sz w:val="22"/>
          <w:szCs w:val="22"/>
        </w:rPr>
        <w:t xml:space="preserve">It is essential, therefore, to obtain a product </w:t>
      </w:r>
      <w:r w:rsidR="0015719B">
        <w:rPr>
          <w:rStyle w:val="normaltextrun"/>
          <w:rFonts w:cs="Calibri"/>
          <w:color w:val="1F1F1F"/>
          <w:sz w:val="22"/>
          <w:szCs w:val="22"/>
          <w:bdr w:val="none" w:sz="0" w:space="0" w:color="auto" w:frame="1"/>
        </w:rPr>
        <w:t>which is compatible with fossil blending</w:t>
      </w:r>
      <w:r w:rsidR="37EE770F" w:rsidRPr="59587566">
        <w:rPr>
          <w:rFonts w:asciiTheme="majorHAnsi" w:eastAsiaTheme="majorEastAsia" w:hAnsiTheme="majorHAnsi" w:cstheme="majorBidi"/>
          <w:sz w:val="22"/>
          <w:szCs w:val="22"/>
        </w:rPr>
        <w:t xml:space="preserve">, </w:t>
      </w:r>
      <w:r w:rsidR="0015719B">
        <w:rPr>
          <w:rFonts w:asciiTheme="majorHAnsi" w:eastAsiaTheme="majorEastAsia" w:hAnsiTheme="majorHAnsi" w:cstheme="majorBidi"/>
          <w:sz w:val="22"/>
          <w:szCs w:val="22"/>
        </w:rPr>
        <w:t>making</w:t>
      </w:r>
      <w:r w:rsidR="37EE770F" w:rsidRPr="59587566">
        <w:rPr>
          <w:rFonts w:asciiTheme="majorHAnsi" w:eastAsiaTheme="majorEastAsia" w:hAnsiTheme="majorHAnsi" w:cstheme="majorBidi"/>
          <w:sz w:val="22"/>
          <w:szCs w:val="22"/>
        </w:rPr>
        <w:t xml:space="preserve"> it even more attractive to end users.</w:t>
      </w:r>
      <w:r w:rsidR="4B69B05F" w:rsidRPr="59587566">
        <w:rPr>
          <w:rFonts w:asciiTheme="majorHAnsi" w:eastAsiaTheme="majorEastAsia" w:hAnsiTheme="majorHAnsi" w:cstheme="majorBidi"/>
          <w:sz w:val="22"/>
          <w:szCs w:val="22"/>
        </w:rPr>
        <w:t xml:space="preserve"> Another relevant aspect </w:t>
      </w:r>
      <w:r w:rsidR="2B75E480" w:rsidRPr="59587566">
        <w:rPr>
          <w:rFonts w:asciiTheme="majorHAnsi" w:eastAsiaTheme="majorEastAsia" w:hAnsiTheme="majorHAnsi" w:cstheme="majorBidi"/>
          <w:sz w:val="22"/>
          <w:szCs w:val="22"/>
        </w:rPr>
        <w:t>relates</w:t>
      </w:r>
      <w:r w:rsidR="4B69B05F" w:rsidRPr="59587566">
        <w:rPr>
          <w:rFonts w:asciiTheme="majorHAnsi" w:eastAsiaTheme="majorEastAsia" w:hAnsiTheme="majorHAnsi" w:cstheme="majorBidi"/>
          <w:sz w:val="22"/>
          <w:szCs w:val="22"/>
        </w:rPr>
        <w:t xml:space="preserve"> to the production costs, which can outnumber the premi</w:t>
      </w:r>
      <w:r w:rsidR="34CBE9C5" w:rsidRPr="59587566">
        <w:rPr>
          <w:rFonts w:asciiTheme="majorHAnsi" w:eastAsiaTheme="majorEastAsia" w:hAnsiTheme="majorHAnsi" w:cstheme="majorBidi"/>
          <w:sz w:val="22"/>
          <w:szCs w:val="22"/>
        </w:rPr>
        <w:t>um benefit, for example, FAME</w:t>
      </w:r>
      <w:r w:rsidR="0015719B">
        <w:rPr>
          <w:rFonts w:asciiTheme="majorHAnsi" w:eastAsiaTheme="majorEastAsia" w:hAnsiTheme="majorHAnsi" w:cstheme="majorBidi"/>
          <w:sz w:val="22"/>
          <w:szCs w:val="22"/>
        </w:rPr>
        <w:t xml:space="preserve"> (Figure 8)</w:t>
      </w:r>
      <w:r w:rsidR="31918206" w:rsidRPr="59587566">
        <w:rPr>
          <w:rFonts w:asciiTheme="majorHAnsi" w:eastAsiaTheme="majorEastAsia" w:hAnsiTheme="majorHAnsi" w:cstheme="majorBidi"/>
          <w:sz w:val="22"/>
          <w:szCs w:val="22"/>
        </w:rPr>
        <w:t xml:space="preserve">. </w:t>
      </w:r>
      <w:r w:rsidR="287BE663" w:rsidRPr="59587566">
        <w:rPr>
          <w:rFonts w:asciiTheme="majorHAnsi" w:eastAsiaTheme="majorEastAsia" w:hAnsiTheme="majorHAnsi" w:cstheme="majorBidi"/>
          <w:sz w:val="22"/>
          <w:szCs w:val="22"/>
        </w:rPr>
        <w:t xml:space="preserve">Based on the </w:t>
      </w:r>
      <w:r w:rsidR="051F2C1B" w:rsidRPr="59587566">
        <w:rPr>
          <w:rFonts w:asciiTheme="majorHAnsi" w:eastAsiaTheme="majorEastAsia" w:hAnsiTheme="majorHAnsi" w:cstheme="majorBidi"/>
          <w:sz w:val="22"/>
          <w:szCs w:val="22"/>
        </w:rPr>
        <w:t>report of Oak Ridge National Laboratory</w:t>
      </w:r>
      <w:r w:rsidR="713CACA1" w:rsidRPr="59587566">
        <w:rPr>
          <w:rFonts w:asciiTheme="majorHAnsi" w:eastAsiaTheme="majorEastAsia" w:hAnsiTheme="majorHAnsi" w:cstheme="majorBidi"/>
          <w:sz w:val="22"/>
          <w:szCs w:val="22"/>
        </w:rPr>
        <w:t xml:space="preserve"> (2018) funded by the US Department of Energy, a </w:t>
      </w:r>
      <w:r w:rsidR="4CD2A433" w:rsidRPr="59587566">
        <w:rPr>
          <w:rFonts w:asciiTheme="majorHAnsi" w:eastAsiaTheme="majorEastAsia" w:hAnsiTheme="majorHAnsi" w:cstheme="majorBidi"/>
          <w:sz w:val="22"/>
          <w:szCs w:val="22"/>
        </w:rPr>
        <w:t xml:space="preserve">preliminary price for </w:t>
      </w:r>
      <w:r w:rsidR="46531605" w:rsidRPr="59587566">
        <w:rPr>
          <w:rFonts w:asciiTheme="majorHAnsi" w:eastAsiaTheme="majorEastAsia" w:hAnsiTheme="majorHAnsi" w:cstheme="majorBidi"/>
          <w:sz w:val="22"/>
          <w:szCs w:val="22"/>
        </w:rPr>
        <w:t xml:space="preserve">a </w:t>
      </w:r>
      <w:r w:rsidR="4CD2A433" w:rsidRPr="59587566">
        <w:rPr>
          <w:rFonts w:asciiTheme="majorHAnsi" w:eastAsiaTheme="majorEastAsia" w:hAnsiTheme="majorHAnsi" w:cstheme="majorBidi"/>
          <w:sz w:val="22"/>
          <w:szCs w:val="22"/>
        </w:rPr>
        <w:t>marine fuel produced from lignocellulosic material</w:t>
      </w:r>
      <w:r w:rsidR="4D1A2B73" w:rsidRPr="59587566">
        <w:rPr>
          <w:rFonts w:asciiTheme="majorHAnsi" w:eastAsiaTheme="majorEastAsia" w:hAnsiTheme="majorHAnsi" w:cstheme="majorBidi"/>
          <w:sz w:val="22"/>
          <w:szCs w:val="22"/>
        </w:rPr>
        <w:t>,</w:t>
      </w:r>
      <w:r w:rsidR="4CD2A433" w:rsidRPr="59587566">
        <w:rPr>
          <w:rFonts w:asciiTheme="majorHAnsi" w:eastAsiaTheme="majorEastAsia" w:hAnsiTheme="majorHAnsi" w:cstheme="majorBidi"/>
          <w:sz w:val="22"/>
          <w:szCs w:val="22"/>
        </w:rPr>
        <w:t xml:space="preserve"> by means of hydrothermal </w:t>
      </w:r>
      <w:r w:rsidR="2EE27CC7" w:rsidRPr="59587566">
        <w:rPr>
          <w:rFonts w:asciiTheme="majorHAnsi" w:eastAsiaTheme="majorEastAsia" w:hAnsiTheme="majorHAnsi" w:cstheme="majorBidi"/>
          <w:sz w:val="22"/>
          <w:szCs w:val="22"/>
        </w:rPr>
        <w:t>liquefaction</w:t>
      </w:r>
      <w:r w:rsidR="6525C5D6" w:rsidRPr="59587566">
        <w:rPr>
          <w:rFonts w:asciiTheme="majorHAnsi" w:eastAsiaTheme="majorEastAsia" w:hAnsiTheme="majorHAnsi" w:cstheme="majorBidi"/>
          <w:sz w:val="22"/>
          <w:szCs w:val="22"/>
        </w:rPr>
        <w:t>,</w:t>
      </w:r>
      <w:r w:rsidR="4CD2A433" w:rsidRPr="59587566">
        <w:rPr>
          <w:rFonts w:asciiTheme="majorHAnsi" w:eastAsiaTheme="majorEastAsia" w:hAnsiTheme="majorHAnsi" w:cstheme="majorBidi"/>
          <w:sz w:val="22"/>
          <w:szCs w:val="22"/>
        </w:rPr>
        <w:t xml:space="preserve"> </w:t>
      </w:r>
      <w:r w:rsidR="36DDCAB4" w:rsidRPr="59587566">
        <w:rPr>
          <w:rFonts w:asciiTheme="majorHAnsi" w:eastAsiaTheme="majorEastAsia" w:hAnsiTheme="majorHAnsi" w:cstheme="majorBidi"/>
          <w:sz w:val="22"/>
          <w:szCs w:val="22"/>
        </w:rPr>
        <w:t>would be around $ 650/ ton.</w:t>
      </w:r>
      <w:r w:rsidR="713CACA1" w:rsidRPr="59587566">
        <w:rPr>
          <w:rFonts w:asciiTheme="majorHAnsi" w:eastAsiaTheme="majorEastAsia" w:hAnsiTheme="majorHAnsi" w:cstheme="majorBidi"/>
          <w:sz w:val="22"/>
          <w:szCs w:val="22"/>
        </w:rPr>
        <w:t xml:space="preserve"> </w:t>
      </w:r>
    </w:p>
    <w:p w14:paraId="7424A055" w14:textId="78EF8839" w:rsidR="00C53804" w:rsidRPr="00650B23" w:rsidRDefault="654CA926" w:rsidP="005D6854">
      <w:pPr>
        <w:pStyle w:val="Heading2"/>
      </w:pPr>
      <w:bookmarkStart w:id="39" w:name="_Toc85627870"/>
      <w:r>
        <w:lastRenderedPageBreak/>
        <w:t>Technology Maturity</w:t>
      </w:r>
      <w:bookmarkEnd w:id="39"/>
    </w:p>
    <w:p w14:paraId="460C5D9F" w14:textId="29C54D45" w:rsidR="00C53804" w:rsidRPr="00650B23" w:rsidRDefault="00C53804" w:rsidP="65215FB1"/>
    <w:p w14:paraId="68EB2081" w14:textId="7475D617" w:rsidR="00A11736" w:rsidRDefault="00A11736" w:rsidP="5937A937">
      <w:pPr>
        <w:spacing w:line="360" w:lineRule="auto"/>
        <w:ind w:firstLine="444"/>
        <w:rPr>
          <w:rFonts w:eastAsia="Calibri" w:cs="Calibri"/>
          <w:sz w:val="22"/>
          <w:szCs w:val="22"/>
          <w:lang w:val="en-GB"/>
        </w:rPr>
      </w:pPr>
      <w:r>
        <w:rPr>
          <w:rStyle w:val="normaltextrun"/>
          <w:rFonts w:cs="Calibri"/>
          <w:color w:val="1F1F1F"/>
          <w:sz w:val="22"/>
          <w:szCs w:val="22"/>
          <w:shd w:val="clear" w:color="auto" w:fill="FFFFFF"/>
          <w:lang w:val="en-GB"/>
        </w:rPr>
        <w:t>Today, a few biofuels have a large production capacity to meet the volumes required in marine market. The</w:t>
      </w:r>
      <w:r w:rsidR="0015719B">
        <w:rPr>
          <w:rStyle w:val="normaltextrun"/>
          <w:rFonts w:cs="Calibri"/>
          <w:color w:val="1F1F1F"/>
          <w:sz w:val="22"/>
          <w:szCs w:val="22"/>
          <w:shd w:val="clear" w:color="auto" w:fill="FFFFFF"/>
          <w:lang w:val="en-GB"/>
        </w:rPr>
        <w:t>ir</w:t>
      </w:r>
      <w:r>
        <w:rPr>
          <w:rStyle w:val="normaltextrun"/>
          <w:rFonts w:cs="Calibri"/>
          <w:color w:val="1F1F1F"/>
          <w:sz w:val="22"/>
          <w:szCs w:val="22"/>
          <w:shd w:val="clear" w:color="auto" w:fill="FFFFFF"/>
          <w:lang w:val="en-GB"/>
        </w:rPr>
        <w:t xml:space="preserve"> availability at large scale is one of the main factors that affect competitiveness</w:t>
      </w:r>
      <w:r w:rsidR="0015719B">
        <w:rPr>
          <w:rStyle w:val="normaltextrun"/>
          <w:rFonts w:cs="Calibri"/>
          <w:color w:val="1F1F1F"/>
          <w:sz w:val="22"/>
          <w:szCs w:val="22"/>
          <w:shd w:val="clear" w:color="auto" w:fill="FFFFFF"/>
          <w:lang w:val="en-GB"/>
        </w:rPr>
        <w:t xml:space="preserve">, </w:t>
      </w:r>
      <w:proofErr w:type="gramStart"/>
      <w:r w:rsidR="0015719B">
        <w:rPr>
          <w:rStyle w:val="normaltextrun"/>
          <w:rFonts w:cs="Calibri"/>
          <w:color w:val="1F1F1F"/>
          <w:sz w:val="22"/>
          <w:szCs w:val="22"/>
          <w:shd w:val="clear" w:color="auto" w:fill="FFFFFF"/>
          <w:lang w:val="en-GB"/>
        </w:rPr>
        <w:t>a</w:t>
      </w:r>
      <w:r>
        <w:rPr>
          <w:rStyle w:val="normaltextrun"/>
          <w:rFonts w:cs="Calibri"/>
          <w:color w:val="1F1F1F"/>
          <w:sz w:val="22"/>
          <w:szCs w:val="22"/>
          <w:shd w:val="clear" w:color="auto" w:fill="FFFFFF"/>
          <w:lang w:val="en-GB"/>
        </w:rPr>
        <w:t xml:space="preserve">t the same time </w:t>
      </w:r>
      <w:r w:rsidR="0015719B">
        <w:rPr>
          <w:rStyle w:val="normaltextrun"/>
          <w:rFonts w:cs="Calibri"/>
          <w:color w:val="1F1F1F"/>
          <w:sz w:val="22"/>
          <w:szCs w:val="22"/>
          <w:shd w:val="clear" w:color="auto" w:fill="FFFFFF"/>
          <w:lang w:val="en-GB"/>
        </w:rPr>
        <w:t>that</w:t>
      </w:r>
      <w:proofErr w:type="gramEnd"/>
      <w:r w:rsidR="0015719B">
        <w:rPr>
          <w:rStyle w:val="normaltextrun"/>
          <w:rFonts w:cs="Calibri"/>
          <w:color w:val="1F1F1F"/>
          <w:sz w:val="22"/>
          <w:szCs w:val="22"/>
          <w:shd w:val="clear" w:color="auto" w:fill="FFFFFF"/>
          <w:lang w:val="en-GB"/>
        </w:rPr>
        <w:t xml:space="preserve"> it is dependent</w:t>
      </w:r>
      <w:r>
        <w:rPr>
          <w:rStyle w:val="normaltextrun"/>
          <w:rFonts w:cs="Calibri"/>
          <w:color w:val="1F1F1F"/>
          <w:sz w:val="22"/>
          <w:szCs w:val="22"/>
          <w:shd w:val="clear" w:color="auto" w:fill="FFFFFF"/>
          <w:lang w:val="en-GB"/>
        </w:rPr>
        <w:t xml:space="preserve"> on the demand. Technological and market maturity is measure according to its readiness level (technology-TRL &amp; commercial CRL) </w:t>
      </w:r>
      <w:r w:rsidR="00D63679">
        <w:rPr>
          <w:rStyle w:val="normaltextrun"/>
          <w:rFonts w:cs="Calibri"/>
          <w:color w:val="1F1F1F"/>
          <w:sz w:val="22"/>
          <w:szCs w:val="22"/>
          <w:shd w:val="clear" w:color="auto" w:fill="FFFFFF"/>
          <w:lang w:val="en-GB"/>
        </w:rPr>
        <w:fldChar w:fldCharType="begin" w:fldLock="1"/>
      </w:r>
      <w:r w:rsidR="00EA4AC9">
        <w:rPr>
          <w:rStyle w:val="normaltextrun"/>
          <w:rFonts w:cs="Calibri"/>
          <w:color w:val="1F1F1F"/>
          <w:sz w:val="22"/>
          <w:szCs w:val="22"/>
          <w:shd w:val="clear" w:color="auto" w:fill="FFFFFF"/>
          <w:lang w:val="en-GB"/>
        </w:rPr>
        <w:instrText>ADDIN CSL_CITATION {"citationItems":[{"id":"ITEM-1","itemData":{"DOI":"10.1016/j.jclepro.2021.125849","ISSN":"09596526","abstract":"The maritime sector is a key asset for the world economy, but its environmental impact represents a major concern. The sector is primarily supplied with Heavy Fuel Oil, which results in high pollutant emissions. The sector has set targets for deacrbonisation, and alternative fuels have been identified as a short-to medium-term option. The paper addresses the complexity related to the activities of the maritime industry, and discusses the possible contribution of alternative fuels. A sector segmentation is proposed to define the consumption of each sub-segment, so to compare it with the current alternative fuel availability at European level. The paper shows that costs and GHG savings are fundamental enablers for the uptake of alternative fuels, but other aspects are also crucial: technical maturity, safety regulation, expertise needed, etc. The demand for alternative fuels has to be supported by an existing, reliable infrastructure, and this is not yet the case for many solutions (i.e. electricity, hydrogen or methanol). Various options are already available for maritime sector, but the future mix of fuels used will depend on technology improvements, availability, costs and the real potential for GHG emissions reduction.","author":[{"dropping-particle":"","family":"Prussi","given":"M.","non-dropping-particle":"","parse-names":false,"suffix":""},{"dropping-particle":"","family":"Scarlat","given":"N.","non-dropping-particle":"","parse-names":false,"suffix":""},{"dropping-particle":"","family":"Acciaro","given":"M.","non-dropping-particle":"","parse-names":false,"suffix":""},{"dropping-particle":"","family":"Kosmas","given":"V.","non-dropping-particle":"","parse-names":false,"suffix":""}],"container-title":"Journal of Cleaner Production","id":"ITEM-1","issued":{"date-parts":[["2021"]]},"page":"125849","publisher":"Elsevier Ltd","title":"Potential and limiting factors in the use of alternative fuels in the European maritime sector","type":"article-journal","volume":"291"},"uris":["http://www.mendeley.com/documents/?uuid=d5e5321a-a42e-42c8-9aad-3f35cc92c536"]},{"id":"ITEM-2","itemData":{"DOI":"10.1016/j.rser.2021.110715","ISSN":"13640321","abstract":"The European New Green Deal and the REDII set ambitious targets, aiming to achieve a climate-neutral Europe by 2050. The transport sector is the most critical area to decarbonize, given the rigidity of both infrastructure and end-use technologies, as well as the challenge of reaching cost-effective production of sustainable advanced renewable fuels. Several researchers, stakeholders and groups of interest, such as international and governmental organisations, NGOs, business analysists, scientists and other actors elaborated scenarios on biofuels market penetration by 2050. These studies are largely used by policy makers, even if not necessarily were subject to a rigid peer review and verification process. This work presents an extensive literature review of the main published investigations, to assess and quantify the authors' different visions. These forecasts intend to evaluate the possible future development of the sector based on current and foreseeable policies, as well as industry and investors' business plans; at the same time, these estimates should also provide policy makers with a sound base for policy development towards achieving climate goals. Through preliminary screening, based on a methodology of a set of ex-ante conditions, this work identified the most relevant publications and structured the analysis of the collected data. A total of 18 publications were selected from the literature review, resulting in 56 scenarios to be examined. This work allowed to achieve a comprehensive summary and quantification of the selected scenarios, all of which focus on biofuel contribution to transport decarbonisation in the period 2030–2050. Given the occurrence of several factors, as the ongoing and future technological development, the adoption of more efficient mobility models, the hybridization and electrification of transports, the Total Fuel Consumption for the transport sector is expected to reduce in Europe: averaged projections from the analyzed scenarios account for 312.8 Mtoe in 2030 and 274.2 Mtoe in 2050. Biofuels are expected to significantly contribute to achieve the EU targets, with a progressive shift towards advanced feedstock: on average, their total contribution is expected to account for 24.5 Mtoe in 2030, and for 48.3 Mtoe in 2050, while advanced biofuels are projected for an average contribution of 8.7 Mtoe in 2030 and 36.5 Mtoe in 2050. This work analysed pre-pandemic published scenarios: the effects that the COVID-19 pandemic i…","author":[{"dropping-particle":"","family":"Chiaramonti","given":"David","non-dropping-particle":"","parse-names":false,"suffix":""},{"dropping-particle":"","family":"Talluri","given":"Giacomo","non-dropping-particle":"","parse-names":false,"suffix":""},{"dropping-particle":"","family":"Scarlat","given":"Nicolae","non-dropping-particle":"","parse-names":false,"suffix":""},{"dropping-particle":"","family":"Prussi","given":"Matteo","non-dropping-particle":"","parse-names":false,"suffix":""}],"container-title":"Renewable and Sustainable Energy Reviews","id":"ITEM-2","issue":"January","issued":{"date-parts":[["2021"]]},"page":"110715","publisher":"Elsevier Ltd","title":"The challenge of forecasting the role of biofuel in EU transport decarbonisation at 2050: A meta-analysis review of published scenarios","type":"article-journal","volume":"139"},"uris":["http://www.mendeley.com/documents/?uuid=ad51fdf3-8721-42f9-85d1-82efd095ee6f"]}],"mendeley":{"formattedCitation":"(Chiaramonti et al., 2021; Prussi et al., 2021)","plainTextFormattedCitation":"(Chiaramonti et al., 2021; Prussi et al., 2021)","previouslyFormattedCitation":"(Chiaramonti et al., 2021; Prussi et al., 2021)"},"properties":{"noteIndex":0},"schema":"https://github.com/citation-style-language/schema/raw/master/csl-citation.json"}</w:instrText>
      </w:r>
      <w:r w:rsidR="00D63679">
        <w:rPr>
          <w:rStyle w:val="normaltextrun"/>
          <w:rFonts w:cs="Calibri"/>
          <w:color w:val="1F1F1F"/>
          <w:sz w:val="22"/>
          <w:szCs w:val="22"/>
          <w:shd w:val="clear" w:color="auto" w:fill="FFFFFF"/>
          <w:lang w:val="en-GB"/>
        </w:rPr>
        <w:fldChar w:fldCharType="separate"/>
      </w:r>
      <w:r w:rsidR="00D63679" w:rsidRPr="00D63679">
        <w:rPr>
          <w:rStyle w:val="normaltextrun"/>
          <w:rFonts w:cs="Calibri"/>
          <w:noProof/>
          <w:color w:val="1F1F1F"/>
          <w:sz w:val="22"/>
          <w:szCs w:val="22"/>
          <w:shd w:val="clear" w:color="auto" w:fill="FFFFFF"/>
          <w:lang w:val="en-GB"/>
        </w:rPr>
        <w:t>(Chiaramonti et al., 2021; Prussi et al., 2021)</w:t>
      </w:r>
      <w:r w:rsidR="00D63679">
        <w:rPr>
          <w:rStyle w:val="normaltextrun"/>
          <w:rFonts w:cs="Calibri"/>
          <w:color w:val="1F1F1F"/>
          <w:sz w:val="22"/>
          <w:szCs w:val="22"/>
          <w:shd w:val="clear" w:color="auto" w:fill="FFFFFF"/>
          <w:lang w:val="en-GB"/>
        </w:rPr>
        <w:fldChar w:fldCharType="end"/>
      </w:r>
      <w:r>
        <w:rPr>
          <w:rStyle w:val="normaltextrun"/>
          <w:rFonts w:cs="Calibri"/>
          <w:color w:val="1F1F1F"/>
          <w:sz w:val="22"/>
          <w:szCs w:val="22"/>
          <w:shd w:val="clear" w:color="auto" w:fill="FFFFFF"/>
          <w:lang w:val="en-GB"/>
        </w:rPr>
        <w:t>. Many biofuels based on lignocellulose feedstock are being developed. It is important to realize that most of these lignocellulose-based fuels have a similar TRL to IDEALFUEL’s B</w:t>
      </w:r>
      <w:r w:rsidR="00FA10D5">
        <w:rPr>
          <w:rStyle w:val="normaltextrun"/>
          <w:rFonts w:cs="Calibri"/>
          <w:color w:val="1F1F1F"/>
          <w:sz w:val="22"/>
          <w:szCs w:val="22"/>
          <w:shd w:val="clear" w:color="auto" w:fill="FFFFFF"/>
          <w:lang w:val="en-GB"/>
        </w:rPr>
        <w:t>io</w:t>
      </w:r>
      <w:r>
        <w:rPr>
          <w:rStyle w:val="normaltextrun"/>
          <w:rFonts w:cs="Calibri"/>
          <w:color w:val="1F1F1F"/>
          <w:sz w:val="22"/>
          <w:szCs w:val="22"/>
          <w:shd w:val="clear" w:color="auto" w:fill="FFFFFF"/>
          <w:lang w:val="en-GB"/>
        </w:rPr>
        <w:t>-</w:t>
      </w:r>
      <w:proofErr w:type="gramStart"/>
      <w:r>
        <w:rPr>
          <w:rStyle w:val="normaltextrun"/>
          <w:rFonts w:cs="Calibri"/>
          <w:color w:val="1F1F1F"/>
          <w:sz w:val="22"/>
          <w:szCs w:val="22"/>
          <w:shd w:val="clear" w:color="auto" w:fill="FFFFFF"/>
          <w:lang w:val="en-GB"/>
        </w:rPr>
        <w:t>HFO, and</w:t>
      </w:r>
      <w:proofErr w:type="gramEnd"/>
      <w:r>
        <w:rPr>
          <w:rStyle w:val="normaltextrun"/>
          <w:rFonts w:cs="Calibri"/>
          <w:color w:val="1F1F1F"/>
          <w:sz w:val="22"/>
          <w:szCs w:val="22"/>
          <w:shd w:val="clear" w:color="auto" w:fill="FFFFFF"/>
          <w:lang w:val="en-GB"/>
        </w:rPr>
        <w:t> might represent</w:t>
      </w:r>
      <w:r w:rsidR="00FA10D5">
        <w:rPr>
          <w:rStyle w:val="normaltextrun"/>
          <w:rFonts w:cs="Calibri"/>
          <w:color w:val="1F1F1F"/>
          <w:sz w:val="22"/>
          <w:szCs w:val="22"/>
          <w:shd w:val="clear" w:color="auto" w:fill="FFFFFF"/>
          <w:lang w:val="en-GB"/>
        </w:rPr>
        <w:t xml:space="preserve"> </w:t>
      </w:r>
      <w:r>
        <w:rPr>
          <w:rStyle w:val="normaltextrun"/>
          <w:rFonts w:cs="Calibri"/>
          <w:color w:val="1F1F1F"/>
          <w:sz w:val="22"/>
          <w:szCs w:val="22"/>
          <w:shd w:val="clear" w:color="auto" w:fill="FFFFFF"/>
          <w:lang w:val="en-GB"/>
        </w:rPr>
        <w:t>potential competition. </w:t>
      </w:r>
      <w:r>
        <w:rPr>
          <w:rStyle w:val="eop"/>
          <w:rFonts w:cs="Calibri"/>
          <w:color w:val="1F1F1F"/>
          <w:sz w:val="22"/>
          <w:szCs w:val="22"/>
          <w:shd w:val="clear" w:color="auto" w:fill="FFFFFF"/>
        </w:rPr>
        <w:t> </w:t>
      </w:r>
    </w:p>
    <w:p w14:paraId="0362F933" w14:textId="4549A11B" w:rsidR="3E1FB59D" w:rsidRPr="008E3076" w:rsidRDefault="3E1FB59D" w:rsidP="5937A937">
      <w:pPr>
        <w:rPr>
          <w:b/>
          <w:bCs/>
        </w:rPr>
      </w:pPr>
    </w:p>
    <w:p w14:paraId="34174203" w14:textId="12873628" w:rsidR="002E4890" w:rsidRDefault="002E4890" w:rsidP="002E4890">
      <w:pPr>
        <w:pStyle w:val="Caption"/>
        <w:keepNext/>
      </w:pPr>
      <w:bookmarkStart w:id="40" w:name="_Toc85627891"/>
      <w:bookmarkStart w:id="41" w:name="_Toc85627897"/>
      <w:r>
        <w:t xml:space="preserve">Table </w:t>
      </w:r>
      <w:fldSimple w:instr=" SEQ Table \* ARABIC ">
        <w:r w:rsidR="008027AE">
          <w:rPr>
            <w:noProof/>
          </w:rPr>
          <w:t>5</w:t>
        </w:r>
      </w:fldSimple>
      <w:r>
        <w:t xml:space="preserve">. </w:t>
      </w:r>
      <w:r w:rsidRPr="00B655CF">
        <w:t>Comparative of biofuels and their development status (</w:t>
      </w:r>
      <w:r w:rsidR="006D4736">
        <w:t xml:space="preserve">source: </w:t>
      </w:r>
      <w:proofErr w:type="spellStart"/>
      <w:r w:rsidRPr="00B655CF">
        <w:t>Panoutsou</w:t>
      </w:r>
      <w:proofErr w:type="spellEnd"/>
      <w:r w:rsidRPr="00B655CF">
        <w:t xml:space="preserve"> et al., 2021; </w:t>
      </w:r>
      <w:proofErr w:type="spellStart"/>
      <w:r w:rsidRPr="00B655CF">
        <w:t>Prussi</w:t>
      </w:r>
      <w:proofErr w:type="spellEnd"/>
      <w:r w:rsidRPr="00B655CF">
        <w:t xml:space="preserve"> et al., 2021; Verbeek et al., 2020</w:t>
      </w:r>
      <w:r w:rsidR="00EE483E">
        <w:t>; Final</w:t>
      </w:r>
      <w:r w:rsidR="00452B7B">
        <w:t>, 2021</w:t>
      </w:r>
      <w:r w:rsidRPr="00B655CF">
        <w:t>)</w:t>
      </w:r>
      <w:bookmarkEnd w:id="40"/>
      <w:bookmarkEnd w:id="41"/>
    </w:p>
    <w:tbl>
      <w:tblPr>
        <w:tblStyle w:val="TableGrid"/>
        <w:tblW w:w="0" w:type="auto"/>
        <w:jc w:val="center"/>
        <w:tblLayout w:type="fixed"/>
        <w:tblLook w:val="06A0" w:firstRow="1" w:lastRow="0" w:firstColumn="1" w:lastColumn="0" w:noHBand="1" w:noVBand="1"/>
      </w:tblPr>
      <w:tblGrid>
        <w:gridCol w:w="2865"/>
        <w:gridCol w:w="1950"/>
        <w:gridCol w:w="2415"/>
        <w:gridCol w:w="1320"/>
      </w:tblGrid>
      <w:tr w:rsidR="5937A937" w14:paraId="6BE39E0F" w14:textId="77777777" w:rsidTr="00A11736">
        <w:trPr>
          <w:jc w:val="center"/>
        </w:trPr>
        <w:tc>
          <w:tcPr>
            <w:tcW w:w="2865" w:type="dxa"/>
            <w:tcBorders>
              <w:top w:val="nil"/>
              <w:left w:val="nil"/>
              <w:bottom w:val="single" w:sz="8" w:space="0" w:color="auto"/>
              <w:right w:val="nil"/>
            </w:tcBorders>
            <w:vAlign w:val="center"/>
          </w:tcPr>
          <w:p w14:paraId="553B3456" w14:textId="34F19036" w:rsidR="5937A937" w:rsidRDefault="5937A937" w:rsidP="5937A937">
            <w:pPr>
              <w:jc w:val="center"/>
            </w:pPr>
            <w:r w:rsidRPr="5937A937">
              <w:rPr>
                <w:rFonts w:eastAsia="Calibri" w:cs="Calibri"/>
                <w:b/>
                <w:bCs/>
                <w:sz w:val="18"/>
                <w:szCs w:val="18"/>
                <w:lang w:val="en-GB"/>
              </w:rPr>
              <w:t>Feedstock</w:t>
            </w:r>
          </w:p>
        </w:tc>
        <w:tc>
          <w:tcPr>
            <w:tcW w:w="1950" w:type="dxa"/>
            <w:tcBorders>
              <w:top w:val="nil"/>
              <w:left w:val="nil"/>
              <w:bottom w:val="single" w:sz="8" w:space="0" w:color="auto"/>
              <w:right w:val="nil"/>
            </w:tcBorders>
            <w:vAlign w:val="center"/>
          </w:tcPr>
          <w:p w14:paraId="71C2F277" w14:textId="44522A60" w:rsidR="5937A937" w:rsidRDefault="5937A937" w:rsidP="5937A937">
            <w:pPr>
              <w:jc w:val="center"/>
            </w:pPr>
            <w:r w:rsidRPr="5937A937">
              <w:rPr>
                <w:rFonts w:eastAsia="Calibri" w:cs="Calibri"/>
                <w:b/>
                <w:bCs/>
                <w:sz w:val="18"/>
                <w:szCs w:val="18"/>
                <w:lang w:val="en-GB"/>
              </w:rPr>
              <w:t>Conversion</w:t>
            </w:r>
          </w:p>
        </w:tc>
        <w:tc>
          <w:tcPr>
            <w:tcW w:w="2415" w:type="dxa"/>
            <w:tcBorders>
              <w:top w:val="nil"/>
              <w:left w:val="nil"/>
              <w:bottom w:val="single" w:sz="8" w:space="0" w:color="auto"/>
              <w:right w:val="nil"/>
            </w:tcBorders>
            <w:vAlign w:val="center"/>
          </w:tcPr>
          <w:p w14:paraId="57F411D5" w14:textId="69117F8D" w:rsidR="5937A937" w:rsidRDefault="5937A937" w:rsidP="5937A937">
            <w:pPr>
              <w:jc w:val="center"/>
            </w:pPr>
            <w:r w:rsidRPr="5937A937">
              <w:rPr>
                <w:rFonts w:eastAsia="Calibri" w:cs="Calibri"/>
                <w:b/>
                <w:bCs/>
                <w:sz w:val="18"/>
                <w:szCs w:val="18"/>
                <w:lang w:val="en-GB"/>
              </w:rPr>
              <w:t>Biofuel</w:t>
            </w:r>
          </w:p>
        </w:tc>
        <w:tc>
          <w:tcPr>
            <w:tcW w:w="1320" w:type="dxa"/>
            <w:tcBorders>
              <w:top w:val="nil"/>
              <w:left w:val="nil"/>
              <w:bottom w:val="single" w:sz="8" w:space="0" w:color="auto"/>
              <w:right w:val="nil"/>
            </w:tcBorders>
            <w:vAlign w:val="center"/>
          </w:tcPr>
          <w:p w14:paraId="68E287B1" w14:textId="5C79E4EA" w:rsidR="5937A937" w:rsidRDefault="5937A937" w:rsidP="5937A937">
            <w:pPr>
              <w:jc w:val="center"/>
            </w:pPr>
            <w:r w:rsidRPr="5937A937">
              <w:rPr>
                <w:rFonts w:eastAsia="Calibri" w:cs="Calibri"/>
                <w:b/>
                <w:bCs/>
                <w:sz w:val="18"/>
                <w:szCs w:val="18"/>
                <w:lang w:val="en-GB"/>
              </w:rPr>
              <w:t>Status</w:t>
            </w:r>
          </w:p>
        </w:tc>
      </w:tr>
      <w:tr w:rsidR="5937A937" w14:paraId="0AD6CF6B" w14:textId="77777777" w:rsidTr="00A11736">
        <w:trPr>
          <w:jc w:val="center"/>
        </w:trPr>
        <w:tc>
          <w:tcPr>
            <w:tcW w:w="2865" w:type="dxa"/>
            <w:tcBorders>
              <w:top w:val="single" w:sz="8" w:space="0" w:color="auto"/>
              <w:left w:val="nil"/>
              <w:bottom w:val="none" w:sz="4" w:space="0" w:color="000000"/>
              <w:right w:val="nil"/>
            </w:tcBorders>
            <w:vAlign w:val="center"/>
          </w:tcPr>
          <w:p w14:paraId="77C7FA1F" w14:textId="526D8FEB" w:rsidR="5937A937" w:rsidRDefault="5937A937" w:rsidP="5937A937">
            <w:pPr>
              <w:spacing w:after="120"/>
              <w:jc w:val="center"/>
            </w:pPr>
            <w:r w:rsidRPr="5937A937">
              <w:rPr>
                <w:rFonts w:eastAsia="Calibri" w:cs="Calibri"/>
                <w:sz w:val="18"/>
                <w:szCs w:val="18"/>
                <w:lang w:val="en-GB"/>
              </w:rPr>
              <w:t>Waste oils stream: fat, used cocking oil, vegetable oils</w:t>
            </w:r>
          </w:p>
        </w:tc>
        <w:tc>
          <w:tcPr>
            <w:tcW w:w="1950" w:type="dxa"/>
            <w:tcBorders>
              <w:top w:val="single" w:sz="8" w:space="0" w:color="auto"/>
              <w:left w:val="nil"/>
              <w:bottom w:val="none" w:sz="4" w:space="0" w:color="000000"/>
              <w:right w:val="nil"/>
            </w:tcBorders>
            <w:vAlign w:val="center"/>
          </w:tcPr>
          <w:p w14:paraId="54B1F11C" w14:textId="04B69893" w:rsidR="5937A937" w:rsidRDefault="5937A937" w:rsidP="5937A937">
            <w:pPr>
              <w:spacing w:after="120"/>
              <w:jc w:val="center"/>
            </w:pPr>
            <w:r w:rsidRPr="5937A937">
              <w:rPr>
                <w:rFonts w:eastAsia="Calibri" w:cs="Calibri"/>
                <w:sz w:val="18"/>
                <w:szCs w:val="18"/>
                <w:lang w:val="en-GB"/>
              </w:rPr>
              <w:t>Esterification / Hydrotreatment</w:t>
            </w:r>
          </w:p>
        </w:tc>
        <w:tc>
          <w:tcPr>
            <w:tcW w:w="2415" w:type="dxa"/>
            <w:tcBorders>
              <w:top w:val="single" w:sz="8" w:space="0" w:color="auto"/>
              <w:left w:val="nil"/>
              <w:bottom w:val="none" w:sz="4" w:space="0" w:color="000000"/>
              <w:right w:val="nil"/>
            </w:tcBorders>
            <w:vAlign w:val="center"/>
          </w:tcPr>
          <w:p w14:paraId="2B7B74C9" w14:textId="321D7114" w:rsidR="5937A937" w:rsidRDefault="5937A937" w:rsidP="5937A937">
            <w:pPr>
              <w:spacing w:after="120"/>
              <w:jc w:val="center"/>
            </w:pPr>
            <w:r w:rsidRPr="5937A937">
              <w:rPr>
                <w:rFonts w:eastAsia="Calibri" w:cs="Calibri"/>
                <w:sz w:val="18"/>
                <w:szCs w:val="18"/>
                <w:lang w:val="en-GB"/>
              </w:rPr>
              <w:t>FAME / HVO</w:t>
            </w:r>
          </w:p>
        </w:tc>
        <w:tc>
          <w:tcPr>
            <w:tcW w:w="1320" w:type="dxa"/>
            <w:tcBorders>
              <w:top w:val="single" w:sz="8" w:space="0" w:color="auto"/>
              <w:left w:val="nil"/>
              <w:bottom w:val="none" w:sz="4" w:space="0" w:color="000000"/>
              <w:right w:val="nil"/>
            </w:tcBorders>
            <w:vAlign w:val="center"/>
          </w:tcPr>
          <w:p w14:paraId="401F4AD7" w14:textId="6480ADF9" w:rsidR="5937A937" w:rsidRDefault="5937A937" w:rsidP="5937A937">
            <w:pPr>
              <w:spacing w:after="120"/>
              <w:jc w:val="center"/>
            </w:pPr>
            <w:r w:rsidRPr="5937A937">
              <w:rPr>
                <w:rFonts w:eastAsia="Calibri" w:cs="Calibri"/>
                <w:sz w:val="18"/>
                <w:szCs w:val="18"/>
                <w:lang w:val="en-GB"/>
              </w:rPr>
              <w:t>Commercial</w:t>
            </w:r>
          </w:p>
        </w:tc>
      </w:tr>
      <w:tr w:rsidR="5937A937" w14:paraId="0DCD25DA" w14:textId="77777777" w:rsidTr="00A11736">
        <w:trPr>
          <w:jc w:val="center"/>
        </w:trPr>
        <w:tc>
          <w:tcPr>
            <w:tcW w:w="2865" w:type="dxa"/>
            <w:tcBorders>
              <w:top w:val="none" w:sz="4" w:space="0" w:color="000000"/>
              <w:left w:val="none" w:sz="4" w:space="0" w:color="000000"/>
              <w:bottom w:val="nil"/>
              <w:right w:val="none" w:sz="4" w:space="0" w:color="000000"/>
            </w:tcBorders>
            <w:shd w:val="clear" w:color="auto" w:fill="FFFFFF" w:themeFill="background1"/>
            <w:vAlign w:val="center"/>
          </w:tcPr>
          <w:p w14:paraId="725278F2" w14:textId="7BFB6C73" w:rsidR="5937A937" w:rsidRDefault="5937A937" w:rsidP="5937A937">
            <w:pPr>
              <w:spacing w:after="120"/>
              <w:jc w:val="center"/>
            </w:pPr>
            <w:r w:rsidRPr="5937A937">
              <w:rPr>
                <w:rFonts w:eastAsia="Calibri" w:cs="Calibri"/>
                <w:sz w:val="18"/>
                <w:szCs w:val="18"/>
                <w:lang w:val="en-GB"/>
              </w:rPr>
              <w:t>Sewage sludge, animal manure, agricultural residues</w:t>
            </w:r>
          </w:p>
        </w:tc>
        <w:tc>
          <w:tcPr>
            <w:tcW w:w="1950"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2FEF3F8F" w14:textId="71B8E15B" w:rsidR="5937A937" w:rsidRDefault="5937A937" w:rsidP="5937A937">
            <w:pPr>
              <w:spacing w:after="120"/>
              <w:jc w:val="center"/>
            </w:pPr>
            <w:r w:rsidRPr="5937A937">
              <w:rPr>
                <w:rFonts w:eastAsia="Calibri" w:cs="Calibri"/>
                <w:sz w:val="18"/>
                <w:szCs w:val="18"/>
                <w:lang w:val="en-GB"/>
              </w:rPr>
              <w:t>Biogas, methanogenesis</w:t>
            </w:r>
          </w:p>
        </w:tc>
        <w:tc>
          <w:tcPr>
            <w:tcW w:w="2415"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5CEDC627" w14:textId="5D541F94" w:rsidR="5937A937" w:rsidRDefault="5937A937" w:rsidP="5937A937">
            <w:pPr>
              <w:spacing w:after="120"/>
              <w:jc w:val="center"/>
            </w:pPr>
            <w:r w:rsidRPr="5937A937">
              <w:rPr>
                <w:rFonts w:eastAsia="Calibri" w:cs="Calibri"/>
                <w:sz w:val="18"/>
                <w:szCs w:val="18"/>
                <w:lang w:val="en-GB"/>
              </w:rPr>
              <w:t>Biomethane, Bio-LNG</w:t>
            </w:r>
          </w:p>
        </w:tc>
        <w:tc>
          <w:tcPr>
            <w:tcW w:w="1320"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010BE156" w14:textId="4338EB6B" w:rsidR="5937A937" w:rsidRDefault="5937A937" w:rsidP="5937A937">
            <w:pPr>
              <w:spacing w:after="120"/>
              <w:jc w:val="center"/>
            </w:pPr>
            <w:r w:rsidRPr="5937A937">
              <w:rPr>
                <w:rFonts w:eastAsia="Calibri" w:cs="Calibri"/>
                <w:sz w:val="18"/>
                <w:szCs w:val="18"/>
                <w:lang w:val="en-GB"/>
              </w:rPr>
              <w:t>Commercial</w:t>
            </w:r>
          </w:p>
        </w:tc>
      </w:tr>
      <w:tr w:rsidR="5937A937" w14:paraId="1C3E1F37" w14:textId="77777777" w:rsidTr="00A11736">
        <w:trPr>
          <w:jc w:val="center"/>
        </w:trPr>
        <w:tc>
          <w:tcPr>
            <w:tcW w:w="2865" w:type="dxa"/>
            <w:vMerge w:val="restart"/>
            <w:tcBorders>
              <w:top w:val="nil"/>
              <w:left w:val="nil"/>
              <w:bottom w:val="nil"/>
              <w:right w:val="nil"/>
            </w:tcBorders>
            <w:shd w:val="clear" w:color="auto" w:fill="FFFFFF" w:themeFill="background1"/>
            <w:vAlign w:val="center"/>
          </w:tcPr>
          <w:p w14:paraId="64630BDE" w14:textId="06FF82E9" w:rsidR="5937A937" w:rsidRDefault="5937A937" w:rsidP="5937A937">
            <w:pPr>
              <w:spacing w:after="120"/>
              <w:jc w:val="center"/>
            </w:pPr>
            <w:r w:rsidRPr="5937A937">
              <w:rPr>
                <w:rFonts w:eastAsia="Calibri" w:cs="Calibri"/>
                <w:sz w:val="18"/>
                <w:szCs w:val="18"/>
                <w:lang w:val="en-GB"/>
              </w:rPr>
              <w:t>Lignocellulose</w:t>
            </w:r>
          </w:p>
        </w:tc>
        <w:tc>
          <w:tcPr>
            <w:tcW w:w="1950" w:type="dxa"/>
            <w:tcBorders>
              <w:top w:val="none" w:sz="4" w:space="0" w:color="000000"/>
              <w:left w:val="nil"/>
              <w:bottom w:val="none" w:sz="4" w:space="0" w:color="000000"/>
              <w:right w:val="none" w:sz="4" w:space="0" w:color="000000"/>
            </w:tcBorders>
            <w:shd w:val="clear" w:color="auto" w:fill="FFFFFF" w:themeFill="background1"/>
            <w:vAlign w:val="center"/>
          </w:tcPr>
          <w:p w14:paraId="4E6FFFD0" w14:textId="3FAF9450" w:rsidR="5937A937" w:rsidRDefault="5937A937" w:rsidP="5937A937">
            <w:pPr>
              <w:spacing w:after="120"/>
              <w:jc w:val="center"/>
            </w:pPr>
            <w:r w:rsidRPr="5937A937">
              <w:rPr>
                <w:rFonts w:eastAsia="Calibri" w:cs="Calibri"/>
                <w:sz w:val="18"/>
                <w:szCs w:val="18"/>
                <w:lang w:val="en-GB"/>
              </w:rPr>
              <w:t>Enzymatic saccharification and fermentation</w:t>
            </w:r>
          </w:p>
        </w:tc>
        <w:tc>
          <w:tcPr>
            <w:tcW w:w="2415"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5EFF6A6C" w14:textId="6E181245" w:rsidR="5937A937" w:rsidRDefault="5937A937" w:rsidP="5937A937">
            <w:pPr>
              <w:spacing w:after="120"/>
              <w:jc w:val="center"/>
            </w:pPr>
            <w:r w:rsidRPr="5937A937">
              <w:rPr>
                <w:rFonts w:eastAsia="Calibri" w:cs="Calibri"/>
                <w:sz w:val="18"/>
                <w:szCs w:val="18"/>
                <w:lang w:val="en-GB"/>
              </w:rPr>
              <w:t>Ethanol</w:t>
            </w:r>
          </w:p>
        </w:tc>
        <w:tc>
          <w:tcPr>
            <w:tcW w:w="1320"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23018938" w14:textId="1EE18BEC" w:rsidR="5937A937" w:rsidRDefault="5937A937" w:rsidP="5937A937">
            <w:pPr>
              <w:spacing w:after="120"/>
              <w:jc w:val="center"/>
            </w:pPr>
            <w:r w:rsidRPr="5937A937">
              <w:rPr>
                <w:rFonts w:eastAsia="Calibri" w:cs="Calibri"/>
                <w:sz w:val="18"/>
                <w:szCs w:val="18"/>
                <w:lang w:val="en-GB"/>
              </w:rPr>
              <w:t>TRL 8- 9</w:t>
            </w:r>
          </w:p>
        </w:tc>
      </w:tr>
      <w:tr w:rsidR="5937A937" w14:paraId="584E0793" w14:textId="77777777" w:rsidTr="00A11736">
        <w:trPr>
          <w:jc w:val="center"/>
        </w:trPr>
        <w:tc>
          <w:tcPr>
            <w:tcW w:w="2865" w:type="dxa"/>
            <w:vMerge/>
            <w:tcBorders>
              <w:top w:val="nil"/>
              <w:left w:val="nil"/>
              <w:bottom w:val="nil"/>
              <w:right w:val="nil"/>
            </w:tcBorders>
            <w:vAlign w:val="center"/>
          </w:tcPr>
          <w:p w14:paraId="110063B8" w14:textId="77777777" w:rsidR="003842FD" w:rsidRDefault="003842FD"/>
        </w:tc>
        <w:tc>
          <w:tcPr>
            <w:tcW w:w="1950" w:type="dxa"/>
            <w:tcBorders>
              <w:top w:val="none" w:sz="4" w:space="0" w:color="000000"/>
              <w:left w:val="nil"/>
              <w:bottom w:val="none" w:sz="4" w:space="0" w:color="000000"/>
              <w:right w:val="none" w:sz="4" w:space="0" w:color="000000"/>
            </w:tcBorders>
            <w:shd w:val="clear" w:color="auto" w:fill="FFFFFF" w:themeFill="background1"/>
            <w:vAlign w:val="center"/>
          </w:tcPr>
          <w:p w14:paraId="40C1B864" w14:textId="595464D7" w:rsidR="5937A937" w:rsidRDefault="5937A937" w:rsidP="5937A937">
            <w:pPr>
              <w:spacing w:after="120"/>
              <w:jc w:val="center"/>
            </w:pPr>
            <w:r w:rsidRPr="5937A937">
              <w:rPr>
                <w:rFonts w:eastAsia="Calibri" w:cs="Calibri"/>
                <w:sz w:val="18"/>
                <w:szCs w:val="18"/>
                <w:lang w:val="en-GB"/>
              </w:rPr>
              <w:t>Enzymatic saccharification and fermentation</w:t>
            </w:r>
          </w:p>
        </w:tc>
        <w:tc>
          <w:tcPr>
            <w:tcW w:w="2415"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22DE585F" w14:textId="0CFF2A15" w:rsidR="5937A937" w:rsidRDefault="5937A937" w:rsidP="5937A937">
            <w:pPr>
              <w:spacing w:after="120"/>
              <w:jc w:val="center"/>
            </w:pPr>
            <w:r w:rsidRPr="5937A937">
              <w:rPr>
                <w:rFonts w:eastAsia="Calibri" w:cs="Calibri"/>
                <w:sz w:val="18"/>
                <w:szCs w:val="18"/>
                <w:lang w:val="en-GB"/>
              </w:rPr>
              <w:t>Methanol</w:t>
            </w:r>
          </w:p>
        </w:tc>
        <w:tc>
          <w:tcPr>
            <w:tcW w:w="1320"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55243084" w14:textId="3ADD63DD" w:rsidR="5937A937" w:rsidRDefault="5937A937" w:rsidP="5937A937">
            <w:pPr>
              <w:spacing w:after="120"/>
              <w:jc w:val="center"/>
            </w:pPr>
            <w:r w:rsidRPr="5937A937">
              <w:rPr>
                <w:rFonts w:eastAsia="Calibri" w:cs="Calibri"/>
                <w:sz w:val="18"/>
                <w:szCs w:val="18"/>
                <w:lang w:val="en-GB"/>
              </w:rPr>
              <w:t>TRL 6-7</w:t>
            </w:r>
          </w:p>
        </w:tc>
      </w:tr>
      <w:tr w:rsidR="5937A937" w14:paraId="5BAEFB40" w14:textId="77777777" w:rsidTr="00A11736">
        <w:trPr>
          <w:jc w:val="center"/>
        </w:trPr>
        <w:tc>
          <w:tcPr>
            <w:tcW w:w="2865" w:type="dxa"/>
            <w:vMerge/>
            <w:tcBorders>
              <w:top w:val="nil"/>
              <w:left w:val="nil"/>
              <w:bottom w:val="nil"/>
              <w:right w:val="nil"/>
            </w:tcBorders>
            <w:vAlign w:val="center"/>
          </w:tcPr>
          <w:p w14:paraId="141B379A" w14:textId="77777777" w:rsidR="003842FD" w:rsidRDefault="003842FD"/>
        </w:tc>
        <w:tc>
          <w:tcPr>
            <w:tcW w:w="1950" w:type="dxa"/>
            <w:tcBorders>
              <w:top w:val="none" w:sz="4" w:space="0" w:color="000000"/>
              <w:left w:val="nil"/>
              <w:bottom w:val="none" w:sz="4" w:space="0" w:color="000000"/>
              <w:right w:val="none" w:sz="4" w:space="0" w:color="000000"/>
            </w:tcBorders>
            <w:shd w:val="clear" w:color="auto" w:fill="FFFFFF" w:themeFill="background1"/>
            <w:vAlign w:val="center"/>
          </w:tcPr>
          <w:p w14:paraId="0BF1B704" w14:textId="71D47458" w:rsidR="5937A937" w:rsidRDefault="5937A937" w:rsidP="5937A937">
            <w:pPr>
              <w:spacing w:after="120"/>
              <w:jc w:val="center"/>
            </w:pPr>
            <w:r w:rsidRPr="5937A937">
              <w:rPr>
                <w:rFonts w:eastAsia="Calibri" w:cs="Calibri"/>
                <w:sz w:val="18"/>
                <w:szCs w:val="18"/>
                <w:lang w:val="en-GB"/>
              </w:rPr>
              <w:t>Hydrolysis</w:t>
            </w:r>
            <w:r w:rsidR="007B1C17">
              <w:rPr>
                <w:rFonts w:eastAsia="Calibri" w:cs="Calibri"/>
                <w:sz w:val="18"/>
                <w:szCs w:val="18"/>
                <w:lang w:val="en-GB"/>
              </w:rPr>
              <w:t xml:space="preserve"> and fermentation</w:t>
            </w:r>
          </w:p>
        </w:tc>
        <w:tc>
          <w:tcPr>
            <w:tcW w:w="2415"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12309BB6" w14:textId="71D8E2D5" w:rsidR="5937A937" w:rsidRDefault="5937A937" w:rsidP="5937A937">
            <w:pPr>
              <w:spacing w:after="120"/>
              <w:jc w:val="center"/>
            </w:pPr>
            <w:r w:rsidRPr="5937A937">
              <w:rPr>
                <w:rFonts w:eastAsia="Calibri" w:cs="Calibri"/>
                <w:sz w:val="18"/>
                <w:szCs w:val="18"/>
                <w:lang w:val="en-GB"/>
              </w:rPr>
              <w:t>Butanol</w:t>
            </w:r>
          </w:p>
        </w:tc>
        <w:tc>
          <w:tcPr>
            <w:tcW w:w="1320"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48F3BEB8" w14:textId="14B4DA6F" w:rsidR="5937A937" w:rsidRDefault="5937A937" w:rsidP="5937A937">
            <w:pPr>
              <w:spacing w:after="120"/>
              <w:jc w:val="center"/>
            </w:pPr>
            <w:r w:rsidRPr="5937A937">
              <w:rPr>
                <w:rFonts w:eastAsia="Calibri" w:cs="Calibri"/>
                <w:sz w:val="18"/>
                <w:szCs w:val="18"/>
                <w:lang w:val="en-GB"/>
              </w:rPr>
              <w:t>TRL 6-8</w:t>
            </w:r>
          </w:p>
        </w:tc>
      </w:tr>
      <w:tr w:rsidR="5937A937" w14:paraId="44068490" w14:textId="77777777" w:rsidTr="00A11736">
        <w:trPr>
          <w:jc w:val="center"/>
        </w:trPr>
        <w:tc>
          <w:tcPr>
            <w:tcW w:w="2865" w:type="dxa"/>
            <w:vMerge/>
            <w:tcBorders>
              <w:top w:val="nil"/>
              <w:left w:val="nil"/>
              <w:bottom w:val="nil"/>
              <w:right w:val="nil"/>
            </w:tcBorders>
            <w:vAlign w:val="center"/>
          </w:tcPr>
          <w:p w14:paraId="6E77A1A5" w14:textId="77777777" w:rsidR="003842FD" w:rsidRDefault="003842FD"/>
        </w:tc>
        <w:tc>
          <w:tcPr>
            <w:tcW w:w="1950" w:type="dxa"/>
            <w:tcBorders>
              <w:top w:val="none" w:sz="4" w:space="0" w:color="000000"/>
              <w:left w:val="nil"/>
              <w:bottom w:val="none" w:sz="4" w:space="0" w:color="000000"/>
              <w:right w:val="none" w:sz="4" w:space="0" w:color="000000"/>
            </w:tcBorders>
            <w:shd w:val="clear" w:color="auto" w:fill="FFFFFF" w:themeFill="background1"/>
            <w:vAlign w:val="center"/>
          </w:tcPr>
          <w:p w14:paraId="677374E4" w14:textId="7CEC3B85" w:rsidR="5937A937" w:rsidRDefault="00A934B6" w:rsidP="5937A937">
            <w:pPr>
              <w:spacing w:after="120"/>
              <w:jc w:val="center"/>
            </w:pPr>
            <w:r>
              <w:rPr>
                <w:rFonts w:eastAsia="Calibri" w:cs="Calibri"/>
                <w:sz w:val="18"/>
                <w:szCs w:val="18"/>
                <w:lang w:val="en-GB"/>
              </w:rPr>
              <w:t>S</w:t>
            </w:r>
            <w:r w:rsidR="5937A937" w:rsidRPr="5937A937">
              <w:rPr>
                <w:rFonts w:eastAsia="Calibri" w:cs="Calibri"/>
                <w:sz w:val="18"/>
                <w:szCs w:val="18"/>
                <w:lang w:val="en-GB"/>
              </w:rPr>
              <w:t>olvolysis</w:t>
            </w:r>
          </w:p>
        </w:tc>
        <w:tc>
          <w:tcPr>
            <w:tcW w:w="2415"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148F2F76" w14:textId="48AAEE3E" w:rsidR="5937A937" w:rsidRDefault="5937A937" w:rsidP="5937A937">
            <w:pPr>
              <w:spacing w:after="120"/>
              <w:jc w:val="center"/>
            </w:pPr>
            <w:r w:rsidRPr="5937A937">
              <w:rPr>
                <w:rFonts w:eastAsia="Calibri" w:cs="Calibri"/>
                <w:sz w:val="18"/>
                <w:szCs w:val="18"/>
                <w:lang w:val="en-GB"/>
              </w:rPr>
              <w:t>Lignin diesel oil (LDO)</w:t>
            </w:r>
          </w:p>
        </w:tc>
        <w:tc>
          <w:tcPr>
            <w:tcW w:w="1320"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34FABC8D" w14:textId="589D49DB" w:rsidR="5937A937" w:rsidRDefault="5937A937" w:rsidP="5937A937">
            <w:pPr>
              <w:spacing w:after="120"/>
              <w:jc w:val="center"/>
            </w:pPr>
            <w:r w:rsidRPr="5937A937">
              <w:rPr>
                <w:rFonts w:eastAsia="Calibri" w:cs="Calibri"/>
                <w:sz w:val="18"/>
                <w:szCs w:val="18"/>
                <w:lang w:val="en-GB"/>
              </w:rPr>
              <w:t xml:space="preserve">TRL </w:t>
            </w:r>
            <w:r w:rsidR="00A934B6">
              <w:rPr>
                <w:rFonts w:eastAsia="Calibri" w:cs="Calibri"/>
                <w:sz w:val="18"/>
                <w:szCs w:val="18"/>
                <w:lang w:val="en-GB"/>
              </w:rPr>
              <w:t>6</w:t>
            </w:r>
            <w:r w:rsidRPr="5937A937">
              <w:rPr>
                <w:rFonts w:eastAsia="Calibri" w:cs="Calibri"/>
                <w:sz w:val="18"/>
                <w:szCs w:val="18"/>
                <w:lang w:val="en-GB"/>
              </w:rPr>
              <w:t>-</w:t>
            </w:r>
            <w:r w:rsidR="009C1C87">
              <w:rPr>
                <w:rFonts w:eastAsia="Calibri" w:cs="Calibri"/>
                <w:sz w:val="18"/>
                <w:szCs w:val="18"/>
                <w:lang w:val="en-GB"/>
              </w:rPr>
              <w:t>7</w:t>
            </w:r>
          </w:p>
        </w:tc>
      </w:tr>
      <w:tr w:rsidR="5937A937" w14:paraId="7C63C5C7" w14:textId="77777777" w:rsidTr="00A11736">
        <w:trPr>
          <w:jc w:val="center"/>
        </w:trPr>
        <w:tc>
          <w:tcPr>
            <w:tcW w:w="2865" w:type="dxa"/>
            <w:tcBorders>
              <w:top w:val="nil"/>
              <w:left w:val="none" w:sz="4" w:space="0" w:color="000000"/>
              <w:bottom w:val="none" w:sz="4" w:space="0" w:color="000000"/>
              <w:right w:val="none" w:sz="4" w:space="0" w:color="000000"/>
            </w:tcBorders>
            <w:shd w:val="clear" w:color="auto" w:fill="FFFFFF" w:themeFill="background1"/>
            <w:vAlign w:val="center"/>
          </w:tcPr>
          <w:p w14:paraId="16E2D5DB" w14:textId="181F2D19" w:rsidR="5937A937" w:rsidRDefault="5937A937" w:rsidP="5937A937">
            <w:pPr>
              <w:spacing w:after="120"/>
              <w:jc w:val="center"/>
            </w:pPr>
            <w:r w:rsidRPr="5937A937">
              <w:rPr>
                <w:rFonts w:eastAsia="Calibri" w:cs="Calibri"/>
                <w:sz w:val="18"/>
                <w:szCs w:val="18"/>
                <w:lang w:val="en-GB"/>
              </w:rPr>
              <w:t xml:space="preserve">Lignocellulose, solid and liquid industrial streams </w:t>
            </w:r>
          </w:p>
        </w:tc>
        <w:tc>
          <w:tcPr>
            <w:tcW w:w="1950"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59F41DB7" w14:textId="3783EEBF" w:rsidR="5937A937" w:rsidRDefault="5937A937" w:rsidP="5937A937">
            <w:pPr>
              <w:spacing w:after="120"/>
              <w:jc w:val="center"/>
            </w:pPr>
            <w:r w:rsidRPr="5937A937">
              <w:rPr>
                <w:rFonts w:eastAsia="Calibri" w:cs="Calibri"/>
                <w:sz w:val="18"/>
                <w:szCs w:val="18"/>
                <w:lang w:val="en-GB"/>
              </w:rPr>
              <w:t>Gasification and catalytic synthesis</w:t>
            </w:r>
          </w:p>
        </w:tc>
        <w:tc>
          <w:tcPr>
            <w:tcW w:w="2415"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29CECDC6" w14:textId="640E2B52" w:rsidR="5937A937" w:rsidRDefault="5937A937" w:rsidP="5937A937">
            <w:pPr>
              <w:spacing w:after="120"/>
              <w:jc w:val="center"/>
            </w:pPr>
            <w:r w:rsidRPr="5937A937">
              <w:rPr>
                <w:rFonts w:eastAsia="Calibri" w:cs="Calibri"/>
                <w:sz w:val="18"/>
                <w:szCs w:val="18"/>
                <w:lang w:val="en-GB"/>
              </w:rPr>
              <w:t>Synthetic Fuel (Methanol, Ethanol, Long chain hydrocarbons)</w:t>
            </w:r>
          </w:p>
        </w:tc>
        <w:tc>
          <w:tcPr>
            <w:tcW w:w="1320"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65DC9B23" w14:textId="1C52ED44" w:rsidR="5937A937" w:rsidRDefault="5937A937" w:rsidP="5937A937">
            <w:pPr>
              <w:spacing w:after="120"/>
              <w:jc w:val="center"/>
            </w:pPr>
            <w:r w:rsidRPr="5937A937">
              <w:rPr>
                <w:rFonts w:eastAsia="Calibri" w:cs="Calibri"/>
                <w:sz w:val="18"/>
                <w:szCs w:val="18"/>
                <w:lang w:val="en-GB"/>
              </w:rPr>
              <w:t>TRL 6-7</w:t>
            </w:r>
          </w:p>
        </w:tc>
      </w:tr>
      <w:tr w:rsidR="5937A937" w14:paraId="50F170D1" w14:textId="77777777" w:rsidTr="00A11736">
        <w:trPr>
          <w:jc w:val="center"/>
        </w:trPr>
        <w:tc>
          <w:tcPr>
            <w:tcW w:w="2865"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38700089" w14:textId="1ECF6C8B" w:rsidR="5937A937" w:rsidRDefault="5937A937" w:rsidP="5937A937">
            <w:pPr>
              <w:spacing w:after="120"/>
              <w:jc w:val="center"/>
            </w:pPr>
            <w:r w:rsidRPr="5937A937">
              <w:rPr>
                <w:rFonts w:eastAsia="Calibri" w:cs="Calibri"/>
                <w:sz w:val="18"/>
                <w:szCs w:val="18"/>
                <w:lang w:val="en-GB"/>
              </w:rPr>
              <w:t>Lignocellulose and</w:t>
            </w:r>
            <w:r w:rsidR="00AD1ED7">
              <w:rPr>
                <w:rFonts w:eastAsia="Calibri" w:cs="Calibri"/>
                <w:sz w:val="18"/>
                <w:szCs w:val="18"/>
                <w:lang w:val="en-GB"/>
              </w:rPr>
              <w:t xml:space="preserve"> Municipal solid waste.</w:t>
            </w:r>
            <w:r w:rsidRPr="5937A937">
              <w:rPr>
                <w:rFonts w:eastAsia="Calibri" w:cs="Calibri"/>
                <w:sz w:val="18"/>
                <w:szCs w:val="18"/>
                <w:lang w:val="en-GB"/>
              </w:rPr>
              <w:t xml:space="preserve"> </w:t>
            </w:r>
          </w:p>
        </w:tc>
        <w:tc>
          <w:tcPr>
            <w:tcW w:w="1950"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542D76AF" w14:textId="50B9B41C" w:rsidR="5937A937" w:rsidRDefault="5937A937" w:rsidP="5937A937">
            <w:pPr>
              <w:spacing w:after="120"/>
              <w:jc w:val="center"/>
            </w:pPr>
            <w:r w:rsidRPr="5937A937">
              <w:rPr>
                <w:rFonts w:eastAsia="Calibri" w:cs="Calibri"/>
                <w:sz w:val="18"/>
                <w:szCs w:val="18"/>
                <w:lang w:val="en-GB"/>
              </w:rPr>
              <w:t>Pyrolysis, liquefaction, hydrotreatment</w:t>
            </w:r>
          </w:p>
        </w:tc>
        <w:tc>
          <w:tcPr>
            <w:tcW w:w="2415"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7F4B0360" w14:textId="52D5C26B" w:rsidR="5937A937" w:rsidRDefault="5937A937" w:rsidP="5937A937">
            <w:pPr>
              <w:spacing w:after="120"/>
              <w:jc w:val="center"/>
            </w:pPr>
            <w:r w:rsidRPr="5937A937">
              <w:rPr>
                <w:rFonts w:eastAsia="Calibri" w:cs="Calibri"/>
                <w:sz w:val="18"/>
                <w:szCs w:val="18"/>
                <w:lang w:val="en-GB"/>
              </w:rPr>
              <w:t>Bio-oil, bio-crude</w:t>
            </w:r>
          </w:p>
        </w:tc>
        <w:tc>
          <w:tcPr>
            <w:tcW w:w="1320"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6A4D7422" w14:textId="36A0CC08" w:rsidR="5937A937" w:rsidRDefault="5937A937" w:rsidP="5937A937">
            <w:pPr>
              <w:spacing w:after="120"/>
              <w:jc w:val="center"/>
            </w:pPr>
            <w:r w:rsidRPr="5937A937">
              <w:rPr>
                <w:rFonts w:eastAsia="Calibri" w:cs="Calibri"/>
                <w:sz w:val="18"/>
                <w:szCs w:val="18"/>
                <w:lang w:val="en-GB"/>
              </w:rPr>
              <w:t>TRL 4-5</w:t>
            </w:r>
          </w:p>
        </w:tc>
      </w:tr>
      <w:tr w:rsidR="5937A937" w14:paraId="7D3D67A3" w14:textId="77777777" w:rsidTr="00A11736">
        <w:trPr>
          <w:jc w:val="center"/>
        </w:trPr>
        <w:tc>
          <w:tcPr>
            <w:tcW w:w="2865"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023203EA" w14:textId="322477A9" w:rsidR="5937A937" w:rsidRDefault="5937A937" w:rsidP="5937A937">
            <w:pPr>
              <w:spacing w:after="120"/>
              <w:jc w:val="center"/>
            </w:pPr>
            <w:r w:rsidRPr="5937A937">
              <w:rPr>
                <w:rFonts w:eastAsia="Calibri" w:cs="Calibri"/>
                <w:sz w:val="18"/>
                <w:szCs w:val="18"/>
                <w:lang w:val="en-GB"/>
              </w:rPr>
              <w:t>Wood extractives pulping</w:t>
            </w:r>
          </w:p>
        </w:tc>
        <w:tc>
          <w:tcPr>
            <w:tcW w:w="1950"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12DB2C6F" w14:textId="3BD3D937" w:rsidR="5937A937" w:rsidRDefault="5937A937" w:rsidP="5937A937">
            <w:pPr>
              <w:spacing w:after="120"/>
              <w:jc w:val="center"/>
            </w:pPr>
            <w:r w:rsidRPr="5937A937">
              <w:rPr>
                <w:rFonts w:eastAsia="Calibri" w:cs="Calibri"/>
                <w:sz w:val="18"/>
                <w:szCs w:val="18"/>
                <w:lang w:val="en-GB"/>
              </w:rPr>
              <w:t>Catalytic upgrading</w:t>
            </w:r>
          </w:p>
        </w:tc>
        <w:tc>
          <w:tcPr>
            <w:tcW w:w="2415"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3CE6F187" w14:textId="05FF3E48" w:rsidR="5937A937" w:rsidRDefault="5937A937" w:rsidP="5937A937">
            <w:pPr>
              <w:spacing w:after="120"/>
              <w:jc w:val="center"/>
            </w:pPr>
            <w:r w:rsidRPr="5937A937">
              <w:rPr>
                <w:rFonts w:eastAsia="Calibri" w:cs="Calibri"/>
                <w:sz w:val="18"/>
                <w:szCs w:val="18"/>
                <w:lang w:val="en-GB"/>
              </w:rPr>
              <w:t>Renewable diesel</w:t>
            </w:r>
          </w:p>
        </w:tc>
        <w:tc>
          <w:tcPr>
            <w:tcW w:w="1320"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6CE2D364" w14:textId="78AA76CA" w:rsidR="5937A937" w:rsidRDefault="5937A937" w:rsidP="5937A937">
            <w:pPr>
              <w:spacing w:after="120"/>
              <w:jc w:val="center"/>
            </w:pPr>
            <w:r w:rsidRPr="5937A937">
              <w:rPr>
                <w:rFonts w:eastAsia="Calibri" w:cs="Calibri"/>
                <w:sz w:val="18"/>
                <w:szCs w:val="18"/>
                <w:lang w:val="en-GB"/>
              </w:rPr>
              <w:t>TRL 8-9</w:t>
            </w:r>
          </w:p>
        </w:tc>
      </w:tr>
      <w:tr w:rsidR="5937A937" w14:paraId="5B4866ED" w14:textId="77777777" w:rsidTr="00A11736">
        <w:trPr>
          <w:jc w:val="center"/>
        </w:trPr>
        <w:tc>
          <w:tcPr>
            <w:tcW w:w="2865" w:type="dxa"/>
            <w:tcBorders>
              <w:top w:val="none" w:sz="4" w:space="0" w:color="000000"/>
              <w:left w:val="nil"/>
              <w:bottom w:val="single" w:sz="8" w:space="0" w:color="auto"/>
              <w:right w:val="nil"/>
            </w:tcBorders>
            <w:vAlign w:val="center"/>
          </w:tcPr>
          <w:p w14:paraId="4190E93D" w14:textId="1180E3CD" w:rsidR="5937A937" w:rsidRDefault="5937A937" w:rsidP="5937A937">
            <w:pPr>
              <w:spacing w:after="120"/>
              <w:jc w:val="center"/>
            </w:pPr>
            <w:r w:rsidRPr="5937A937">
              <w:rPr>
                <w:rFonts w:eastAsia="Calibri" w:cs="Calibri"/>
                <w:sz w:val="18"/>
                <w:szCs w:val="18"/>
                <w:lang w:val="en-GB"/>
              </w:rPr>
              <w:t>CO</w:t>
            </w:r>
            <w:r w:rsidRPr="5937A937">
              <w:rPr>
                <w:rFonts w:eastAsia="Calibri" w:cs="Calibri"/>
                <w:sz w:val="18"/>
                <w:szCs w:val="18"/>
                <w:vertAlign w:val="subscript"/>
                <w:lang w:val="en-GB"/>
              </w:rPr>
              <w:t>2</w:t>
            </w:r>
            <w:r w:rsidRPr="5937A937">
              <w:rPr>
                <w:rFonts w:eastAsia="Calibri" w:cs="Calibri"/>
                <w:sz w:val="18"/>
                <w:szCs w:val="18"/>
                <w:lang w:val="en-GB"/>
              </w:rPr>
              <w:t xml:space="preserve"> from renewable systems</w:t>
            </w:r>
          </w:p>
        </w:tc>
        <w:tc>
          <w:tcPr>
            <w:tcW w:w="1950" w:type="dxa"/>
            <w:tcBorders>
              <w:top w:val="none" w:sz="4" w:space="0" w:color="000000"/>
              <w:left w:val="nil"/>
              <w:bottom w:val="single" w:sz="8" w:space="0" w:color="auto"/>
              <w:right w:val="nil"/>
            </w:tcBorders>
            <w:vAlign w:val="center"/>
          </w:tcPr>
          <w:p w14:paraId="699220DF" w14:textId="171E08BF" w:rsidR="5937A937" w:rsidRDefault="5937A937" w:rsidP="5937A937">
            <w:pPr>
              <w:spacing w:after="120"/>
              <w:jc w:val="center"/>
            </w:pPr>
            <w:r w:rsidRPr="5937A937">
              <w:rPr>
                <w:rFonts w:eastAsia="Calibri" w:cs="Calibri"/>
                <w:sz w:val="18"/>
                <w:szCs w:val="18"/>
                <w:lang w:val="en-GB"/>
              </w:rPr>
              <w:t>Reaction with renewable H2</w:t>
            </w:r>
          </w:p>
        </w:tc>
        <w:tc>
          <w:tcPr>
            <w:tcW w:w="2415" w:type="dxa"/>
            <w:tcBorders>
              <w:top w:val="none" w:sz="4" w:space="0" w:color="000000"/>
              <w:left w:val="nil"/>
              <w:bottom w:val="single" w:sz="8" w:space="0" w:color="auto"/>
              <w:right w:val="nil"/>
            </w:tcBorders>
            <w:vAlign w:val="center"/>
          </w:tcPr>
          <w:p w14:paraId="57E2BE34" w14:textId="3D0A129A" w:rsidR="5937A937" w:rsidRDefault="5937A937" w:rsidP="5937A937">
            <w:pPr>
              <w:spacing w:after="120"/>
              <w:jc w:val="center"/>
            </w:pPr>
            <w:r w:rsidRPr="5937A937">
              <w:rPr>
                <w:rFonts w:eastAsia="Calibri" w:cs="Calibri"/>
                <w:sz w:val="18"/>
                <w:szCs w:val="18"/>
                <w:lang w:val="en-GB"/>
              </w:rPr>
              <w:t>Synthetic fuels</w:t>
            </w:r>
          </w:p>
        </w:tc>
        <w:tc>
          <w:tcPr>
            <w:tcW w:w="1320" w:type="dxa"/>
            <w:tcBorders>
              <w:top w:val="none" w:sz="4" w:space="0" w:color="000000"/>
              <w:left w:val="nil"/>
              <w:bottom w:val="single" w:sz="8" w:space="0" w:color="auto"/>
              <w:right w:val="nil"/>
            </w:tcBorders>
            <w:vAlign w:val="center"/>
          </w:tcPr>
          <w:p w14:paraId="4F3364C5" w14:textId="2904ED36" w:rsidR="5937A937" w:rsidRDefault="5937A937" w:rsidP="5937A937">
            <w:pPr>
              <w:spacing w:after="120"/>
              <w:jc w:val="center"/>
            </w:pPr>
            <w:r w:rsidRPr="5937A937">
              <w:rPr>
                <w:rFonts w:eastAsia="Calibri" w:cs="Calibri"/>
                <w:sz w:val="18"/>
                <w:szCs w:val="18"/>
                <w:lang w:val="en-GB"/>
              </w:rPr>
              <w:t>TRL 6-7</w:t>
            </w:r>
          </w:p>
        </w:tc>
      </w:tr>
    </w:tbl>
    <w:p w14:paraId="4A674CC7" w14:textId="1C903FA3" w:rsidR="5937A937" w:rsidRDefault="5937A937" w:rsidP="5937A937">
      <w:pPr>
        <w:spacing w:line="360" w:lineRule="auto"/>
        <w:ind w:firstLine="444"/>
        <w:rPr>
          <w:rFonts w:eastAsia="Calibri" w:cs="Calibri"/>
          <w:sz w:val="22"/>
          <w:szCs w:val="22"/>
          <w:lang w:val="en-GB"/>
        </w:rPr>
      </w:pPr>
    </w:p>
    <w:p w14:paraId="708EF8B4" w14:textId="00C78AB0" w:rsidR="344048DE" w:rsidRDefault="50B1003E" w:rsidP="0015719B">
      <w:pPr>
        <w:spacing w:after="20" w:line="360" w:lineRule="auto"/>
        <w:ind w:firstLine="720"/>
        <w:rPr>
          <w:rFonts w:asciiTheme="majorHAnsi" w:eastAsiaTheme="majorEastAsia" w:hAnsiTheme="majorHAnsi" w:cstheme="majorBidi"/>
          <w:sz w:val="22"/>
          <w:szCs w:val="22"/>
          <w:lang w:val="en-GB"/>
        </w:rPr>
      </w:pPr>
      <w:r w:rsidRPr="5937A937">
        <w:rPr>
          <w:rFonts w:asciiTheme="majorHAnsi" w:eastAsiaTheme="majorEastAsia" w:hAnsiTheme="majorHAnsi" w:cstheme="majorBidi"/>
          <w:sz w:val="22"/>
          <w:szCs w:val="22"/>
          <w:lang w:val="en-GB"/>
        </w:rPr>
        <w:t>For the end user, besides pricing</w:t>
      </w:r>
      <w:r w:rsidR="0015719B">
        <w:rPr>
          <w:rFonts w:asciiTheme="majorHAnsi" w:eastAsiaTheme="majorEastAsia" w:hAnsiTheme="majorHAnsi" w:cstheme="majorBidi"/>
          <w:sz w:val="22"/>
          <w:szCs w:val="22"/>
          <w:lang w:val="en-GB"/>
        </w:rPr>
        <w:t>,</w:t>
      </w:r>
      <w:r w:rsidRPr="5937A937">
        <w:rPr>
          <w:rFonts w:asciiTheme="majorHAnsi" w:eastAsiaTheme="majorEastAsia" w:hAnsiTheme="majorHAnsi" w:cstheme="majorBidi"/>
          <w:sz w:val="22"/>
          <w:szCs w:val="22"/>
          <w:lang w:val="en-GB"/>
        </w:rPr>
        <w:t xml:space="preserve"> it is important to consider the technical </w:t>
      </w:r>
      <w:r w:rsidR="0015719B">
        <w:rPr>
          <w:rFonts w:asciiTheme="majorHAnsi" w:eastAsiaTheme="majorEastAsia" w:hAnsiTheme="majorHAnsi" w:cstheme="majorBidi"/>
          <w:sz w:val="22"/>
          <w:szCs w:val="22"/>
          <w:lang w:val="en-GB"/>
        </w:rPr>
        <w:t>aspects of the solution</w:t>
      </w:r>
      <w:r w:rsidRPr="5937A937">
        <w:rPr>
          <w:rFonts w:asciiTheme="majorHAnsi" w:eastAsiaTheme="majorEastAsia" w:hAnsiTheme="majorHAnsi" w:cstheme="majorBidi"/>
          <w:sz w:val="22"/>
          <w:szCs w:val="22"/>
          <w:lang w:val="en-GB"/>
        </w:rPr>
        <w:t>. The use of advanced fuels will depend on the fuel quality, compatibility with the engine, GHG emission reduction and the infrastructure required (</w:t>
      </w:r>
      <w:proofErr w:type="spellStart"/>
      <w:r w:rsidRPr="5937A937">
        <w:rPr>
          <w:rFonts w:asciiTheme="majorHAnsi" w:eastAsiaTheme="majorEastAsia" w:hAnsiTheme="majorHAnsi" w:cstheme="majorBidi"/>
          <w:sz w:val="22"/>
          <w:szCs w:val="22"/>
          <w:lang w:val="en-GB"/>
        </w:rPr>
        <w:t>Panoutsou</w:t>
      </w:r>
      <w:proofErr w:type="spellEnd"/>
      <w:r w:rsidRPr="5937A937">
        <w:rPr>
          <w:rFonts w:asciiTheme="majorHAnsi" w:eastAsiaTheme="majorEastAsia" w:hAnsiTheme="majorHAnsi" w:cstheme="majorBidi"/>
          <w:sz w:val="22"/>
          <w:szCs w:val="22"/>
          <w:lang w:val="en-GB"/>
        </w:rPr>
        <w:t xml:space="preserve"> et al., 2021)</w:t>
      </w:r>
      <w:proofErr w:type="gramStart"/>
      <w:r w:rsidRPr="5937A937">
        <w:rPr>
          <w:rFonts w:asciiTheme="majorHAnsi" w:eastAsiaTheme="majorEastAsia" w:hAnsiTheme="majorHAnsi" w:cstheme="majorBidi"/>
          <w:sz w:val="22"/>
          <w:szCs w:val="22"/>
          <w:lang w:val="en-GB"/>
        </w:rPr>
        <w:t xml:space="preserve">.  </w:t>
      </w:r>
      <w:proofErr w:type="gramEnd"/>
      <w:r w:rsidR="0E523C37" w:rsidRPr="5937A937">
        <w:rPr>
          <w:rFonts w:asciiTheme="majorHAnsi" w:eastAsiaTheme="majorEastAsia" w:hAnsiTheme="majorHAnsi" w:cstheme="majorBidi"/>
          <w:sz w:val="22"/>
          <w:szCs w:val="22"/>
          <w:lang w:val="en-GB"/>
        </w:rPr>
        <w:t>Competition in this area include fuels like Pure Plant Oil (PPO) or Straight Vegetable Oil (SVO), Hydrotreated Vegetable Oil (HVO), Upgraded Pyrolysis Oil (UPO), biodiesel (FAME), and FT diesel.</w:t>
      </w:r>
    </w:p>
    <w:p w14:paraId="590F6165" w14:textId="77777777" w:rsidR="0015719B" w:rsidRPr="00650B23" w:rsidRDefault="654CA926" w:rsidP="0015719B">
      <w:pPr>
        <w:spacing w:line="360" w:lineRule="auto"/>
        <w:ind w:firstLine="720"/>
      </w:pPr>
      <w:r w:rsidRPr="5937A937">
        <w:rPr>
          <w:rFonts w:asciiTheme="majorHAnsi" w:eastAsiaTheme="majorEastAsia" w:hAnsiTheme="majorHAnsi" w:cstheme="majorBidi"/>
          <w:sz w:val="22"/>
          <w:szCs w:val="22"/>
          <w:lang w:val="en-GB"/>
        </w:rPr>
        <w:t xml:space="preserve">The infrastructure needs to be considered, as some </w:t>
      </w:r>
      <w:r w:rsidR="0015719B">
        <w:rPr>
          <w:rFonts w:asciiTheme="majorHAnsi" w:eastAsiaTheme="majorEastAsia" w:hAnsiTheme="majorHAnsi" w:cstheme="majorBidi"/>
          <w:sz w:val="22"/>
          <w:szCs w:val="22"/>
          <w:lang w:val="en-GB"/>
        </w:rPr>
        <w:t>alternative fuels</w:t>
      </w:r>
      <w:r w:rsidRPr="5937A937">
        <w:rPr>
          <w:rFonts w:asciiTheme="majorHAnsi" w:eastAsiaTheme="majorEastAsia" w:hAnsiTheme="majorHAnsi" w:cstheme="majorBidi"/>
          <w:sz w:val="22"/>
          <w:szCs w:val="22"/>
          <w:lang w:val="en-GB"/>
        </w:rPr>
        <w:t xml:space="preserve"> </w:t>
      </w:r>
      <w:r w:rsidR="0015719B">
        <w:rPr>
          <w:rFonts w:asciiTheme="majorHAnsi" w:eastAsiaTheme="majorEastAsia" w:hAnsiTheme="majorHAnsi" w:cstheme="majorBidi"/>
          <w:sz w:val="22"/>
          <w:szCs w:val="22"/>
          <w:lang w:val="en-GB"/>
        </w:rPr>
        <w:t>will require extra investment for infrastructure and retrofitting</w:t>
      </w:r>
      <w:r w:rsidRPr="5937A937">
        <w:rPr>
          <w:rFonts w:asciiTheme="majorHAnsi" w:eastAsiaTheme="majorEastAsia" w:hAnsiTheme="majorHAnsi" w:cstheme="majorBidi"/>
          <w:sz w:val="22"/>
          <w:szCs w:val="22"/>
          <w:lang w:val="en-GB"/>
        </w:rPr>
        <w:t xml:space="preserve">. </w:t>
      </w:r>
      <w:proofErr w:type="gramStart"/>
      <w:r w:rsidR="494DF0FF" w:rsidRPr="5937A937">
        <w:rPr>
          <w:rFonts w:asciiTheme="majorHAnsi" w:eastAsiaTheme="majorEastAsia" w:hAnsiTheme="majorHAnsi" w:cstheme="majorBidi"/>
          <w:sz w:val="22"/>
          <w:szCs w:val="22"/>
          <w:lang w:val="en-GB"/>
        </w:rPr>
        <w:t>F</w:t>
      </w:r>
      <w:r w:rsidRPr="5937A937">
        <w:rPr>
          <w:rFonts w:asciiTheme="majorHAnsi" w:eastAsiaTheme="majorEastAsia" w:hAnsiTheme="majorHAnsi" w:cstheme="majorBidi"/>
          <w:sz w:val="22"/>
          <w:szCs w:val="22"/>
          <w:lang w:val="en-GB"/>
        </w:rPr>
        <w:t>ig</w:t>
      </w:r>
      <w:r w:rsidR="0015719B">
        <w:rPr>
          <w:rFonts w:asciiTheme="majorHAnsi" w:eastAsiaTheme="majorEastAsia" w:hAnsiTheme="majorHAnsi" w:cstheme="majorBidi"/>
          <w:sz w:val="22"/>
          <w:szCs w:val="22"/>
          <w:lang w:val="en-GB"/>
        </w:rPr>
        <w:t xml:space="preserve">ure </w:t>
      </w:r>
      <w:r w:rsidRPr="5937A937">
        <w:rPr>
          <w:rFonts w:asciiTheme="majorHAnsi" w:eastAsiaTheme="majorEastAsia" w:hAnsiTheme="majorHAnsi" w:cstheme="majorBidi"/>
          <w:sz w:val="22"/>
          <w:szCs w:val="22"/>
          <w:lang w:val="en-GB"/>
        </w:rPr>
        <w:t xml:space="preserve"> </w:t>
      </w:r>
      <w:r w:rsidR="59401C0E" w:rsidRPr="5937A937">
        <w:rPr>
          <w:rFonts w:asciiTheme="majorHAnsi" w:eastAsiaTheme="majorEastAsia" w:hAnsiTheme="majorHAnsi" w:cstheme="majorBidi"/>
          <w:sz w:val="22"/>
          <w:szCs w:val="22"/>
          <w:lang w:val="en-GB"/>
        </w:rPr>
        <w:t>9</w:t>
      </w:r>
      <w:proofErr w:type="gramEnd"/>
      <w:r w:rsidRPr="5937A937">
        <w:rPr>
          <w:rFonts w:asciiTheme="majorHAnsi" w:eastAsiaTheme="majorEastAsia" w:hAnsiTheme="majorHAnsi" w:cstheme="majorBidi"/>
          <w:sz w:val="22"/>
          <w:szCs w:val="22"/>
          <w:lang w:val="en-GB"/>
        </w:rPr>
        <w:t xml:space="preserve">, </w:t>
      </w:r>
      <w:r w:rsidR="0015719B">
        <w:rPr>
          <w:rFonts w:asciiTheme="majorHAnsi" w:eastAsiaTheme="majorEastAsia" w:hAnsiTheme="majorHAnsi" w:cstheme="majorBidi"/>
          <w:sz w:val="22"/>
          <w:szCs w:val="22"/>
          <w:lang w:val="en-GB"/>
        </w:rPr>
        <w:t>illustrates the relationship of some alternative fuels with regard to infrastructure and compatibility with current fleet.</w:t>
      </w:r>
      <w:r w:rsidRPr="5937A937">
        <w:rPr>
          <w:rFonts w:asciiTheme="majorHAnsi" w:eastAsiaTheme="majorEastAsia" w:hAnsiTheme="majorHAnsi" w:cstheme="majorBidi"/>
          <w:sz w:val="22"/>
          <w:szCs w:val="22"/>
          <w:lang w:val="en-GB"/>
        </w:rPr>
        <w:t xml:space="preserve"> </w:t>
      </w:r>
      <w:r w:rsidR="0015719B" w:rsidRPr="0015719B">
        <w:rPr>
          <w:rFonts w:asciiTheme="majorHAnsi" w:eastAsiaTheme="majorEastAsia" w:hAnsiTheme="majorHAnsi" w:cstheme="majorBidi"/>
          <w:sz w:val="22"/>
          <w:szCs w:val="22"/>
          <w:lang w:val="en-GB"/>
        </w:rPr>
        <w:t xml:space="preserve">There is the tendency of fleet operators to work with </w:t>
      </w:r>
      <w:proofErr w:type="gramStart"/>
      <w:r w:rsidR="0015719B" w:rsidRPr="0015719B">
        <w:rPr>
          <w:rFonts w:asciiTheme="majorHAnsi" w:eastAsiaTheme="majorEastAsia" w:hAnsiTheme="majorHAnsi" w:cstheme="majorBidi"/>
          <w:sz w:val="22"/>
          <w:szCs w:val="22"/>
          <w:lang w:val="en-GB"/>
        </w:rPr>
        <w:t>multiple-fuels</w:t>
      </w:r>
      <w:proofErr w:type="gramEnd"/>
      <w:r w:rsidR="0015719B" w:rsidRPr="0015719B">
        <w:rPr>
          <w:rFonts w:asciiTheme="majorHAnsi" w:eastAsiaTheme="majorEastAsia" w:hAnsiTheme="majorHAnsi" w:cstheme="majorBidi"/>
          <w:sz w:val="22"/>
          <w:szCs w:val="22"/>
          <w:lang w:val="en-GB"/>
        </w:rPr>
        <w:t>, in order to cope with new legislatives requirements and minimize the future uncertainties.</w:t>
      </w:r>
      <w:r w:rsidR="0015719B" w:rsidRPr="59587566">
        <w:rPr>
          <w:rFonts w:eastAsia="Calibri" w:cs="Calibri"/>
          <w:lang w:val="en-GB"/>
        </w:rPr>
        <w:t xml:space="preserve">  </w:t>
      </w:r>
    </w:p>
    <w:p w14:paraId="51A6664B" w14:textId="416200D4" w:rsidR="00C53804" w:rsidRPr="00650B23" w:rsidRDefault="654CA926" w:rsidP="65215FB1">
      <w:pPr>
        <w:spacing w:line="360" w:lineRule="auto"/>
      </w:pPr>
      <w:r w:rsidRPr="5937A937">
        <w:rPr>
          <w:rFonts w:eastAsia="Calibri" w:cs="Calibri"/>
          <w:lang w:val="en-GB"/>
        </w:rPr>
        <w:lastRenderedPageBreak/>
        <w:t xml:space="preserve"> </w:t>
      </w:r>
    </w:p>
    <w:p w14:paraId="0394C0C4" w14:textId="67909D96" w:rsidR="00C53804" w:rsidRPr="00650B23" w:rsidRDefault="5B6287BF" w:rsidP="65215FB1">
      <w:pPr>
        <w:spacing w:line="360" w:lineRule="auto"/>
        <w:jc w:val="center"/>
      </w:pPr>
      <w:r>
        <w:rPr>
          <w:noProof/>
        </w:rPr>
        <w:drawing>
          <wp:inline distT="0" distB="0" distL="0" distR="0" wp14:anchorId="28017527" wp14:editId="214EFE89">
            <wp:extent cx="5704885" cy="1343025"/>
            <wp:effectExtent l="0" t="0" r="0" b="0"/>
            <wp:docPr id="680010453" name="Picture 680010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710971" cy="1344458"/>
                    </a:xfrm>
                    <a:prstGeom prst="rect">
                      <a:avLst/>
                    </a:prstGeom>
                  </pic:spPr>
                </pic:pic>
              </a:graphicData>
            </a:graphic>
          </wp:inline>
        </w:drawing>
      </w:r>
    </w:p>
    <w:p w14:paraId="665AAF29" w14:textId="3CAA3109" w:rsidR="00C53804" w:rsidRPr="00650B23" w:rsidRDefault="654CA926" w:rsidP="65215FB1">
      <w:pPr>
        <w:spacing w:line="360" w:lineRule="auto"/>
      </w:pPr>
      <w:r w:rsidRPr="5937A937">
        <w:rPr>
          <w:rFonts w:eastAsia="Calibri" w:cs="Calibri"/>
          <w:b/>
          <w:bCs/>
          <w:color w:val="4C565C"/>
          <w:sz w:val="18"/>
          <w:szCs w:val="18"/>
          <w:lang w:val="en-GB"/>
        </w:rPr>
        <w:t xml:space="preserve">Figure </w:t>
      </w:r>
      <w:r w:rsidR="6C3CF28B" w:rsidRPr="5937A937">
        <w:rPr>
          <w:rFonts w:eastAsia="Calibri" w:cs="Calibri"/>
          <w:b/>
          <w:bCs/>
          <w:color w:val="4C565C"/>
          <w:sz w:val="18"/>
          <w:szCs w:val="18"/>
          <w:lang w:val="en-GB"/>
        </w:rPr>
        <w:t>9</w:t>
      </w:r>
      <w:r w:rsidRPr="5937A937">
        <w:rPr>
          <w:rFonts w:eastAsia="Calibri" w:cs="Calibri"/>
          <w:b/>
          <w:bCs/>
          <w:color w:val="4C565C"/>
          <w:sz w:val="18"/>
          <w:szCs w:val="18"/>
          <w:lang w:val="en-GB"/>
        </w:rPr>
        <w:t xml:space="preserve">. Infrastructure indicators for renewable fuels in EU. (Left) Indicates the availability according to </w:t>
      </w:r>
      <w:r w:rsidR="00642C02">
        <w:rPr>
          <w:rFonts w:eastAsia="Calibri" w:cs="Calibri"/>
          <w:b/>
          <w:bCs/>
          <w:color w:val="4C565C"/>
          <w:sz w:val="18"/>
          <w:szCs w:val="18"/>
          <w:lang w:val="en-GB"/>
        </w:rPr>
        <w:t>the</w:t>
      </w:r>
      <w:r w:rsidRPr="5937A937">
        <w:rPr>
          <w:rFonts w:eastAsia="Calibri" w:cs="Calibri"/>
          <w:b/>
          <w:bCs/>
          <w:color w:val="4C565C"/>
          <w:sz w:val="18"/>
          <w:szCs w:val="18"/>
          <w:lang w:val="en-GB"/>
        </w:rPr>
        <w:t xml:space="preserve"> fuel, (right) indicates </w:t>
      </w:r>
      <w:proofErr w:type="gramStart"/>
      <w:r w:rsidRPr="5937A937">
        <w:rPr>
          <w:rFonts w:eastAsia="Calibri" w:cs="Calibri"/>
          <w:b/>
          <w:bCs/>
          <w:color w:val="4C565C"/>
          <w:sz w:val="18"/>
          <w:szCs w:val="18"/>
          <w:lang w:val="en-GB"/>
        </w:rPr>
        <w:t xml:space="preserve">the </w:t>
      </w:r>
      <w:r w:rsidR="00E50E06">
        <w:rPr>
          <w:rFonts w:eastAsia="Calibri" w:cs="Calibri"/>
          <w:b/>
          <w:bCs/>
          <w:color w:val="4C565C"/>
          <w:sz w:val="18"/>
          <w:szCs w:val="18"/>
          <w:lang w:val="en-GB"/>
        </w:rPr>
        <w:t xml:space="preserve"> compatibility</w:t>
      </w:r>
      <w:proofErr w:type="gramEnd"/>
      <w:r w:rsidR="00E50E06">
        <w:rPr>
          <w:rFonts w:eastAsia="Calibri" w:cs="Calibri"/>
          <w:b/>
          <w:bCs/>
          <w:color w:val="4C565C"/>
          <w:sz w:val="18"/>
          <w:szCs w:val="18"/>
          <w:lang w:val="en-GB"/>
        </w:rPr>
        <w:t xml:space="preserve"> </w:t>
      </w:r>
      <w:r w:rsidR="008B3EEE">
        <w:rPr>
          <w:rFonts w:eastAsia="Calibri" w:cs="Calibri"/>
          <w:b/>
          <w:bCs/>
          <w:color w:val="4C565C"/>
          <w:sz w:val="18"/>
          <w:szCs w:val="18"/>
          <w:lang w:val="en-GB"/>
        </w:rPr>
        <w:t xml:space="preserve">with the current </w:t>
      </w:r>
      <w:r w:rsidRPr="5937A937">
        <w:rPr>
          <w:rFonts w:eastAsia="Calibri" w:cs="Calibri"/>
          <w:b/>
          <w:bCs/>
          <w:color w:val="4C565C"/>
          <w:sz w:val="18"/>
          <w:szCs w:val="18"/>
          <w:lang w:val="en-GB"/>
        </w:rPr>
        <w:t xml:space="preserve"> infrastructure according to the fuel (</w:t>
      </w:r>
      <w:r w:rsidR="00DE4E35">
        <w:rPr>
          <w:rFonts w:eastAsia="Calibri" w:cs="Calibri"/>
          <w:b/>
          <w:bCs/>
          <w:color w:val="4C565C"/>
          <w:sz w:val="18"/>
          <w:szCs w:val="18"/>
          <w:lang w:val="en-GB"/>
        </w:rPr>
        <w:t xml:space="preserve">adapted from: </w:t>
      </w:r>
      <w:proofErr w:type="spellStart"/>
      <w:r w:rsidRPr="5937A937">
        <w:rPr>
          <w:rFonts w:eastAsia="Calibri" w:cs="Calibri"/>
          <w:b/>
          <w:bCs/>
          <w:color w:val="4C565C"/>
          <w:sz w:val="18"/>
          <w:szCs w:val="18"/>
          <w:lang w:val="en-GB"/>
        </w:rPr>
        <w:t>Panoutsou</w:t>
      </w:r>
      <w:proofErr w:type="spellEnd"/>
      <w:r w:rsidRPr="5937A937">
        <w:rPr>
          <w:rFonts w:eastAsia="Calibri" w:cs="Calibri"/>
          <w:b/>
          <w:bCs/>
          <w:color w:val="4C565C"/>
          <w:sz w:val="18"/>
          <w:szCs w:val="18"/>
          <w:lang w:val="en-GB"/>
        </w:rPr>
        <w:t xml:space="preserve"> et al., 2021). </w:t>
      </w:r>
    </w:p>
    <w:p w14:paraId="1394CD63" w14:textId="6D1828C8" w:rsidR="00D8002E" w:rsidRPr="00C33899" w:rsidRDefault="00D8002E" w:rsidP="59587566">
      <w:pPr>
        <w:spacing w:line="360" w:lineRule="auto"/>
        <w:rPr>
          <w:rFonts w:ascii="Times New Roman" w:hAnsi="Times New Roman"/>
          <w:lang w:val="en-GB"/>
        </w:rPr>
      </w:pPr>
    </w:p>
    <w:p w14:paraId="5E04C6BD" w14:textId="05E152CA" w:rsidR="00DD5C73" w:rsidRDefault="306F3BE5" w:rsidP="005D6854">
      <w:pPr>
        <w:pStyle w:val="Heading2"/>
        <w:numPr>
          <w:ilvl w:val="1"/>
          <w:numId w:val="16"/>
        </w:numPr>
      </w:pPr>
      <w:bookmarkStart w:id="42" w:name="_Toc85627871"/>
      <w:r>
        <w:t>Stakeholder mapping</w:t>
      </w:r>
      <w:bookmarkEnd w:id="42"/>
    </w:p>
    <w:p w14:paraId="78491E51" w14:textId="77777777" w:rsidR="00DD5C73" w:rsidRDefault="00DD5C73" w:rsidP="00DD5C73">
      <w:pPr>
        <w:rPr>
          <w:lang w:val="en-GB"/>
        </w:rPr>
      </w:pPr>
    </w:p>
    <w:p w14:paraId="135BC8F4" w14:textId="0D1FDBB9" w:rsidR="00E34495" w:rsidRPr="000205AF" w:rsidRDefault="306F3BE5" w:rsidP="59587566">
      <w:pPr>
        <w:spacing w:after="120" w:line="360" w:lineRule="auto"/>
        <w:ind w:firstLine="720"/>
        <w:rPr>
          <w:sz w:val="22"/>
          <w:szCs w:val="22"/>
        </w:rPr>
      </w:pPr>
      <w:r w:rsidRPr="000205AF">
        <w:rPr>
          <w:rFonts w:eastAsia="Calibri" w:cs="Calibri"/>
          <w:sz w:val="22"/>
          <w:szCs w:val="22"/>
          <w:lang w:val="en-GB"/>
        </w:rPr>
        <w:t>A</w:t>
      </w:r>
      <w:r w:rsidR="00E34495" w:rsidRPr="000205AF">
        <w:rPr>
          <w:rFonts w:eastAsia="Calibri" w:cs="Calibri"/>
          <w:sz w:val="22"/>
          <w:szCs w:val="22"/>
          <w:lang w:val="en-GB"/>
        </w:rPr>
        <w:t xml:space="preserve"> key task when assessing the market uptake of the Bio-HFO is to map out the key stakeholders, understanding motivations and plants. At this moment the potential stakeholders identified are feedstock providers, cellulose </w:t>
      </w:r>
      <w:proofErr w:type="gramStart"/>
      <w:r w:rsidR="00E34495" w:rsidRPr="000205AF">
        <w:rPr>
          <w:rFonts w:eastAsia="Calibri" w:cs="Calibri"/>
          <w:sz w:val="22"/>
          <w:szCs w:val="22"/>
          <w:lang w:val="en-GB"/>
        </w:rPr>
        <w:t>users</w:t>
      </w:r>
      <w:proofErr w:type="gramEnd"/>
      <w:r w:rsidR="00E34495" w:rsidRPr="000205AF">
        <w:rPr>
          <w:rFonts w:eastAsia="Calibri" w:cs="Calibri"/>
          <w:sz w:val="22"/>
          <w:szCs w:val="22"/>
          <w:lang w:val="en-GB"/>
        </w:rPr>
        <w:t xml:space="preserve"> and shipping owners (end users).</w:t>
      </w:r>
    </w:p>
    <w:p w14:paraId="4C059A50" w14:textId="77777777" w:rsidR="00DD5C73" w:rsidRDefault="306F3BE5" w:rsidP="00DC3405">
      <w:pPr>
        <w:pStyle w:val="Heading3"/>
      </w:pPr>
      <w:bookmarkStart w:id="43" w:name="_Toc85627872"/>
      <w:r w:rsidRPr="59587566">
        <w:rPr>
          <w:rFonts w:eastAsia="Calibri"/>
        </w:rPr>
        <w:t>Feedstock Providers</w:t>
      </w:r>
      <w:bookmarkEnd w:id="43"/>
    </w:p>
    <w:p w14:paraId="20C1BDFE" w14:textId="629466D7" w:rsidR="00DD5C73" w:rsidRPr="000205AF" w:rsidRDefault="306F3BE5" w:rsidP="5937A937">
      <w:pPr>
        <w:spacing w:after="120" w:line="360" w:lineRule="auto"/>
        <w:ind w:firstLine="720"/>
        <w:rPr>
          <w:sz w:val="22"/>
          <w:szCs w:val="22"/>
        </w:rPr>
      </w:pPr>
      <w:r w:rsidRPr="5937A937">
        <w:rPr>
          <w:rFonts w:eastAsia="Calibri" w:cs="Calibri"/>
          <w:lang w:val="en-GB"/>
        </w:rPr>
        <w:t xml:space="preserve">Two types of feedstocks are being used </w:t>
      </w:r>
      <w:proofErr w:type="gramStart"/>
      <w:r w:rsidRPr="5937A937">
        <w:rPr>
          <w:rFonts w:eastAsia="Calibri" w:cs="Calibri"/>
          <w:lang w:val="en-GB"/>
        </w:rPr>
        <w:t>for the production of</w:t>
      </w:r>
      <w:proofErr w:type="gramEnd"/>
      <w:r w:rsidRPr="5937A937">
        <w:rPr>
          <w:rFonts w:eastAsia="Calibri" w:cs="Calibri"/>
          <w:lang w:val="en-GB"/>
        </w:rPr>
        <w:t xml:space="preserve"> the Bio-HFO, namely beach (hardwood) and </w:t>
      </w:r>
      <w:r w:rsidR="000F2BDB">
        <w:rPr>
          <w:rFonts w:eastAsia="Calibri" w:cs="Calibri"/>
          <w:lang w:val="en-GB"/>
        </w:rPr>
        <w:t xml:space="preserve">residual </w:t>
      </w:r>
      <w:r w:rsidRPr="5937A937">
        <w:rPr>
          <w:rFonts w:eastAsia="Calibri" w:cs="Calibri"/>
          <w:lang w:val="en-GB"/>
        </w:rPr>
        <w:t>pine (softwood).</w:t>
      </w:r>
      <w:r w:rsidR="00936FB0">
        <w:rPr>
          <w:rFonts w:eastAsia="Calibri" w:cs="Calibri"/>
          <w:sz w:val="22"/>
          <w:szCs w:val="22"/>
          <w:lang w:val="en-GB"/>
        </w:rPr>
        <w:t xml:space="preserve"> </w:t>
      </w:r>
      <w:r w:rsidRPr="000205AF">
        <w:rPr>
          <w:rFonts w:eastAsia="Calibri" w:cs="Calibri"/>
          <w:sz w:val="22"/>
          <w:szCs w:val="22"/>
          <w:lang w:val="en-GB"/>
        </w:rPr>
        <w:t>Beech trees are important timber sources in Europe, as well the most prevalent type in Central Europe. Therefore, increase attention should be paid to the market conditions and forecasting. Studies show that there will be a continuous expansion in the volumes of beech trees</w:t>
      </w:r>
      <w:r w:rsidR="000205AF" w:rsidRPr="000205AF">
        <w:rPr>
          <w:rFonts w:eastAsia="Calibri" w:cs="Calibri"/>
          <w:sz w:val="22"/>
          <w:szCs w:val="22"/>
          <w:lang w:val="en-GB"/>
        </w:rPr>
        <w:t xml:space="preserve"> production</w:t>
      </w:r>
      <w:r w:rsidRPr="000205AF">
        <w:rPr>
          <w:rFonts w:eastAsia="Calibri" w:cs="Calibri"/>
          <w:sz w:val="22"/>
          <w:szCs w:val="22"/>
          <w:lang w:val="en-GB"/>
        </w:rPr>
        <w:t xml:space="preserve"> favoured by higher temperatures and low precipitation. However, it is expected a decay in the southern European region due draughts caused by climate change. Among the competition, chines market is the principal consumer followed by European countries. Their application is mainly for the furniture and woodworking industries (</w:t>
      </w:r>
      <w:proofErr w:type="spellStart"/>
      <w:r w:rsidRPr="000205AF">
        <w:rPr>
          <w:rFonts w:eastAsia="Calibri" w:cs="Calibri"/>
          <w:sz w:val="22"/>
          <w:szCs w:val="22"/>
          <w:lang w:val="en-GB"/>
        </w:rPr>
        <w:t>Kozuch</w:t>
      </w:r>
      <w:proofErr w:type="spellEnd"/>
      <w:r w:rsidRPr="000205AF">
        <w:rPr>
          <w:rFonts w:eastAsia="Calibri" w:cs="Calibri"/>
          <w:sz w:val="22"/>
          <w:szCs w:val="22"/>
          <w:lang w:val="en-GB"/>
        </w:rPr>
        <w:t xml:space="preserve"> &amp; </w:t>
      </w:r>
      <w:proofErr w:type="spellStart"/>
      <w:r w:rsidRPr="000205AF">
        <w:rPr>
          <w:rFonts w:eastAsia="Calibri" w:cs="Calibri"/>
          <w:sz w:val="22"/>
          <w:szCs w:val="22"/>
          <w:lang w:val="en-GB"/>
        </w:rPr>
        <w:t>Banaś</w:t>
      </w:r>
      <w:proofErr w:type="spellEnd"/>
      <w:r w:rsidRPr="000205AF">
        <w:rPr>
          <w:rFonts w:eastAsia="Calibri" w:cs="Calibri"/>
          <w:sz w:val="22"/>
          <w:szCs w:val="22"/>
          <w:lang w:val="en-GB"/>
        </w:rPr>
        <w:t xml:space="preserve">, 2020). </w:t>
      </w:r>
    </w:p>
    <w:p w14:paraId="4E76F6C4" w14:textId="2B654366" w:rsidR="00DD5C73" w:rsidRPr="000205AF" w:rsidRDefault="306F3BE5" w:rsidP="5937A937">
      <w:pPr>
        <w:spacing w:after="120" w:line="360" w:lineRule="auto"/>
        <w:rPr>
          <w:sz w:val="22"/>
          <w:szCs w:val="22"/>
        </w:rPr>
      </w:pPr>
      <w:r w:rsidRPr="000205AF">
        <w:rPr>
          <w:rFonts w:eastAsia="Calibri" w:cs="Calibri"/>
          <w:sz w:val="22"/>
          <w:szCs w:val="22"/>
          <w:lang w:val="en-GB"/>
        </w:rPr>
        <w:t xml:space="preserve"> </w:t>
      </w:r>
      <w:r w:rsidR="00DD5C73" w:rsidRPr="000205AF">
        <w:rPr>
          <w:sz w:val="22"/>
          <w:szCs w:val="22"/>
        </w:rPr>
        <w:tab/>
      </w:r>
      <w:r w:rsidR="000205AF" w:rsidRPr="000205AF">
        <w:rPr>
          <w:rFonts w:eastAsia="Calibri" w:cs="Calibri"/>
          <w:sz w:val="22"/>
          <w:szCs w:val="22"/>
          <w:lang w:val="en-GB"/>
        </w:rPr>
        <w:t xml:space="preserve">Analysis of the market reveals seasonal fluctuations, which can affect the operation cost. Nevertheless, the seasonal variations can be considered of non-statistical significance, as the prices tend to </w:t>
      </w:r>
      <w:proofErr w:type="gramStart"/>
      <w:r w:rsidR="000205AF" w:rsidRPr="000205AF">
        <w:rPr>
          <w:rFonts w:eastAsia="Calibri" w:cs="Calibri"/>
          <w:sz w:val="22"/>
          <w:szCs w:val="22"/>
          <w:lang w:val="en-GB"/>
        </w:rPr>
        <w:t>stabilized</w:t>
      </w:r>
      <w:proofErr w:type="gramEnd"/>
      <w:r w:rsidR="000205AF" w:rsidRPr="000205AF">
        <w:rPr>
          <w:rFonts w:eastAsia="Calibri" w:cs="Calibri"/>
          <w:sz w:val="22"/>
          <w:szCs w:val="22"/>
          <w:lang w:val="en-GB"/>
        </w:rPr>
        <w:t xml:space="preserve"> in the long term (see fig </w:t>
      </w:r>
      <w:r w:rsidR="00841EE8">
        <w:rPr>
          <w:rFonts w:eastAsia="Calibri" w:cs="Calibri"/>
          <w:sz w:val="22"/>
          <w:szCs w:val="22"/>
          <w:lang w:val="en-GB"/>
        </w:rPr>
        <w:t>9</w:t>
      </w:r>
      <w:r w:rsidR="000205AF" w:rsidRPr="000205AF">
        <w:rPr>
          <w:rFonts w:eastAsia="Calibri" w:cs="Calibri"/>
          <w:sz w:val="22"/>
          <w:szCs w:val="22"/>
          <w:lang w:val="en-GB"/>
        </w:rPr>
        <w:t>) (</w:t>
      </w:r>
      <w:proofErr w:type="spellStart"/>
      <w:r w:rsidR="000205AF" w:rsidRPr="000205AF">
        <w:rPr>
          <w:rFonts w:eastAsia="Calibri" w:cs="Calibri"/>
          <w:sz w:val="22"/>
          <w:szCs w:val="22"/>
          <w:lang w:val="en-GB"/>
        </w:rPr>
        <w:t>Kozuch</w:t>
      </w:r>
      <w:proofErr w:type="spellEnd"/>
      <w:r w:rsidR="000205AF" w:rsidRPr="000205AF">
        <w:rPr>
          <w:rFonts w:eastAsia="Calibri" w:cs="Calibri"/>
          <w:sz w:val="22"/>
          <w:szCs w:val="22"/>
          <w:lang w:val="en-GB"/>
        </w:rPr>
        <w:t xml:space="preserve"> &amp; </w:t>
      </w:r>
      <w:proofErr w:type="spellStart"/>
      <w:r w:rsidR="000205AF" w:rsidRPr="000205AF">
        <w:rPr>
          <w:rFonts w:eastAsia="Calibri" w:cs="Calibri"/>
          <w:sz w:val="22"/>
          <w:szCs w:val="22"/>
          <w:lang w:val="en-GB"/>
        </w:rPr>
        <w:t>Banaś</w:t>
      </w:r>
      <w:proofErr w:type="spellEnd"/>
      <w:r w:rsidR="000205AF" w:rsidRPr="000205AF">
        <w:rPr>
          <w:rFonts w:eastAsia="Calibri" w:cs="Calibri"/>
          <w:sz w:val="22"/>
          <w:szCs w:val="22"/>
          <w:lang w:val="en-GB"/>
        </w:rPr>
        <w:t>, 2020). Long- and medium-term contracts are preferred rather spot negotiations to avoid seasonal variations or shortage, reflecting in more stable prices and liability on feedstock offer, especially considering the growing demand.</w:t>
      </w:r>
    </w:p>
    <w:p w14:paraId="3A5E4A73" w14:textId="7BAB0BF3" w:rsidR="00DD5C73" w:rsidRDefault="00DD5C73" w:rsidP="5937A937">
      <w:pPr>
        <w:rPr>
          <w:rFonts w:eastAsia="Calibri" w:cs="Calibri"/>
          <w:lang w:val="en-GB"/>
        </w:rPr>
      </w:pPr>
    </w:p>
    <w:p w14:paraId="5E40529C" w14:textId="77777777" w:rsidR="00DD5C73" w:rsidRDefault="00DD5C73" w:rsidP="5937A937">
      <w:pPr>
        <w:jc w:val="center"/>
        <w:rPr>
          <w:rFonts w:eastAsia="Calibri" w:cs="Calibri"/>
          <w:lang w:val="en-GB"/>
        </w:rPr>
      </w:pPr>
    </w:p>
    <w:p w14:paraId="64AE1452" w14:textId="77777777" w:rsidR="00DD5C73" w:rsidRDefault="306F3BE5" w:rsidP="5937A937">
      <w:pPr>
        <w:jc w:val="center"/>
      </w:pPr>
      <w:r w:rsidRPr="5937A937">
        <w:rPr>
          <w:rFonts w:eastAsia="Calibri" w:cs="Calibri"/>
          <w:lang w:val="en-GB"/>
        </w:rPr>
        <w:lastRenderedPageBreak/>
        <w:t xml:space="preserve"> </w:t>
      </w:r>
      <w:r>
        <w:rPr>
          <w:noProof/>
        </w:rPr>
        <w:drawing>
          <wp:inline distT="0" distB="0" distL="0" distR="0" wp14:anchorId="73E66F3D" wp14:editId="379F4658">
            <wp:extent cx="4572000" cy="2543175"/>
            <wp:effectExtent l="0" t="0" r="0" b="0"/>
            <wp:docPr id="10" name="Picture 1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2">
                      <a:extLst>
                        <a:ext uri="{28A0092B-C50C-407E-A947-70E740481C1C}">
                          <a14:useLocalDpi xmlns:a14="http://schemas.microsoft.com/office/drawing/2010/main" val="0"/>
                        </a:ext>
                      </a:extLst>
                    </a:blip>
                    <a:stretch>
                      <a:fillRect/>
                    </a:stretch>
                  </pic:blipFill>
                  <pic:spPr>
                    <a:xfrm>
                      <a:off x="0" y="0"/>
                      <a:ext cx="4572000" cy="2543175"/>
                    </a:xfrm>
                    <a:prstGeom prst="rect">
                      <a:avLst/>
                    </a:prstGeom>
                  </pic:spPr>
                </pic:pic>
              </a:graphicData>
            </a:graphic>
          </wp:inline>
        </w:drawing>
      </w:r>
    </w:p>
    <w:p w14:paraId="054E6BFA" w14:textId="0753694E" w:rsidR="00DD5C73" w:rsidRPr="00BF2D47" w:rsidRDefault="306F3BE5" w:rsidP="00DD5C73">
      <w:r w:rsidRPr="5937A937">
        <w:rPr>
          <w:rFonts w:eastAsia="Calibri" w:cs="Calibri"/>
          <w:b/>
          <w:bCs/>
          <w:color w:val="4C565C"/>
          <w:sz w:val="18"/>
          <w:szCs w:val="18"/>
          <w:lang w:val="en-GB"/>
        </w:rPr>
        <w:t xml:space="preserve">Figure </w:t>
      </w:r>
      <w:r w:rsidR="7841D259" w:rsidRPr="5937A937">
        <w:rPr>
          <w:rFonts w:eastAsia="Calibri" w:cs="Calibri"/>
          <w:b/>
          <w:bCs/>
          <w:color w:val="4C565C"/>
          <w:sz w:val="18"/>
          <w:szCs w:val="18"/>
          <w:lang w:val="en-GB"/>
        </w:rPr>
        <w:t>9</w:t>
      </w:r>
      <w:r w:rsidRPr="5937A937">
        <w:rPr>
          <w:rFonts w:eastAsia="Calibri" w:cs="Calibri"/>
          <w:b/>
          <w:bCs/>
          <w:color w:val="4C565C"/>
          <w:sz w:val="18"/>
          <w:szCs w:val="18"/>
          <w:lang w:val="en-GB"/>
        </w:rPr>
        <w:t>. Nominal prices of beech roundwood in mayor European producer countries from 2005-</w:t>
      </w:r>
      <w:r w:rsidR="34FCA6EB" w:rsidRPr="5937A937">
        <w:rPr>
          <w:rFonts w:eastAsia="Calibri" w:cs="Calibri"/>
          <w:b/>
          <w:bCs/>
          <w:color w:val="4C565C"/>
          <w:sz w:val="18"/>
          <w:szCs w:val="18"/>
          <w:lang w:val="en-GB"/>
        </w:rPr>
        <w:t>2008</w:t>
      </w:r>
      <w:r w:rsidR="00BF2D47">
        <w:rPr>
          <w:rFonts w:eastAsia="Calibri" w:cs="Calibri"/>
          <w:b/>
          <w:bCs/>
          <w:color w:val="4C565C"/>
          <w:sz w:val="18"/>
          <w:szCs w:val="18"/>
          <w:lang w:val="en-GB"/>
        </w:rPr>
        <w:t xml:space="preserve"> </w:t>
      </w:r>
      <w:r w:rsidR="00BF2D47" w:rsidRPr="00BF2D47">
        <w:rPr>
          <w:rFonts w:eastAsia="Calibri" w:cs="Calibri"/>
          <w:b/>
          <w:bCs/>
          <w:color w:val="4C565C"/>
          <w:sz w:val="18"/>
          <w:szCs w:val="18"/>
          <w:lang w:val="en-GB"/>
        </w:rPr>
        <w:t xml:space="preserve">(source: </w:t>
      </w:r>
      <w:proofErr w:type="spellStart"/>
      <w:r w:rsidR="00BF2D47" w:rsidRPr="00BF2D47">
        <w:rPr>
          <w:rFonts w:eastAsia="Calibri" w:cs="Calibri"/>
          <w:b/>
          <w:bCs/>
          <w:color w:val="4C565C"/>
          <w:sz w:val="18"/>
          <w:szCs w:val="18"/>
          <w:lang w:val="en-GB"/>
        </w:rPr>
        <w:t>Kozuch</w:t>
      </w:r>
      <w:proofErr w:type="spellEnd"/>
      <w:r w:rsidR="00BF2D47" w:rsidRPr="00BF2D47">
        <w:rPr>
          <w:rFonts w:eastAsia="Calibri" w:cs="Calibri"/>
          <w:b/>
          <w:bCs/>
          <w:color w:val="4C565C"/>
          <w:sz w:val="18"/>
          <w:szCs w:val="18"/>
          <w:lang w:val="en-GB"/>
        </w:rPr>
        <w:t xml:space="preserve"> &amp; </w:t>
      </w:r>
      <w:proofErr w:type="spellStart"/>
      <w:r w:rsidR="00BF2D47" w:rsidRPr="00BF2D47">
        <w:rPr>
          <w:rFonts w:eastAsia="Calibri" w:cs="Calibri"/>
          <w:b/>
          <w:bCs/>
          <w:color w:val="4C565C"/>
          <w:sz w:val="18"/>
          <w:szCs w:val="18"/>
          <w:lang w:val="en-GB"/>
        </w:rPr>
        <w:t>Banaś</w:t>
      </w:r>
      <w:proofErr w:type="spellEnd"/>
      <w:r w:rsidR="00BF2D47" w:rsidRPr="00BF2D47">
        <w:rPr>
          <w:rFonts w:eastAsia="Calibri" w:cs="Calibri"/>
          <w:b/>
          <w:bCs/>
          <w:color w:val="4C565C"/>
          <w:sz w:val="18"/>
          <w:szCs w:val="18"/>
          <w:lang w:val="en-GB"/>
        </w:rPr>
        <w:t>, 2020)</w:t>
      </w:r>
      <w:r w:rsidR="34FCA6EB" w:rsidRPr="5937A937">
        <w:rPr>
          <w:rFonts w:eastAsia="Calibri" w:cs="Calibri"/>
          <w:b/>
          <w:bCs/>
          <w:color w:val="4C565C"/>
          <w:sz w:val="18"/>
          <w:szCs w:val="18"/>
          <w:lang w:val="en-GB"/>
        </w:rPr>
        <w:t xml:space="preserve"> </w:t>
      </w:r>
    </w:p>
    <w:p w14:paraId="2C9115A9" w14:textId="77777777" w:rsidR="00DD5C73" w:rsidRPr="00BF2D47" w:rsidRDefault="00DD5C73" w:rsidP="00DD5C73">
      <w:pPr>
        <w:rPr>
          <w:rFonts w:eastAsia="Calibri" w:cs="Calibri"/>
          <w:color w:val="4C565C"/>
          <w:sz w:val="18"/>
          <w:szCs w:val="18"/>
          <w:lang w:val="en-GB"/>
        </w:rPr>
      </w:pPr>
    </w:p>
    <w:p w14:paraId="68B24ABC" w14:textId="3D790E74" w:rsidR="00C12A08" w:rsidRDefault="000205AF" w:rsidP="000205AF">
      <w:pPr>
        <w:spacing w:after="120" w:line="360" w:lineRule="auto"/>
        <w:ind w:firstLine="720"/>
        <w:rPr>
          <w:rStyle w:val="normaltextrun"/>
          <w:rFonts w:cs="Calibri"/>
          <w:color w:val="1F1F1F"/>
          <w:sz w:val="22"/>
          <w:szCs w:val="22"/>
          <w:shd w:val="clear" w:color="auto" w:fill="FFFFFF"/>
        </w:rPr>
      </w:pPr>
      <w:r w:rsidRPr="000205AF">
        <w:rPr>
          <w:rStyle w:val="normaltextrun"/>
          <w:rFonts w:cs="Calibri"/>
          <w:color w:val="1F1F1F"/>
          <w:sz w:val="22"/>
          <w:szCs w:val="22"/>
          <w:shd w:val="clear" w:color="auto" w:fill="FFFFFF"/>
        </w:rPr>
        <w:t xml:space="preserve">Softwood production, particularly in central Europe and Sweden, is in continuous increase. The increased offer leads to lower price, as depicted in </w:t>
      </w:r>
      <w:r w:rsidR="00860423" w:rsidRPr="000205AF">
        <w:rPr>
          <w:rStyle w:val="normaltextrun"/>
          <w:rFonts w:cs="Calibri"/>
          <w:color w:val="1F1F1F"/>
          <w:sz w:val="22"/>
          <w:szCs w:val="22"/>
          <w:shd w:val="clear" w:color="auto" w:fill="FFFFFF"/>
        </w:rPr>
        <w:t>Figure</w:t>
      </w:r>
      <w:r w:rsidRPr="000205AF">
        <w:rPr>
          <w:rStyle w:val="normaltextrun"/>
          <w:rFonts w:cs="Calibri"/>
          <w:color w:val="1F1F1F"/>
          <w:sz w:val="22"/>
          <w:szCs w:val="22"/>
          <w:shd w:val="clear" w:color="auto" w:fill="FFFFFF"/>
        </w:rPr>
        <w:t xml:space="preserve"> </w:t>
      </w:r>
      <w:r>
        <w:rPr>
          <w:rStyle w:val="normaltextrun"/>
          <w:rFonts w:cs="Calibri"/>
          <w:color w:val="1F1F1F"/>
          <w:sz w:val="22"/>
          <w:szCs w:val="22"/>
          <w:shd w:val="clear" w:color="auto" w:fill="FFFFFF"/>
        </w:rPr>
        <w:t>10</w:t>
      </w:r>
      <w:r w:rsidRPr="000205AF">
        <w:rPr>
          <w:rStyle w:val="normaltextrun"/>
          <w:rFonts w:cs="Calibri"/>
          <w:color w:val="1F1F1F"/>
          <w:sz w:val="22"/>
          <w:szCs w:val="22"/>
          <w:shd w:val="clear" w:color="auto" w:fill="FFFFFF"/>
        </w:rPr>
        <w:t>, and higher local availability and, consequently, lower risk regarding</w:t>
      </w:r>
      <w:r w:rsidR="002D541D">
        <w:rPr>
          <w:rStyle w:val="normaltextrun"/>
          <w:rFonts w:cs="Calibri"/>
          <w:color w:val="1F1F1F"/>
          <w:sz w:val="22"/>
          <w:szCs w:val="22"/>
          <w:shd w:val="clear" w:color="auto" w:fill="FFFFFF"/>
        </w:rPr>
        <w:t xml:space="preserve"> waste</w:t>
      </w:r>
      <w:r w:rsidRPr="000205AF">
        <w:rPr>
          <w:rStyle w:val="normaltextrun"/>
          <w:rFonts w:cs="Calibri"/>
          <w:color w:val="1F1F1F"/>
          <w:sz w:val="22"/>
          <w:szCs w:val="22"/>
          <w:shd w:val="clear" w:color="auto" w:fill="FFFFFF"/>
        </w:rPr>
        <w:t xml:space="preserve"> softwood availability is foreseen.</w:t>
      </w:r>
      <w:r w:rsidR="003D0C09">
        <w:rPr>
          <w:rStyle w:val="normaltextrun"/>
          <w:rFonts w:cs="Calibri"/>
          <w:color w:val="1F1F1F"/>
          <w:sz w:val="22"/>
          <w:szCs w:val="22"/>
          <w:shd w:val="clear" w:color="auto" w:fill="FFFFFF"/>
        </w:rPr>
        <w:t xml:space="preserve"> </w:t>
      </w:r>
    </w:p>
    <w:p w14:paraId="66FB5C11" w14:textId="77777777" w:rsidR="000205AF" w:rsidRPr="00C12A08" w:rsidRDefault="000205AF" w:rsidP="5937A937">
      <w:pPr>
        <w:spacing w:after="120" w:line="360" w:lineRule="auto"/>
        <w:rPr>
          <w:rFonts w:eastAsia="Calibri" w:cs="Calibri"/>
          <w:sz w:val="22"/>
          <w:szCs w:val="22"/>
          <w:lang w:val="en-GB"/>
        </w:rPr>
      </w:pPr>
    </w:p>
    <w:p w14:paraId="6CBF49AC" w14:textId="0576FE36" w:rsidR="0E091B9D" w:rsidRDefault="0E091B9D" w:rsidP="5937A937">
      <w:pPr>
        <w:spacing w:after="120" w:line="360" w:lineRule="auto"/>
        <w:jc w:val="center"/>
      </w:pPr>
      <w:r>
        <w:rPr>
          <w:noProof/>
        </w:rPr>
        <w:drawing>
          <wp:inline distT="0" distB="0" distL="0" distR="0" wp14:anchorId="552A62AE" wp14:editId="4F255E43">
            <wp:extent cx="3400425" cy="3067050"/>
            <wp:effectExtent l="0" t="0" r="0" b="0"/>
            <wp:docPr id="1079903180" name="Picture 107990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400425" cy="3067050"/>
                    </a:xfrm>
                    <a:prstGeom prst="rect">
                      <a:avLst/>
                    </a:prstGeom>
                  </pic:spPr>
                </pic:pic>
              </a:graphicData>
            </a:graphic>
          </wp:inline>
        </w:drawing>
      </w:r>
    </w:p>
    <w:p w14:paraId="12CB82E1" w14:textId="4B14F517" w:rsidR="0E091B9D" w:rsidRDefault="0E091B9D" w:rsidP="5937A937">
      <w:pPr>
        <w:jc w:val="center"/>
      </w:pPr>
      <w:r w:rsidRPr="5937A937">
        <w:rPr>
          <w:rFonts w:eastAsia="Calibri" w:cs="Calibri"/>
          <w:b/>
          <w:bCs/>
          <w:color w:val="4C565C"/>
          <w:sz w:val="18"/>
          <w:szCs w:val="18"/>
          <w:lang w:val="en-GB"/>
        </w:rPr>
        <w:t>Figure 10. European softwood trade 2015-2019 (</w:t>
      </w:r>
      <w:r w:rsidR="00BF2D47">
        <w:rPr>
          <w:rFonts w:eastAsia="Calibri" w:cs="Calibri"/>
          <w:b/>
          <w:bCs/>
          <w:color w:val="4C565C"/>
          <w:sz w:val="18"/>
          <w:szCs w:val="18"/>
          <w:lang w:val="en-GB"/>
        </w:rPr>
        <w:t xml:space="preserve">source: </w:t>
      </w:r>
      <w:r w:rsidRPr="5937A937">
        <w:rPr>
          <w:rFonts w:eastAsia="Calibri" w:cs="Calibri"/>
          <w:b/>
          <w:bCs/>
          <w:color w:val="4C565C"/>
          <w:sz w:val="18"/>
          <w:szCs w:val="18"/>
          <w:lang w:val="en-GB"/>
        </w:rPr>
        <w:t>UNECE/FAO, 2020)</w:t>
      </w:r>
    </w:p>
    <w:p w14:paraId="08EEA3F5" w14:textId="3498AD65" w:rsidR="5937A937" w:rsidRDefault="5937A937" w:rsidP="5937A937">
      <w:pPr>
        <w:spacing w:after="120" w:line="360" w:lineRule="auto"/>
        <w:jc w:val="center"/>
        <w:rPr>
          <w:szCs w:val="21"/>
        </w:rPr>
      </w:pPr>
    </w:p>
    <w:p w14:paraId="6A067FED" w14:textId="34F0525B" w:rsidR="00DD5C73" w:rsidRDefault="306F3BE5" w:rsidP="00DC3405">
      <w:pPr>
        <w:pStyle w:val="Heading3"/>
      </w:pPr>
      <w:bookmarkStart w:id="44" w:name="_Toc85627873"/>
      <w:r w:rsidRPr="59587566">
        <w:rPr>
          <w:rFonts w:eastAsia="Calibri"/>
        </w:rPr>
        <w:t>Cellulose users</w:t>
      </w:r>
      <w:bookmarkEnd w:id="44"/>
    </w:p>
    <w:p w14:paraId="7663C93A" w14:textId="158D19D5" w:rsidR="00DD5C73" w:rsidRDefault="306F3BE5" w:rsidP="00C07FF4">
      <w:pPr>
        <w:spacing w:after="120" w:line="360" w:lineRule="auto"/>
        <w:ind w:firstLine="720"/>
        <w:rPr>
          <w:rFonts w:eastAsia="Calibri" w:cs="Calibri"/>
          <w:sz w:val="22"/>
          <w:szCs w:val="22"/>
          <w:lang w:val="en-GB"/>
        </w:rPr>
      </w:pPr>
      <w:proofErr w:type="gramStart"/>
      <w:r w:rsidRPr="00EA4AC9">
        <w:rPr>
          <w:rFonts w:eastAsia="Calibri" w:cs="Calibri"/>
          <w:sz w:val="22"/>
          <w:szCs w:val="22"/>
          <w:lang w:val="en-GB"/>
        </w:rPr>
        <w:t>In order to</w:t>
      </w:r>
      <w:proofErr w:type="gramEnd"/>
      <w:r w:rsidRPr="00EA4AC9">
        <w:rPr>
          <w:rFonts w:eastAsia="Calibri" w:cs="Calibri"/>
          <w:sz w:val="22"/>
          <w:szCs w:val="22"/>
          <w:lang w:val="en-GB"/>
        </w:rPr>
        <w:t xml:space="preserve"> produce the Bio-HFO, cellulose from woody biomass needs to be removed. However, due to possible changes in legislation, and in general to increase the sustainability overview of the project</w:t>
      </w:r>
      <w:r w:rsidR="006A05E9" w:rsidRPr="00EA4AC9">
        <w:rPr>
          <w:rFonts w:eastAsia="Calibri" w:cs="Calibri"/>
          <w:sz w:val="22"/>
          <w:szCs w:val="22"/>
          <w:lang w:val="en-GB"/>
        </w:rPr>
        <w:t xml:space="preserve"> is necessary to ensure its </w:t>
      </w:r>
      <w:r w:rsidR="00A33772" w:rsidRPr="00EA4AC9">
        <w:rPr>
          <w:rFonts w:eastAsia="Calibri" w:cs="Calibri"/>
          <w:sz w:val="22"/>
          <w:szCs w:val="22"/>
          <w:lang w:val="en-GB"/>
        </w:rPr>
        <w:t xml:space="preserve">(high) </w:t>
      </w:r>
      <w:r w:rsidR="00EA4AC9" w:rsidRPr="00EA4AC9">
        <w:rPr>
          <w:rFonts w:eastAsia="Calibri" w:cs="Calibri"/>
          <w:sz w:val="22"/>
          <w:szCs w:val="22"/>
          <w:lang w:val="en-GB"/>
        </w:rPr>
        <w:t>valorisation</w:t>
      </w:r>
      <w:r w:rsidR="00A33772" w:rsidRPr="00EA4AC9">
        <w:rPr>
          <w:rFonts w:eastAsia="Calibri" w:cs="Calibri"/>
          <w:sz w:val="22"/>
          <w:szCs w:val="22"/>
          <w:lang w:val="en-GB"/>
        </w:rPr>
        <w:t>.</w:t>
      </w:r>
      <w:r w:rsidR="00936FB0">
        <w:rPr>
          <w:sz w:val="22"/>
          <w:szCs w:val="22"/>
        </w:rPr>
        <w:t xml:space="preserve"> </w:t>
      </w:r>
      <w:r w:rsidR="00EA4AC9" w:rsidRPr="00EA4AC9">
        <w:rPr>
          <w:rStyle w:val="normaltextrun"/>
          <w:rFonts w:cs="Calibri"/>
          <w:color w:val="1F1F1F"/>
          <w:sz w:val="22"/>
          <w:szCs w:val="22"/>
          <w:shd w:val="clear" w:color="auto" w:fill="FFFFFF"/>
          <w:lang w:val="en-GB"/>
        </w:rPr>
        <w:t xml:space="preserve">Cellulose can have different market application such as pulp and </w:t>
      </w:r>
      <w:r w:rsidR="00EA4AC9" w:rsidRPr="00EA4AC9">
        <w:rPr>
          <w:rStyle w:val="normaltextrun"/>
          <w:rFonts w:cs="Calibri"/>
          <w:color w:val="1F1F1F"/>
          <w:sz w:val="22"/>
          <w:szCs w:val="22"/>
          <w:shd w:val="clear" w:color="auto" w:fill="FFFFFF"/>
          <w:lang w:val="en-GB"/>
        </w:rPr>
        <w:lastRenderedPageBreak/>
        <w:t xml:space="preserve">paper, or </w:t>
      </w:r>
      <w:proofErr w:type="gramStart"/>
      <w:r w:rsidR="00EA4AC9" w:rsidRPr="00EA4AC9">
        <w:rPr>
          <w:rStyle w:val="normaltextrun"/>
          <w:rFonts w:cs="Calibri"/>
          <w:color w:val="1F1F1F"/>
          <w:sz w:val="22"/>
          <w:szCs w:val="22"/>
          <w:shd w:val="clear" w:color="auto" w:fill="FFFFFF"/>
          <w:lang w:val="en-GB"/>
        </w:rPr>
        <w:t>for the production of</w:t>
      </w:r>
      <w:proofErr w:type="gramEnd"/>
      <w:r w:rsidR="00EA4AC9" w:rsidRPr="00EA4AC9">
        <w:rPr>
          <w:rStyle w:val="normaltextrun"/>
          <w:rFonts w:cs="Calibri"/>
          <w:color w:val="1F1F1F"/>
          <w:sz w:val="22"/>
          <w:szCs w:val="22"/>
          <w:shd w:val="clear" w:color="auto" w:fill="FFFFFF"/>
          <w:lang w:val="en-GB"/>
        </w:rPr>
        <w:t xml:space="preserve"> chemical. Pulp and paper are expected to remain the major shareholder followed by personal care industry </w:t>
      </w:r>
      <w:r w:rsidR="00EA4AC9">
        <w:rPr>
          <w:rStyle w:val="normaltextrun"/>
          <w:rFonts w:cs="Calibri"/>
          <w:color w:val="1F1F1F"/>
          <w:sz w:val="22"/>
          <w:szCs w:val="22"/>
          <w:shd w:val="clear" w:color="auto" w:fill="FFFFFF"/>
          <w:lang w:val="en-GB"/>
        </w:rPr>
        <w:fldChar w:fldCharType="begin" w:fldLock="1"/>
      </w:r>
      <w:r w:rsidR="0028142C">
        <w:rPr>
          <w:rStyle w:val="normaltextrun"/>
          <w:rFonts w:cs="Calibri"/>
          <w:color w:val="1F1F1F"/>
          <w:sz w:val="22"/>
          <w:szCs w:val="22"/>
          <w:shd w:val="clear" w:color="auto" w:fill="FFFFFF"/>
          <w:lang w:val="en-GB"/>
        </w:rPr>
        <w:instrText>ADDIN CSL_CITATION {"citationItems":[{"id":"ITEM-1","itemData":{"author":[{"dropping-particle":"","family":"Fortune Business Insights","given":"","non-dropping-particle":"","parse-names":false,"suffix":""}],"container-title":"Market Researsh report","id":"ITEM-1","issued":{"date-parts":[["2020"]]},"title":"Cellulose Market Size, Share &amp; Industry Analysis","type":"article-newspaper"},"uris":["http://www.mendeley.com/documents/?uuid=320e21fe-0018-4ced-85e1-e1cd1f777ea5"]}],"mendeley":{"formattedCitation":"(Fortune Business Insights, 2020)","plainTextFormattedCitation":"(Fortune Business Insights, 2020)","previouslyFormattedCitation":"(Fortune Business Insights, 2020)"},"properties":{"noteIndex":0},"schema":"https://github.com/citation-style-language/schema/raw/master/csl-citation.json"}</w:instrText>
      </w:r>
      <w:r w:rsidR="00EA4AC9">
        <w:rPr>
          <w:rStyle w:val="normaltextrun"/>
          <w:rFonts w:cs="Calibri"/>
          <w:color w:val="1F1F1F"/>
          <w:sz w:val="22"/>
          <w:szCs w:val="22"/>
          <w:shd w:val="clear" w:color="auto" w:fill="FFFFFF"/>
          <w:lang w:val="en-GB"/>
        </w:rPr>
        <w:fldChar w:fldCharType="separate"/>
      </w:r>
      <w:r w:rsidR="00EA4AC9" w:rsidRPr="00EA4AC9">
        <w:rPr>
          <w:rStyle w:val="normaltextrun"/>
          <w:rFonts w:cs="Calibri"/>
          <w:noProof/>
          <w:color w:val="1F1F1F"/>
          <w:sz w:val="22"/>
          <w:szCs w:val="22"/>
          <w:shd w:val="clear" w:color="auto" w:fill="FFFFFF"/>
          <w:lang w:val="en-GB"/>
        </w:rPr>
        <w:t>(Fortune Business Insights, 2020)</w:t>
      </w:r>
      <w:r w:rsidR="00EA4AC9">
        <w:rPr>
          <w:rStyle w:val="normaltextrun"/>
          <w:rFonts w:cs="Calibri"/>
          <w:color w:val="1F1F1F"/>
          <w:sz w:val="22"/>
          <w:szCs w:val="22"/>
          <w:shd w:val="clear" w:color="auto" w:fill="FFFFFF"/>
          <w:lang w:val="en-GB"/>
        </w:rPr>
        <w:fldChar w:fldCharType="end"/>
      </w:r>
      <w:r w:rsidR="00EA4AC9">
        <w:rPr>
          <w:rStyle w:val="normaltextrun"/>
          <w:rFonts w:cs="Calibri"/>
          <w:color w:val="1F1F1F"/>
          <w:sz w:val="22"/>
          <w:szCs w:val="22"/>
          <w:shd w:val="clear" w:color="auto" w:fill="FFFFFF"/>
          <w:lang w:val="en-GB"/>
        </w:rPr>
        <w:t>.</w:t>
      </w:r>
      <w:r w:rsidRPr="00EA4AC9">
        <w:rPr>
          <w:rFonts w:eastAsia="Calibri" w:cs="Calibri"/>
          <w:sz w:val="22"/>
          <w:szCs w:val="22"/>
          <w:lang w:val="en-GB"/>
        </w:rPr>
        <w:t xml:space="preserve"> Using the environmental leverage of the higher sustainability of IDEALFUEL’s process, can be of advantage to convince this uses of acquiring the cellulose</w:t>
      </w:r>
      <w:proofErr w:type="gramStart"/>
      <w:r w:rsidRPr="00EA4AC9">
        <w:rPr>
          <w:rFonts w:eastAsia="Calibri" w:cs="Calibri"/>
          <w:sz w:val="22"/>
          <w:szCs w:val="22"/>
          <w:lang w:val="en-GB"/>
        </w:rPr>
        <w:t xml:space="preserve">. </w:t>
      </w:r>
      <w:r w:rsidR="00EF63FE">
        <w:rPr>
          <w:rFonts w:eastAsia="Calibri" w:cs="Calibri"/>
          <w:sz w:val="22"/>
          <w:szCs w:val="22"/>
          <w:lang w:val="en-GB"/>
        </w:rPr>
        <w:t xml:space="preserve"> </w:t>
      </w:r>
      <w:proofErr w:type="gramEnd"/>
      <w:r w:rsidR="00EF63FE">
        <w:rPr>
          <w:rFonts w:eastAsia="Calibri" w:cs="Calibri"/>
          <w:sz w:val="22"/>
          <w:szCs w:val="22"/>
          <w:lang w:val="en-GB"/>
        </w:rPr>
        <w:t>As alternative is the possibility of internal valorisation.</w:t>
      </w:r>
    </w:p>
    <w:p w14:paraId="0BE857B2" w14:textId="77777777" w:rsidR="00DC3405" w:rsidRPr="00DC3405" w:rsidRDefault="00DC3405" w:rsidP="5937A937">
      <w:pPr>
        <w:spacing w:after="120" w:line="360" w:lineRule="auto"/>
        <w:rPr>
          <w:rFonts w:eastAsia="Calibri" w:cs="Calibri"/>
          <w:sz w:val="22"/>
          <w:szCs w:val="22"/>
          <w:lang w:val="en-GB"/>
        </w:rPr>
      </w:pPr>
    </w:p>
    <w:p w14:paraId="6D2B9D18" w14:textId="67B1056D" w:rsidR="00DD5C73" w:rsidRDefault="306F3BE5" w:rsidP="00DC3405">
      <w:pPr>
        <w:pStyle w:val="Heading3"/>
      </w:pPr>
      <w:r w:rsidRPr="59587566">
        <w:rPr>
          <w:rFonts w:eastAsia="Times New Roman"/>
          <w:sz w:val="14"/>
          <w:szCs w:val="14"/>
        </w:rPr>
        <w:t xml:space="preserve"> </w:t>
      </w:r>
      <w:bookmarkStart w:id="45" w:name="_Toc85627874"/>
      <w:r w:rsidRPr="59587566">
        <w:rPr>
          <w:rFonts w:eastAsia="Calibri"/>
        </w:rPr>
        <w:t>Ship owners</w:t>
      </w:r>
      <w:bookmarkEnd w:id="45"/>
    </w:p>
    <w:p w14:paraId="4A64C191" w14:textId="43037AE9" w:rsidR="00667846" w:rsidRPr="0045629F" w:rsidRDefault="306F3BE5" w:rsidP="00C07FF4">
      <w:pPr>
        <w:spacing w:after="120" w:line="360" w:lineRule="auto"/>
        <w:rPr>
          <w:lang w:val="en-GB"/>
        </w:rPr>
      </w:pPr>
      <w:r w:rsidRPr="5937A937">
        <w:rPr>
          <w:rFonts w:eastAsia="Calibri" w:cs="Calibri"/>
          <w:lang w:val="en-GB"/>
        </w:rPr>
        <w:t xml:space="preserve"> </w:t>
      </w:r>
      <w:r w:rsidR="00DD5C73">
        <w:tab/>
      </w:r>
      <w:r w:rsidRPr="00EA4AC9">
        <w:rPr>
          <w:rFonts w:eastAsia="Calibri" w:cs="Calibri"/>
          <w:sz w:val="22"/>
          <w:szCs w:val="22"/>
          <w:lang w:val="en-GB"/>
        </w:rPr>
        <w:t>Lignin based fuels are not familiar to the shipping industry. Recently AP Moller-Maersk announced their interest in methanol-lignin blends to increase the energy density of methanol</w:t>
      </w:r>
      <w:proofErr w:type="gramStart"/>
      <w:r w:rsidRPr="00EA4AC9">
        <w:rPr>
          <w:rFonts w:eastAsia="Calibri" w:cs="Calibri"/>
          <w:sz w:val="22"/>
          <w:szCs w:val="22"/>
          <w:lang w:val="en-GB"/>
        </w:rPr>
        <w:t xml:space="preserve">.  </w:t>
      </w:r>
      <w:proofErr w:type="gramEnd"/>
      <w:r w:rsidRPr="00EA4AC9">
        <w:rPr>
          <w:rFonts w:eastAsia="Calibri" w:cs="Calibri"/>
          <w:sz w:val="22"/>
          <w:szCs w:val="22"/>
          <w:lang w:val="en-GB"/>
        </w:rPr>
        <w:t>Maersk has the intention to run ships of 2000 TEU on methanol (Team, 2021). However, the use of a lignin-based fuel in the s</w:t>
      </w:r>
      <w:r w:rsidR="009875C6">
        <w:rPr>
          <w:rFonts w:eastAsia="Calibri" w:cs="Calibri"/>
          <w:sz w:val="22"/>
          <w:szCs w:val="22"/>
          <w:lang w:val="en-GB"/>
        </w:rPr>
        <w:t>h</w:t>
      </w:r>
      <w:r w:rsidRPr="00EA4AC9">
        <w:rPr>
          <w:rFonts w:eastAsia="Calibri" w:cs="Calibri"/>
          <w:sz w:val="22"/>
          <w:szCs w:val="22"/>
          <w:lang w:val="en-GB"/>
        </w:rPr>
        <w:t xml:space="preserve">ipping industry is yet to be proved, especially as a HFO equivalent. As a drop-in, the Bio-HFO is an attractive fuel, and demonstration project in large bunkering ports such as the Port of Rotterdam can influence </w:t>
      </w:r>
      <w:r w:rsidR="000205AF">
        <w:rPr>
          <w:rFonts w:eastAsia="Calibri" w:cs="Calibri"/>
          <w:sz w:val="22"/>
          <w:szCs w:val="22"/>
          <w:lang w:val="en-GB"/>
        </w:rPr>
        <w:t xml:space="preserve">public </w:t>
      </w:r>
      <w:r w:rsidR="000205AF" w:rsidRPr="00EA4AC9">
        <w:rPr>
          <w:rFonts w:eastAsia="Calibri" w:cs="Calibri"/>
          <w:sz w:val="22"/>
          <w:szCs w:val="22"/>
          <w:lang w:val="en-GB"/>
        </w:rPr>
        <w:t xml:space="preserve">opinion </w:t>
      </w:r>
      <w:r w:rsidRPr="00EA4AC9">
        <w:rPr>
          <w:rFonts w:eastAsia="Calibri" w:cs="Calibri"/>
          <w:sz w:val="22"/>
          <w:szCs w:val="22"/>
          <w:lang w:val="en-GB"/>
        </w:rPr>
        <w:t>significantly. The support of the port authorities can trigger demand. Once the demand increases, the systems and infrastructure needed will follow.</w:t>
      </w:r>
    </w:p>
    <w:p w14:paraId="749E853A" w14:textId="4F090C27" w:rsidR="007A4C09" w:rsidRPr="007A4C09" w:rsidRDefault="007A4C09" w:rsidP="00DC3405">
      <w:pPr>
        <w:pStyle w:val="Heading3"/>
        <w:numPr>
          <w:ilvl w:val="0"/>
          <w:numId w:val="0"/>
        </w:numPr>
        <w:ind w:left="444"/>
      </w:pPr>
      <w:r w:rsidRPr="007A4C09">
        <w:br w:type="page"/>
      </w:r>
    </w:p>
    <w:p w14:paraId="2BFB7804" w14:textId="22259654" w:rsidR="00534528" w:rsidRDefault="520CDA07" w:rsidP="00DC3405">
      <w:pPr>
        <w:pStyle w:val="Heading1"/>
      </w:pPr>
      <w:bookmarkStart w:id="46" w:name="_Toc85627875"/>
      <w:r>
        <w:lastRenderedPageBreak/>
        <w:t xml:space="preserve">Conclusions and </w:t>
      </w:r>
      <w:r w:rsidR="1CA31864">
        <w:t>Recommendations</w:t>
      </w:r>
      <w:bookmarkEnd w:id="46"/>
    </w:p>
    <w:p w14:paraId="0AD509E3" w14:textId="62B05B4C" w:rsidR="59587566" w:rsidRDefault="59587566" w:rsidP="59587566">
      <w:pPr>
        <w:rPr>
          <w:szCs w:val="21"/>
          <w:lang w:val="en-GB"/>
        </w:rPr>
      </w:pPr>
    </w:p>
    <w:p w14:paraId="43EC7B59" w14:textId="1F43F335" w:rsidR="00340A14" w:rsidRPr="00340A14" w:rsidRDefault="00340A14" w:rsidP="00340A14">
      <w:pPr>
        <w:spacing w:after="120" w:line="360" w:lineRule="auto"/>
        <w:ind w:firstLine="720"/>
        <w:textAlignment w:val="baseline"/>
        <w:rPr>
          <w:rFonts w:asciiTheme="majorHAnsi" w:hAnsiTheme="majorHAnsi" w:cstheme="majorHAnsi"/>
          <w:color w:val="1F1F1F"/>
          <w:sz w:val="20"/>
        </w:rPr>
      </w:pPr>
      <w:r w:rsidRPr="00340A14">
        <w:rPr>
          <w:rFonts w:asciiTheme="majorHAnsi" w:hAnsiTheme="majorHAnsi" w:cstheme="majorHAnsi"/>
          <w:color w:val="1F1F1F"/>
          <w:sz w:val="22"/>
          <w:szCs w:val="22"/>
          <w:lang w:val="en-GB"/>
        </w:rPr>
        <w:t>The success of</w:t>
      </w:r>
      <w:r w:rsidR="005D7FBC">
        <w:rPr>
          <w:rFonts w:asciiTheme="majorHAnsi" w:hAnsiTheme="majorHAnsi" w:cstheme="majorHAnsi"/>
          <w:color w:val="1F1F1F"/>
          <w:sz w:val="22"/>
          <w:szCs w:val="22"/>
          <w:lang w:val="en-GB"/>
        </w:rPr>
        <w:t xml:space="preserve"> IDEALFUEL’s</w:t>
      </w:r>
      <w:r w:rsidRPr="00340A14">
        <w:rPr>
          <w:rFonts w:asciiTheme="majorHAnsi" w:hAnsiTheme="majorHAnsi" w:cstheme="majorHAnsi"/>
          <w:color w:val="1F1F1F"/>
          <w:sz w:val="22"/>
          <w:szCs w:val="22"/>
          <w:lang w:val="en-GB"/>
        </w:rPr>
        <w:t xml:space="preserve"> Bio-HFO, from a market perspective, will be influenced by 4 variables: </w:t>
      </w:r>
      <w:proofErr w:type="spellStart"/>
      <w:r w:rsidRPr="00340A14">
        <w:rPr>
          <w:rFonts w:asciiTheme="majorHAnsi" w:hAnsiTheme="majorHAnsi" w:cstheme="majorHAnsi"/>
          <w:color w:val="1F1F1F"/>
          <w:sz w:val="22"/>
          <w:szCs w:val="22"/>
          <w:lang w:val="en-GB"/>
        </w:rPr>
        <w:t>i</w:t>
      </w:r>
      <w:proofErr w:type="spellEnd"/>
      <w:r w:rsidRPr="00340A14">
        <w:rPr>
          <w:rFonts w:asciiTheme="majorHAnsi" w:hAnsiTheme="majorHAnsi" w:cstheme="majorHAnsi"/>
          <w:color w:val="1F1F1F"/>
          <w:sz w:val="22"/>
          <w:szCs w:val="22"/>
          <w:lang w:val="en-GB"/>
        </w:rPr>
        <w:t xml:space="preserve">) legislation, </w:t>
      </w:r>
      <w:proofErr w:type="gramStart"/>
      <w:r w:rsidRPr="00340A14">
        <w:rPr>
          <w:rFonts w:asciiTheme="majorHAnsi" w:hAnsiTheme="majorHAnsi" w:cstheme="majorHAnsi"/>
          <w:color w:val="1F1F1F"/>
          <w:sz w:val="22"/>
          <w:szCs w:val="22"/>
          <w:lang w:val="en-GB"/>
        </w:rPr>
        <w:t>mandates</w:t>
      </w:r>
      <w:proofErr w:type="gramEnd"/>
      <w:r w:rsidRPr="00340A14">
        <w:rPr>
          <w:rFonts w:asciiTheme="majorHAnsi" w:hAnsiTheme="majorHAnsi" w:cstheme="majorHAnsi"/>
          <w:color w:val="1F1F1F"/>
          <w:sz w:val="22"/>
          <w:szCs w:val="22"/>
          <w:lang w:val="en-GB"/>
        </w:rPr>
        <w:t xml:space="preserve"> and incentives; ii) emission performance; iii) fuel compatibility and blend-ability; iv) production cost.</w:t>
      </w:r>
      <w:r w:rsidRPr="00340A14">
        <w:rPr>
          <w:rFonts w:asciiTheme="majorHAnsi" w:hAnsiTheme="majorHAnsi" w:cstheme="majorHAnsi"/>
          <w:color w:val="1F1F1F"/>
          <w:sz w:val="22"/>
          <w:szCs w:val="22"/>
        </w:rPr>
        <w:t> </w:t>
      </w:r>
    </w:p>
    <w:p w14:paraId="6244CE9C" w14:textId="39EBDCC7" w:rsidR="00340A14" w:rsidRPr="00340A14" w:rsidRDefault="00970A56" w:rsidP="00D83171">
      <w:pPr>
        <w:spacing w:after="120" w:line="360" w:lineRule="auto"/>
        <w:ind w:firstLine="720"/>
        <w:textAlignment w:val="baseline"/>
        <w:rPr>
          <w:rFonts w:asciiTheme="majorHAnsi" w:hAnsiTheme="majorHAnsi" w:cstheme="majorHAnsi"/>
          <w:color w:val="1F1F1F"/>
          <w:sz w:val="22"/>
          <w:szCs w:val="22"/>
          <w:lang w:val="en-GB"/>
        </w:rPr>
      </w:pPr>
      <w:r>
        <w:rPr>
          <w:rFonts w:asciiTheme="majorHAnsi" w:hAnsiTheme="majorHAnsi" w:cstheme="majorHAnsi"/>
          <w:color w:val="1F1F1F"/>
          <w:sz w:val="22"/>
          <w:szCs w:val="22"/>
          <w:lang w:val="en-GB"/>
        </w:rPr>
        <w:t xml:space="preserve">Current and future legislation propose </w:t>
      </w:r>
      <w:r w:rsidR="00340A14" w:rsidRPr="00340A14">
        <w:rPr>
          <w:rFonts w:asciiTheme="majorHAnsi" w:hAnsiTheme="majorHAnsi" w:cstheme="majorHAnsi"/>
          <w:color w:val="1F1F1F"/>
          <w:sz w:val="22"/>
          <w:szCs w:val="22"/>
          <w:lang w:val="en-GB"/>
        </w:rPr>
        <w:t>a market environment favourable </w:t>
      </w:r>
      <w:r>
        <w:rPr>
          <w:rFonts w:asciiTheme="majorHAnsi" w:hAnsiTheme="majorHAnsi" w:cstheme="majorHAnsi"/>
          <w:color w:val="1F1F1F"/>
          <w:sz w:val="22"/>
          <w:szCs w:val="22"/>
          <w:lang w:val="en-GB"/>
        </w:rPr>
        <w:t>for</w:t>
      </w:r>
      <w:r w:rsidR="00340A14" w:rsidRPr="00340A14">
        <w:rPr>
          <w:rFonts w:asciiTheme="majorHAnsi" w:hAnsiTheme="majorHAnsi" w:cstheme="majorHAnsi"/>
          <w:color w:val="1F1F1F"/>
          <w:sz w:val="22"/>
          <w:szCs w:val="22"/>
          <w:lang w:val="en-GB"/>
        </w:rPr>
        <w:t xml:space="preserve"> biofuel uptake. With this regard it is imperative that the Bio-HFO complies with the norms and directives. To be considerable an advanced fuel, the </w:t>
      </w:r>
      <w:proofErr w:type="gramStart"/>
      <w:r w:rsidR="00340A14" w:rsidRPr="00340A14">
        <w:rPr>
          <w:rFonts w:asciiTheme="majorHAnsi" w:hAnsiTheme="majorHAnsi" w:cstheme="majorHAnsi"/>
          <w:color w:val="1F1F1F"/>
          <w:sz w:val="22"/>
          <w:szCs w:val="22"/>
          <w:lang w:val="en-GB"/>
        </w:rPr>
        <w:t>raw-material</w:t>
      </w:r>
      <w:proofErr w:type="gramEnd"/>
      <w:r w:rsidR="00340A14" w:rsidRPr="00340A14">
        <w:rPr>
          <w:rFonts w:asciiTheme="majorHAnsi" w:hAnsiTheme="majorHAnsi" w:cstheme="majorHAnsi"/>
          <w:color w:val="1F1F1F"/>
          <w:sz w:val="22"/>
          <w:szCs w:val="22"/>
          <w:lang w:val="en-GB"/>
        </w:rPr>
        <w:t xml:space="preserve"> must be classified as </w:t>
      </w:r>
      <w:r w:rsidR="009D4BA5">
        <w:rPr>
          <w:rFonts w:asciiTheme="majorHAnsi" w:hAnsiTheme="majorHAnsi" w:cstheme="majorHAnsi"/>
          <w:color w:val="1F1F1F"/>
          <w:sz w:val="22"/>
          <w:szCs w:val="22"/>
          <w:lang w:val="en-GB"/>
        </w:rPr>
        <w:t>waste</w:t>
      </w:r>
      <w:r w:rsidR="00340A14" w:rsidRPr="00340A14">
        <w:rPr>
          <w:rFonts w:asciiTheme="majorHAnsi" w:hAnsiTheme="majorHAnsi" w:cstheme="majorHAnsi"/>
          <w:color w:val="1F1F1F"/>
          <w:sz w:val="22"/>
          <w:szCs w:val="22"/>
          <w:lang w:val="en-GB"/>
        </w:rPr>
        <w:t>. Noncompliance risks are lower if the lignin comes as a secondary (residue) stream within the process. In another words, the main purpose of feedstock acquisition is other than lignin valorisation. The fact that the residue (lignin rich) will be upgraded into a value-added product instead of</w:t>
      </w:r>
      <w:r w:rsidR="00D83171">
        <w:rPr>
          <w:rFonts w:asciiTheme="majorHAnsi" w:hAnsiTheme="majorHAnsi" w:cstheme="majorHAnsi"/>
          <w:color w:val="1F1F1F"/>
          <w:sz w:val="22"/>
          <w:szCs w:val="22"/>
          <w:lang w:val="en-GB"/>
        </w:rPr>
        <w:t xml:space="preserve"> </w:t>
      </w:r>
      <w:r w:rsidR="00340A14" w:rsidRPr="00340A14">
        <w:rPr>
          <w:rFonts w:asciiTheme="majorHAnsi" w:hAnsiTheme="majorHAnsi" w:cstheme="majorHAnsi"/>
          <w:color w:val="1F1F1F"/>
          <w:sz w:val="22"/>
          <w:szCs w:val="22"/>
          <w:lang w:val="en-GB"/>
        </w:rPr>
        <w:t>being</w:t>
      </w:r>
      <w:r w:rsidR="00D83171">
        <w:rPr>
          <w:rFonts w:asciiTheme="majorHAnsi" w:hAnsiTheme="majorHAnsi" w:cstheme="majorHAnsi"/>
          <w:color w:val="1F1F1F"/>
          <w:sz w:val="22"/>
          <w:szCs w:val="22"/>
          <w:lang w:val="en-GB"/>
        </w:rPr>
        <w:t xml:space="preserve"> </w:t>
      </w:r>
      <w:r w:rsidR="00340A14" w:rsidRPr="00340A14">
        <w:rPr>
          <w:rFonts w:asciiTheme="majorHAnsi" w:hAnsiTheme="majorHAnsi" w:cstheme="majorHAnsi"/>
          <w:color w:val="1F1F1F"/>
          <w:sz w:val="22"/>
          <w:szCs w:val="22"/>
          <w:lang w:val="en-GB"/>
        </w:rPr>
        <w:t>burned for heat purposes</w:t>
      </w:r>
      <w:r w:rsidR="00D83171">
        <w:rPr>
          <w:rFonts w:asciiTheme="majorHAnsi" w:hAnsiTheme="majorHAnsi" w:cstheme="majorHAnsi"/>
          <w:color w:val="1F1F1F"/>
          <w:sz w:val="22"/>
          <w:szCs w:val="22"/>
          <w:lang w:val="en-GB"/>
        </w:rPr>
        <w:t xml:space="preserve"> </w:t>
      </w:r>
      <w:r w:rsidR="00340A14" w:rsidRPr="00340A14">
        <w:rPr>
          <w:rFonts w:asciiTheme="majorHAnsi" w:hAnsiTheme="majorHAnsi" w:cstheme="majorHAnsi"/>
          <w:color w:val="1F1F1F"/>
          <w:sz w:val="22"/>
          <w:szCs w:val="22"/>
          <w:lang w:val="en-GB"/>
        </w:rPr>
        <w:t>might be considered beneficial</w:t>
      </w:r>
      <w:proofErr w:type="gramStart"/>
      <w:r w:rsidR="00340A14" w:rsidRPr="00340A14">
        <w:rPr>
          <w:rFonts w:asciiTheme="majorHAnsi" w:hAnsiTheme="majorHAnsi" w:cstheme="majorHAnsi"/>
          <w:color w:val="1F1F1F"/>
          <w:sz w:val="22"/>
          <w:szCs w:val="22"/>
          <w:lang w:val="en-GB"/>
        </w:rPr>
        <w:t>.</w:t>
      </w:r>
      <w:r w:rsidR="00D83171">
        <w:rPr>
          <w:rFonts w:asciiTheme="majorHAnsi" w:hAnsiTheme="majorHAnsi" w:cstheme="majorHAnsi"/>
          <w:color w:val="1F1F1F"/>
          <w:sz w:val="22"/>
          <w:szCs w:val="22"/>
          <w:lang w:val="en-GB"/>
        </w:rPr>
        <w:t xml:space="preserve"> </w:t>
      </w:r>
      <w:r w:rsidR="00340A14" w:rsidRPr="00340A14">
        <w:rPr>
          <w:rFonts w:asciiTheme="majorHAnsi" w:hAnsiTheme="majorHAnsi" w:cstheme="majorHAnsi"/>
          <w:color w:val="1F1F1F"/>
          <w:sz w:val="22"/>
          <w:szCs w:val="22"/>
          <w:lang w:val="en-GB"/>
        </w:rPr>
        <w:t xml:space="preserve"> </w:t>
      </w:r>
      <w:proofErr w:type="gramEnd"/>
      <w:r w:rsidR="00340A14" w:rsidRPr="00340A14">
        <w:rPr>
          <w:rFonts w:asciiTheme="majorHAnsi" w:hAnsiTheme="majorHAnsi" w:cstheme="majorHAnsi"/>
          <w:color w:val="1F1F1F"/>
          <w:sz w:val="22"/>
          <w:szCs w:val="22"/>
          <w:lang w:val="en-GB"/>
        </w:rPr>
        <w:t xml:space="preserve">Nevertheless, this aspect requires more than engineering and process design </w:t>
      </w:r>
      <w:proofErr w:type="gramStart"/>
      <w:r w:rsidR="00340A14" w:rsidRPr="00340A14">
        <w:rPr>
          <w:rFonts w:asciiTheme="majorHAnsi" w:hAnsiTheme="majorHAnsi" w:cstheme="majorHAnsi"/>
          <w:color w:val="1F1F1F"/>
          <w:sz w:val="22"/>
          <w:szCs w:val="22"/>
          <w:lang w:val="en-GB"/>
        </w:rPr>
        <w:t>effort, since</w:t>
      </w:r>
      <w:proofErr w:type="gramEnd"/>
      <w:r w:rsidR="00340A14" w:rsidRPr="00340A14">
        <w:rPr>
          <w:rFonts w:asciiTheme="majorHAnsi" w:hAnsiTheme="majorHAnsi" w:cstheme="majorHAnsi"/>
          <w:color w:val="1F1F1F"/>
          <w:sz w:val="22"/>
          <w:szCs w:val="22"/>
          <w:lang w:val="en-GB"/>
        </w:rPr>
        <w:t xml:space="preserve"> it is also ruled by political matters.</w:t>
      </w:r>
      <w:r w:rsidR="00340A14" w:rsidRPr="00340A14">
        <w:rPr>
          <w:rFonts w:asciiTheme="majorHAnsi" w:hAnsiTheme="majorHAnsi" w:cstheme="majorHAnsi"/>
          <w:color w:val="1F1F1F"/>
          <w:sz w:val="22"/>
          <w:szCs w:val="22"/>
        </w:rPr>
        <w:t> </w:t>
      </w:r>
    </w:p>
    <w:p w14:paraId="04B7293E" w14:textId="440CBEB7" w:rsidR="00340A14" w:rsidRPr="00340A14" w:rsidRDefault="00340A14" w:rsidP="00340A14">
      <w:pPr>
        <w:spacing w:after="120" w:line="360" w:lineRule="auto"/>
        <w:ind w:firstLine="720"/>
        <w:textAlignment w:val="baseline"/>
        <w:rPr>
          <w:rFonts w:asciiTheme="majorHAnsi" w:hAnsiTheme="majorHAnsi" w:cstheme="majorHAnsi"/>
          <w:color w:val="1F1F1F"/>
          <w:sz w:val="20"/>
        </w:rPr>
      </w:pPr>
      <w:r w:rsidRPr="00340A14">
        <w:rPr>
          <w:rFonts w:asciiTheme="majorHAnsi" w:hAnsiTheme="majorHAnsi" w:cstheme="majorHAnsi"/>
          <w:color w:val="1F1F1F"/>
          <w:sz w:val="22"/>
          <w:szCs w:val="22"/>
          <w:lang w:val="en-GB"/>
        </w:rPr>
        <w:t>Emission performance will be translated into marketing advantages</w:t>
      </w:r>
      <w:r w:rsidR="00AB0D15">
        <w:rPr>
          <w:rFonts w:asciiTheme="majorHAnsi" w:hAnsiTheme="majorHAnsi" w:cstheme="majorHAnsi"/>
          <w:color w:val="1F1F1F"/>
          <w:sz w:val="22"/>
          <w:szCs w:val="22"/>
          <w:lang w:val="en-GB"/>
        </w:rPr>
        <w:t>,</w:t>
      </w:r>
      <w:r w:rsidRPr="00340A14">
        <w:rPr>
          <w:rFonts w:asciiTheme="majorHAnsi" w:hAnsiTheme="majorHAnsi" w:cstheme="majorHAnsi"/>
          <w:color w:val="1F1F1F"/>
          <w:sz w:val="22"/>
          <w:szCs w:val="22"/>
          <w:lang w:val="en-GB"/>
        </w:rPr>
        <w:t xml:space="preserve"> whether by branding or premium benefit. </w:t>
      </w:r>
      <w:r w:rsidR="00AB0D15">
        <w:rPr>
          <w:rFonts w:asciiTheme="majorHAnsi" w:hAnsiTheme="majorHAnsi" w:cstheme="majorHAnsi"/>
          <w:color w:val="1F1F1F"/>
          <w:sz w:val="22"/>
          <w:szCs w:val="22"/>
          <w:lang w:val="en-GB"/>
        </w:rPr>
        <w:t xml:space="preserve">The </w:t>
      </w:r>
      <w:r w:rsidRPr="00340A14">
        <w:rPr>
          <w:rFonts w:asciiTheme="majorHAnsi" w:hAnsiTheme="majorHAnsi" w:cstheme="majorHAnsi"/>
          <w:color w:val="1F1F1F"/>
          <w:sz w:val="22"/>
          <w:szCs w:val="22"/>
          <w:lang w:val="en-GB"/>
        </w:rPr>
        <w:t>Bio-HFO must represent an effective alternative on </w:t>
      </w:r>
      <w:proofErr w:type="spellStart"/>
      <w:r w:rsidRPr="00340A14">
        <w:rPr>
          <w:rFonts w:asciiTheme="majorHAnsi" w:hAnsiTheme="majorHAnsi" w:cstheme="majorHAnsi"/>
          <w:color w:val="1F1F1F"/>
          <w:sz w:val="22"/>
          <w:szCs w:val="22"/>
          <w:lang w:val="en-GB"/>
        </w:rPr>
        <w:t>SO</w:t>
      </w:r>
      <w:r w:rsidRPr="00C07FF4">
        <w:rPr>
          <w:rFonts w:asciiTheme="majorHAnsi" w:hAnsiTheme="majorHAnsi" w:cstheme="majorHAnsi"/>
          <w:color w:val="1F1F1F"/>
          <w:sz w:val="22"/>
          <w:szCs w:val="22"/>
          <w:vertAlign w:val="subscript"/>
          <w:lang w:val="en-GB"/>
        </w:rPr>
        <w:t>x</w:t>
      </w:r>
      <w:proofErr w:type="spellEnd"/>
      <w:r w:rsidRPr="00340A14">
        <w:rPr>
          <w:rFonts w:asciiTheme="majorHAnsi" w:hAnsiTheme="majorHAnsi" w:cstheme="majorHAnsi"/>
          <w:color w:val="1F1F1F"/>
          <w:sz w:val="22"/>
          <w:szCs w:val="22"/>
          <w:lang w:val="en-GB"/>
        </w:rPr>
        <w:t>, GHG and NO</w:t>
      </w:r>
      <w:r w:rsidRPr="00C07FF4">
        <w:rPr>
          <w:rFonts w:asciiTheme="majorHAnsi" w:hAnsiTheme="majorHAnsi" w:cstheme="majorHAnsi"/>
          <w:color w:val="1F1F1F"/>
          <w:sz w:val="22"/>
          <w:szCs w:val="22"/>
          <w:vertAlign w:val="subscript"/>
          <w:lang w:val="en-GB"/>
        </w:rPr>
        <w:t>x</w:t>
      </w:r>
      <w:r w:rsidRPr="00340A14">
        <w:rPr>
          <w:rFonts w:asciiTheme="majorHAnsi" w:hAnsiTheme="majorHAnsi" w:cstheme="majorHAnsi"/>
          <w:color w:val="1F1F1F"/>
          <w:sz w:val="22"/>
          <w:szCs w:val="22"/>
          <w:lang w:val="en-GB"/>
        </w:rPr>
        <w:t xml:space="preserve"> emissions, first two with higher impact on the pricing perspective. GHG emission will be very connected to feedstock classification as </w:t>
      </w:r>
      <w:proofErr w:type="gramStart"/>
      <w:r w:rsidR="00FE199B">
        <w:rPr>
          <w:rFonts w:asciiTheme="majorHAnsi" w:hAnsiTheme="majorHAnsi" w:cstheme="majorHAnsi"/>
          <w:color w:val="1F1F1F"/>
          <w:sz w:val="22"/>
          <w:szCs w:val="22"/>
          <w:lang w:val="en-GB"/>
        </w:rPr>
        <w:t>not-</w:t>
      </w:r>
      <w:r w:rsidRPr="00340A14">
        <w:rPr>
          <w:rFonts w:asciiTheme="majorHAnsi" w:hAnsiTheme="majorHAnsi" w:cstheme="majorHAnsi"/>
          <w:color w:val="1F1F1F"/>
          <w:sz w:val="22"/>
          <w:szCs w:val="22"/>
          <w:lang w:val="en-GB"/>
        </w:rPr>
        <w:t>eligible</w:t>
      </w:r>
      <w:proofErr w:type="gramEnd"/>
      <w:r w:rsidRPr="00340A14">
        <w:rPr>
          <w:rFonts w:asciiTheme="majorHAnsi" w:hAnsiTheme="majorHAnsi" w:cstheme="majorHAnsi"/>
          <w:color w:val="1F1F1F"/>
          <w:sz w:val="22"/>
          <w:szCs w:val="22"/>
          <w:lang w:val="en-GB"/>
        </w:rPr>
        <w:t xml:space="preserve"> for advanced biofuel production.  </w:t>
      </w:r>
      <w:r w:rsidRPr="00340A14">
        <w:rPr>
          <w:rFonts w:asciiTheme="majorHAnsi" w:hAnsiTheme="majorHAnsi" w:cstheme="majorHAnsi"/>
          <w:color w:val="1F1F1F"/>
          <w:sz w:val="22"/>
          <w:szCs w:val="22"/>
        </w:rPr>
        <w:t> </w:t>
      </w:r>
    </w:p>
    <w:p w14:paraId="01B5D897" w14:textId="1BACAF54" w:rsidR="00340A14" w:rsidRPr="00340A14" w:rsidRDefault="00340A14" w:rsidP="00340A14">
      <w:pPr>
        <w:spacing w:after="120" w:line="360" w:lineRule="auto"/>
        <w:ind w:firstLine="720"/>
        <w:textAlignment w:val="baseline"/>
        <w:rPr>
          <w:rFonts w:asciiTheme="majorHAnsi" w:hAnsiTheme="majorHAnsi" w:cstheme="majorHAnsi"/>
          <w:color w:val="1F1F1F"/>
          <w:sz w:val="20"/>
        </w:rPr>
      </w:pPr>
      <w:r w:rsidRPr="00340A14">
        <w:rPr>
          <w:rFonts w:asciiTheme="majorHAnsi" w:hAnsiTheme="majorHAnsi" w:cstheme="majorHAnsi"/>
          <w:color w:val="1F1F1F"/>
          <w:sz w:val="22"/>
          <w:szCs w:val="22"/>
          <w:lang w:val="en-GB"/>
        </w:rPr>
        <w:t>Fuel compatibility can represent a considerable restriction to Bio-HFO uptake. </w:t>
      </w:r>
      <w:proofErr w:type="gramStart"/>
      <w:r w:rsidRPr="00340A14">
        <w:rPr>
          <w:rFonts w:asciiTheme="majorHAnsi" w:hAnsiTheme="majorHAnsi" w:cstheme="majorHAnsi"/>
          <w:color w:val="1F1F1F"/>
          <w:sz w:val="22"/>
          <w:szCs w:val="22"/>
          <w:lang w:val="en-GB"/>
        </w:rPr>
        <w:t>Generally speaking, wider</w:t>
      </w:r>
      <w:proofErr w:type="gramEnd"/>
      <w:r w:rsidRPr="00340A14">
        <w:rPr>
          <w:rFonts w:asciiTheme="majorHAnsi" w:hAnsiTheme="majorHAnsi" w:cstheme="majorHAnsi"/>
          <w:color w:val="1F1F1F"/>
          <w:sz w:val="22"/>
          <w:szCs w:val="22"/>
          <w:lang w:val="en-GB"/>
        </w:rPr>
        <w:t xml:space="preserve"> the possible blending range is, more </w:t>
      </w:r>
      <w:r w:rsidR="00794EDD">
        <w:rPr>
          <w:rFonts w:asciiTheme="majorHAnsi" w:hAnsiTheme="majorHAnsi" w:cstheme="majorHAnsi"/>
          <w:color w:val="1F1F1F"/>
          <w:sz w:val="22"/>
          <w:szCs w:val="22"/>
          <w:lang w:val="en-GB"/>
        </w:rPr>
        <w:t>attractive</w:t>
      </w:r>
      <w:r w:rsidRPr="00340A14">
        <w:rPr>
          <w:rFonts w:asciiTheme="majorHAnsi" w:hAnsiTheme="majorHAnsi" w:cstheme="majorHAnsi"/>
          <w:color w:val="1F1F1F"/>
          <w:sz w:val="22"/>
          <w:szCs w:val="22"/>
          <w:lang w:val="en-GB"/>
        </w:rPr>
        <w:t xml:space="preserve"> will be product uptake. It is crucial to address the tests highlighted in section 3.4, and to target a final product with density, heat value, viscosity and flash point equivalent to fossil </w:t>
      </w:r>
      <w:proofErr w:type="gramStart"/>
      <w:r w:rsidRPr="00340A14">
        <w:rPr>
          <w:rFonts w:asciiTheme="majorHAnsi" w:hAnsiTheme="majorHAnsi" w:cstheme="majorHAnsi"/>
          <w:color w:val="1F1F1F"/>
          <w:sz w:val="22"/>
          <w:szCs w:val="22"/>
          <w:lang w:val="en-GB"/>
        </w:rPr>
        <w:t>counter-part</w:t>
      </w:r>
      <w:proofErr w:type="gramEnd"/>
      <w:r w:rsidRPr="00340A14">
        <w:rPr>
          <w:rFonts w:asciiTheme="majorHAnsi" w:hAnsiTheme="majorHAnsi" w:cstheme="majorHAnsi"/>
          <w:color w:val="1F1F1F"/>
          <w:sz w:val="22"/>
          <w:szCs w:val="22"/>
          <w:lang w:val="en-GB"/>
        </w:rPr>
        <w:t>. The upgrade and product quality can pose a trade-off between production costs and market pricing, which must be considered when more information about the product is available.</w:t>
      </w:r>
      <w:r w:rsidRPr="00340A14">
        <w:rPr>
          <w:rFonts w:asciiTheme="majorHAnsi" w:hAnsiTheme="majorHAnsi" w:cstheme="majorHAnsi"/>
          <w:color w:val="1F1F1F"/>
          <w:sz w:val="22"/>
          <w:szCs w:val="22"/>
        </w:rPr>
        <w:t> </w:t>
      </w:r>
    </w:p>
    <w:p w14:paraId="3842BAA6" w14:textId="085D706C" w:rsidR="00340A14" w:rsidRPr="00340A14" w:rsidRDefault="00340A14" w:rsidP="00340A14">
      <w:pPr>
        <w:spacing w:after="120" w:line="360" w:lineRule="auto"/>
        <w:ind w:firstLine="720"/>
        <w:textAlignment w:val="baseline"/>
        <w:rPr>
          <w:rFonts w:asciiTheme="majorHAnsi" w:hAnsiTheme="majorHAnsi" w:cstheme="majorHAnsi"/>
          <w:color w:val="1F1F1F"/>
          <w:sz w:val="20"/>
        </w:rPr>
      </w:pPr>
      <w:r w:rsidRPr="00340A14">
        <w:rPr>
          <w:rFonts w:asciiTheme="majorHAnsi" w:hAnsiTheme="majorHAnsi" w:cstheme="majorHAnsi"/>
          <w:color w:val="1F1F1F"/>
          <w:sz w:val="22"/>
          <w:szCs w:val="22"/>
          <w:lang w:val="en-GB"/>
        </w:rPr>
        <w:t>Finally, the production cost</w:t>
      </w:r>
      <w:r w:rsidR="00AB7E60">
        <w:rPr>
          <w:rFonts w:asciiTheme="majorHAnsi" w:hAnsiTheme="majorHAnsi" w:cstheme="majorHAnsi"/>
          <w:color w:val="1F1F1F"/>
          <w:sz w:val="22"/>
          <w:szCs w:val="22"/>
          <w:lang w:val="en-GB"/>
        </w:rPr>
        <w:t>. A</w:t>
      </w:r>
      <w:r w:rsidRPr="00340A14">
        <w:rPr>
          <w:rFonts w:asciiTheme="majorHAnsi" w:hAnsiTheme="majorHAnsi" w:cstheme="majorHAnsi"/>
          <w:color w:val="1F1F1F"/>
          <w:sz w:val="22"/>
          <w:szCs w:val="22"/>
          <w:lang w:val="en-GB"/>
        </w:rPr>
        <w:t xml:space="preserve">s just mentioned, </w:t>
      </w:r>
      <w:r w:rsidR="00AB7E60">
        <w:rPr>
          <w:rFonts w:asciiTheme="majorHAnsi" w:hAnsiTheme="majorHAnsi" w:cstheme="majorHAnsi"/>
          <w:color w:val="1F1F1F"/>
          <w:sz w:val="22"/>
          <w:szCs w:val="22"/>
          <w:lang w:val="en-GB"/>
        </w:rPr>
        <w:t xml:space="preserve">it </w:t>
      </w:r>
      <w:r w:rsidRPr="00340A14">
        <w:rPr>
          <w:rFonts w:asciiTheme="majorHAnsi" w:hAnsiTheme="majorHAnsi" w:cstheme="majorHAnsi"/>
          <w:color w:val="1F1F1F"/>
          <w:sz w:val="22"/>
          <w:szCs w:val="22"/>
          <w:lang w:val="en-GB"/>
        </w:rPr>
        <w:t>must be considered together with product specifications. Ideally, the Bio-HFO will benefit from the premium related to emissions, which should not be outnumbered by the production cost, as discussed in section 4.2. Fossil-based inputs, such as methanol, must be recycled to avoid extra GHG load from the production background, </w:t>
      </w:r>
      <w:proofErr w:type="gramStart"/>
      <w:r w:rsidRPr="00340A14">
        <w:rPr>
          <w:rFonts w:asciiTheme="majorHAnsi" w:hAnsiTheme="majorHAnsi" w:cstheme="majorHAnsi"/>
          <w:color w:val="1F1F1F"/>
          <w:sz w:val="22"/>
          <w:szCs w:val="22"/>
          <w:lang w:val="en-GB"/>
        </w:rPr>
        <w:t>in order to</w:t>
      </w:r>
      <w:proofErr w:type="gramEnd"/>
      <w:r w:rsidRPr="00340A14">
        <w:rPr>
          <w:rFonts w:asciiTheme="majorHAnsi" w:hAnsiTheme="majorHAnsi" w:cstheme="majorHAnsi"/>
          <w:color w:val="1F1F1F"/>
          <w:sz w:val="22"/>
          <w:szCs w:val="22"/>
          <w:lang w:val="en-GB"/>
        </w:rPr>
        <w:t xml:space="preserve"> keep GHG emissions </w:t>
      </w:r>
      <w:r w:rsidR="000205AF">
        <w:rPr>
          <w:rFonts w:asciiTheme="majorHAnsi" w:hAnsiTheme="majorHAnsi" w:cstheme="majorHAnsi"/>
          <w:color w:val="1F1F1F"/>
          <w:sz w:val="22"/>
          <w:szCs w:val="22"/>
          <w:lang w:val="en-GB"/>
        </w:rPr>
        <w:t xml:space="preserve">as </w:t>
      </w:r>
      <w:r w:rsidRPr="00340A14">
        <w:rPr>
          <w:rFonts w:asciiTheme="majorHAnsi" w:hAnsiTheme="majorHAnsi" w:cstheme="majorHAnsi"/>
          <w:color w:val="1F1F1F"/>
          <w:sz w:val="22"/>
          <w:szCs w:val="22"/>
          <w:lang w:val="en-GB"/>
        </w:rPr>
        <w:t>lower as possible.</w:t>
      </w:r>
      <w:r w:rsidRPr="00340A14">
        <w:rPr>
          <w:rFonts w:asciiTheme="majorHAnsi" w:hAnsiTheme="majorHAnsi" w:cstheme="majorHAnsi"/>
          <w:color w:val="1F1F1F"/>
          <w:sz w:val="22"/>
          <w:szCs w:val="22"/>
        </w:rPr>
        <w:t> </w:t>
      </w:r>
      <w:r w:rsidR="00740382">
        <w:rPr>
          <w:rFonts w:asciiTheme="majorHAnsi" w:hAnsiTheme="majorHAnsi" w:cstheme="majorHAnsi"/>
          <w:color w:val="1F1F1F"/>
          <w:sz w:val="22"/>
          <w:szCs w:val="22"/>
        </w:rPr>
        <w:t xml:space="preserve">This should be carefully addressed in LCA studies. </w:t>
      </w:r>
    </w:p>
    <w:p w14:paraId="72FF4912" w14:textId="1B841D55" w:rsidR="00340A14" w:rsidRDefault="00340A14" w:rsidP="00340A14">
      <w:pPr>
        <w:spacing w:after="120" w:line="360" w:lineRule="auto"/>
        <w:ind w:firstLine="720"/>
        <w:textAlignment w:val="baseline"/>
        <w:rPr>
          <w:rFonts w:asciiTheme="majorHAnsi" w:hAnsiTheme="majorHAnsi" w:cstheme="majorHAnsi"/>
          <w:color w:val="1F1F1F"/>
          <w:sz w:val="22"/>
          <w:szCs w:val="22"/>
        </w:rPr>
      </w:pPr>
      <w:r w:rsidRPr="00340A14">
        <w:rPr>
          <w:rFonts w:asciiTheme="majorHAnsi" w:hAnsiTheme="majorHAnsi" w:cstheme="majorHAnsi"/>
          <w:color w:val="1F1F1F"/>
          <w:sz w:val="22"/>
          <w:szCs w:val="22"/>
          <w:lang w:val="en-GB"/>
        </w:rPr>
        <w:t xml:space="preserve">The map of the alternative fuels considered in this report is presented in table </w:t>
      </w:r>
      <w:r w:rsidR="002E4890">
        <w:rPr>
          <w:rFonts w:asciiTheme="majorHAnsi" w:hAnsiTheme="majorHAnsi" w:cstheme="majorHAnsi"/>
          <w:color w:val="1F1F1F"/>
          <w:sz w:val="22"/>
          <w:szCs w:val="22"/>
          <w:lang w:val="en-GB"/>
        </w:rPr>
        <w:t>6</w:t>
      </w:r>
      <w:proofErr w:type="gramStart"/>
      <w:r w:rsidRPr="00340A14">
        <w:rPr>
          <w:rFonts w:asciiTheme="majorHAnsi" w:hAnsiTheme="majorHAnsi" w:cstheme="majorHAnsi"/>
          <w:color w:val="1F1F1F"/>
          <w:sz w:val="22"/>
          <w:szCs w:val="22"/>
          <w:lang w:val="en-GB"/>
        </w:rPr>
        <w:t>.  </w:t>
      </w:r>
      <w:proofErr w:type="gramEnd"/>
      <w:r w:rsidRPr="00340A14">
        <w:rPr>
          <w:rFonts w:asciiTheme="majorHAnsi" w:hAnsiTheme="majorHAnsi" w:cstheme="majorHAnsi"/>
          <w:color w:val="1F1F1F"/>
          <w:sz w:val="22"/>
          <w:szCs w:val="22"/>
          <w:lang w:val="en-GB"/>
        </w:rPr>
        <w:t>For each option a grade is given against specific and relevant criterion</w:t>
      </w:r>
      <w:r w:rsidR="000205AF">
        <w:rPr>
          <w:rFonts w:asciiTheme="majorHAnsi" w:hAnsiTheme="majorHAnsi" w:cstheme="majorHAnsi"/>
          <w:color w:val="1F1F1F"/>
          <w:sz w:val="22"/>
          <w:szCs w:val="22"/>
          <w:lang w:val="en-GB"/>
        </w:rPr>
        <w:t>. G</w:t>
      </w:r>
      <w:r w:rsidRPr="00340A14">
        <w:rPr>
          <w:rFonts w:asciiTheme="majorHAnsi" w:hAnsiTheme="majorHAnsi" w:cstheme="majorHAnsi"/>
          <w:color w:val="1F1F1F"/>
          <w:sz w:val="22"/>
          <w:szCs w:val="22"/>
          <w:lang w:val="en-GB"/>
        </w:rPr>
        <w:t>rades range from 1 to 5, 1 as very negative and 5 as very positive.</w:t>
      </w:r>
      <w:r w:rsidRPr="00340A14">
        <w:rPr>
          <w:rFonts w:asciiTheme="majorHAnsi" w:hAnsiTheme="majorHAnsi" w:cstheme="majorHAnsi"/>
          <w:color w:val="1F1F1F"/>
          <w:sz w:val="22"/>
          <w:szCs w:val="22"/>
        </w:rPr>
        <w:t> </w:t>
      </w:r>
      <w:r w:rsidR="00591C74">
        <w:rPr>
          <w:rFonts w:asciiTheme="majorHAnsi" w:hAnsiTheme="majorHAnsi" w:cstheme="majorHAnsi"/>
          <w:color w:val="1F1F1F"/>
          <w:sz w:val="22"/>
          <w:szCs w:val="22"/>
        </w:rPr>
        <w:t xml:space="preserve">Once the Bio-HFO has been carefully qualified, it can be assessed </w:t>
      </w:r>
      <w:proofErr w:type="gramStart"/>
      <w:r w:rsidR="00591C74">
        <w:rPr>
          <w:rFonts w:asciiTheme="majorHAnsi" w:hAnsiTheme="majorHAnsi" w:cstheme="majorHAnsi"/>
          <w:color w:val="1F1F1F"/>
          <w:sz w:val="22"/>
          <w:szCs w:val="22"/>
        </w:rPr>
        <w:t>an</w:t>
      </w:r>
      <w:proofErr w:type="gramEnd"/>
      <w:r w:rsidR="00591C74">
        <w:rPr>
          <w:rFonts w:asciiTheme="majorHAnsi" w:hAnsiTheme="majorHAnsi" w:cstheme="majorHAnsi"/>
          <w:color w:val="1F1F1F"/>
          <w:sz w:val="22"/>
          <w:szCs w:val="22"/>
        </w:rPr>
        <w:t xml:space="preserve"> compared with respect to these fuels</w:t>
      </w:r>
      <w:r w:rsidR="000205AF">
        <w:rPr>
          <w:rFonts w:asciiTheme="majorHAnsi" w:hAnsiTheme="majorHAnsi" w:cstheme="majorHAnsi"/>
          <w:color w:val="1F1F1F"/>
          <w:sz w:val="22"/>
          <w:szCs w:val="22"/>
        </w:rPr>
        <w:t xml:space="preserve">, </w:t>
      </w:r>
      <w:r w:rsidR="00591C74">
        <w:rPr>
          <w:rFonts w:asciiTheme="majorHAnsi" w:hAnsiTheme="majorHAnsi" w:cstheme="majorHAnsi"/>
          <w:color w:val="1F1F1F"/>
          <w:sz w:val="22"/>
          <w:szCs w:val="22"/>
        </w:rPr>
        <w:t>obtain</w:t>
      </w:r>
      <w:r w:rsidR="000205AF">
        <w:rPr>
          <w:rFonts w:asciiTheme="majorHAnsi" w:hAnsiTheme="majorHAnsi" w:cstheme="majorHAnsi"/>
          <w:color w:val="1F1F1F"/>
          <w:sz w:val="22"/>
          <w:szCs w:val="22"/>
        </w:rPr>
        <w:t>ing</w:t>
      </w:r>
      <w:r w:rsidR="00591C74">
        <w:rPr>
          <w:rFonts w:asciiTheme="majorHAnsi" w:hAnsiTheme="majorHAnsi" w:cstheme="majorHAnsi"/>
          <w:color w:val="1F1F1F"/>
          <w:sz w:val="22"/>
          <w:szCs w:val="22"/>
        </w:rPr>
        <w:t xml:space="preserve"> </w:t>
      </w:r>
      <w:r w:rsidR="000205AF">
        <w:rPr>
          <w:rFonts w:asciiTheme="majorHAnsi" w:hAnsiTheme="majorHAnsi" w:cstheme="majorHAnsi"/>
          <w:color w:val="1F1F1F"/>
          <w:sz w:val="22"/>
          <w:szCs w:val="22"/>
        </w:rPr>
        <w:t>sharper</w:t>
      </w:r>
      <w:r w:rsidR="00591C74">
        <w:rPr>
          <w:rFonts w:asciiTheme="majorHAnsi" w:hAnsiTheme="majorHAnsi" w:cstheme="majorHAnsi"/>
          <w:color w:val="1F1F1F"/>
          <w:sz w:val="22"/>
          <w:szCs w:val="22"/>
        </w:rPr>
        <w:t xml:space="preserve"> market position.</w:t>
      </w:r>
    </w:p>
    <w:p w14:paraId="23CF04F5" w14:textId="5E1EC70F" w:rsidR="00DC3405" w:rsidRDefault="00DC3405">
      <w:pPr>
        <w:spacing w:after="160" w:line="259" w:lineRule="auto"/>
        <w:jc w:val="left"/>
        <w:rPr>
          <w:rFonts w:ascii="Segoe UI" w:hAnsi="Segoe UI" w:cs="Segoe UI"/>
          <w:color w:val="1F1F1F"/>
          <w:sz w:val="18"/>
          <w:szCs w:val="18"/>
        </w:rPr>
      </w:pPr>
      <w:r>
        <w:rPr>
          <w:rFonts w:ascii="Segoe UI" w:hAnsi="Segoe UI" w:cs="Segoe UI"/>
          <w:color w:val="1F1F1F"/>
          <w:sz w:val="18"/>
          <w:szCs w:val="18"/>
        </w:rPr>
        <w:br w:type="page"/>
      </w:r>
    </w:p>
    <w:p w14:paraId="5DC7676F" w14:textId="77777777" w:rsidR="00340A14" w:rsidRPr="00340A14" w:rsidRDefault="00340A14" w:rsidP="00340A14">
      <w:pPr>
        <w:ind w:firstLine="720"/>
        <w:textAlignment w:val="baseline"/>
        <w:rPr>
          <w:rFonts w:ascii="Segoe UI" w:hAnsi="Segoe UI" w:cs="Segoe UI"/>
          <w:color w:val="1F1F1F"/>
          <w:sz w:val="18"/>
          <w:szCs w:val="18"/>
        </w:rPr>
      </w:pPr>
    </w:p>
    <w:p w14:paraId="3EB2D77C" w14:textId="3CE5C8C5" w:rsidR="002E4890" w:rsidRDefault="002E4890" w:rsidP="002E4890">
      <w:pPr>
        <w:pStyle w:val="Caption"/>
        <w:keepNext/>
      </w:pPr>
      <w:bookmarkStart w:id="47" w:name="_Toc85627892"/>
      <w:bookmarkStart w:id="48" w:name="_Toc85627898"/>
      <w:r>
        <w:t xml:space="preserve">Table </w:t>
      </w:r>
      <w:fldSimple w:instr=" SEQ Table \* ARABIC ">
        <w:r w:rsidR="008027AE">
          <w:rPr>
            <w:noProof/>
          </w:rPr>
          <w:t>6</w:t>
        </w:r>
      </w:fldSimple>
      <w:r>
        <w:t>. Marine fuels map</w:t>
      </w:r>
      <w:bookmarkEnd w:id="47"/>
      <w:bookmarkEnd w:id="48"/>
    </w:p>
    <w:tbl>
      <w:tblPr>
        <w:tblW w:w="868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0"/>
        <w:gridCol w:w="855"/>
        <w:gridCol w:w="1095"/>
        <w:gridCol w:w="1110"/>
        <w:gridCol w:w="1095"/>
        <w:gridCol w:w="1170"/>
        <w:gridCol w:w="1200"/>
      </w:tblGrid>
      <w:tr w:rsidR="00340A14" w:rsidRPr="00340A14" w14:paraId="2E460C2D" w14:textId="77777777" w:rsidTr="0040379B">
        <w:trPr>
          <w:jc w:val="center"/>
        </w:trPr>
        <w:tc>
          <w:tcPr>
            <w:tcW w:w="2160" w:type="dxa"/>
            <w:tcBorders>
              <w:top w:val="nil"/>
              <w:left w:val="nil"/>
              <w:bottom w:val="nil"/>
              <w:right w:val="nil"/>
            </w:tcBorders>
            <w:shd w:val="clear" w:color="auto" w:fill="auto"/>
            <w:vAlign w:val="center"/>
            <w:hideMark/>
          </w:tcPr>
          <w:p w14:paraId="46A3356B"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rPr>
              <w:t> </w:t>
            </w:r>
          </w:p>
        </w:tc>
        <w:tc>
          <w:tcPr>
            <w:tcW w:w="3060" w:type="dxa"/>
            <w:gridSpan w:val="3"/>
            <w:tcBorders>
              <w:top w:val="nil"/>
              <w:left w:val="nil"/>
              <w:bottom w:val="single" w:sz="6" w:space="0" w:color="000000"/>
              <w:right w:val="nil"/>
            </w:tcBorders>
            <w:shd w:val="clear" w:color="auto" w:fill="auto"/>
            <w:vAlign w:val="center"/>
            <w:hideMark/>
          </w:tcPr>
          <w:p w14:paraId="7E4529B3"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b/>
                <w:bCs/>
                <w:color w:val="1F1F1F"/>
                <w:sz w:val="20"/>
                <w:lang w:val="en-GB"/>
              </w:rPr>
              <w:t>Fossil</w:t>
            </w:r>
            <w:r w:rsidRPr="00340A14">
              <w:rPr>
                <w:rFonts w:ascii="Times New Roman" w:hAnsi="Times New Roman"/>
                <w:color w:val="1F1F1F"/>
                <w:sz w:val="20"/>
              </w:rPr>
              <w:t> </w:t>
            </w:r>
          </w:p>
        </w:tc>
        <w:tc>
          <w:tcPr>
            <w:tcW w:w="3465" w:type="dxa"/>
            <w:gridSpan w:val="3"/>
            <w:tcBorders>
              <w:top w:val="nil"/>
              <w:left w:val="nil"/>
              <w:bottom w:val="single" w:sz="6" w:space="0" w:color="000000"/>
              <w:right w:val="nil"/>
            </w:tcBorders>
            <w:shd w:val="clear" w:color="auto" w:fill="auto"/>
            <w:vAlign w:val="center"/>
            <w:hideMark/>
          </w:tcPr>
          <w:p w14:paraId="3E5DC472"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b/>
                <w:bCs/>
                <w:color w:val="1F1F1F"/>
                <w:sz w:val="20"/>
                <w:lang w:val="en-GB"/>
              </w:rPr>
              <w:t>Renewable</w:t>
            </w:r>
            <w:r w:rsidRPr="00340A14">
              <w:rPr>
                <w:rFonts w:ascii="Times New Roman" w:hAnsi="Times New Roman"/>
                <w:color w:val="1F1F1F"/>
                <w:sz w:val="20"/>
              </w:rPr>
              <w:t> </w:t>
            </w:r>
          </w:p>
        </w:tc>
      </w:tr>
      <w:tr w:rsidR="00340A14" w:rsidRPr="00340A14" w14:paraId="06BA4E93" w14:textId="77777777" w:rsidTr="0040379B">
        <w:trPr>
          <w:jc w:val="center"/>
        </w:trPr>
        <w:tc>
          <w:tcPr>
            <w:tcW w:w="2160" w:type="dxa"/>
            <w:tcBorders>
              <w:top w:val="nil"/>
              <w:left w:val="nil"/>
              <w:bottom w:val="nil"/>
              <w:right w:val="nil"/>
            </w:tcBorders>
            <w:shd w:val="clear" w:color="auto" w:fill="auto"/>
            <w:vAlign w:val="center"/>
            <w:hideMark/>
          </w:tcPr>
          <w:p w14:paraId="504DEE1E"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rPr>
              <w:t> </w:t>
            </w:r>
          </w:p>
        </w:tc>
        <w:tc>
          <w:tcPr>
            <w:tcW w:w="855" w:type="dxa"/>
            <w:tcBorders>
              <w:top w:val="single" w:sz="6" w:space="0" w:color="000000"/>
              <w:left w:val="nil"/>
              <w:bottom w:val="single" w:sz="6" w:space="0" w:color="000000"/>
              <w:right w:val="nil"/>
            </w:tcBorders>
            <w:shd w:val="clear" w:color="auto" w:fill="auto"/>
            <w:vAlign w:val="center"/>
            <w:hideMark/>
          </w:tcPr>
          <w:p w14:paraId="58B4D195"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b/>
                <w:bCs/>
                <w:color w:val="1F1F1F"/>
                <w:sz w:val="20"/>
                <w:lang w:val="en-GB"/>
              </w:rPr>
              <w:t>HFO</w:t>
            </w:r>
            <w:r w:rsidRPr="00340A14">
              <w:rPr>
                <w:rFonts w:ascii="Times New Roman" w:hAnsi="Times New Roman"/>
                <w:color w:val="1F1F1F"/>
                <w:sz w:val="20"/>
              </w:rPr>
              <w:t> </w:t>
            </w:r>
          </w:p>
        </w:tc>
        <w:tc>
          <w:tcPr>
            <w:tcW w:w="1095" w:type="dxa"/>
            <w:tcBorders>
              <w:top w:val="single" w:sz="6" w:space="0" w:color="000000"/>
              <w:left w:val="nil"/>
              <w:bottom w:val="single" w:sz="6" w:space="0" w:color="000000"/>
              <w:right w:val="nil"/>
            </w:tcBorders>
            <w:shd w:val="clear" w:color="auto" w:fill="auto"/>
            <w:vAlign w:val="center"/>
            <w:hideMark/>
          </w:tcPr>
          <w:p w14:paraId="2BD9356B"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b/>
                <w:bCs/>
                <w:color w:val="1F1F1F"/>
                <w:sz w:val="20"/>
                <w:lang w:val="en-GB"/>
              </w:rPr>
              <w:t>LNG</w:t>
            </w:r>
            <w:r w:rsidRPr="00340A14">
              <w:rPr>
                <w:rFonts w:ascii="Times New Roman" w:hAnsi="Times New Roman"/>
                <w:color w:val="1F1F1F"/>
                <w:sz w:val="20"/>
              </w:rPr>
              <w:t> </w:t>
            </w:r>
          </w:p>
        </w:tc>
        <w:tc>
          <w:tcPr>
            <w:tcW w:w="1110" w:type="dxa"/>
            <w:tcBorders>
              <w:top w:val="single" w:sz="6" w:space="0" w:color="000000"/>
              <w:left w:val="nil"/>
              <w:bottom w:val="single" w:sz="6" w:space="0" w:color="000000"/>
              <w:right w:val="nil"/>
            </w:tcBorders>
            <w:shd w:val="clear" w:color="auto" w:fill="auto"/>
            <w:vAlign w:val="center"/>
            <w:hideMark/>
          </w:tcPr>
          <w:p w14:paraId="46E3201D"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b/>
                <w:bCs/>
                <w:color w:val="1F1F1F"/>
                <w:sz w:val="20"/>
                <w:lang w:val="en-GB"/>
              </w:rPr>
              <w:t>Methanol</w:t>
            </w:r>
            <w:r w:rsidRPr="00340A14">
              <w:rPr>
                <w:rFonts w:ascii="Times New Roman" w:hAnsi="Times New Roman"/>
                <w:color w:val="1F1F1F"/>
                <w:sz w:val="20"/>
              </w:rPr>
              <w:t> </w:t>
            </w:r>
          </w:p>
        </w:tc>
        <w:tc>
          <w:tcPr>
            <w:tcW w:w="1095" w:type="dxa"/>
            <w:tcBorders>
              <w:top w:val="single" w:sz="6" w:space="0" w:color="000000"/>
              <w:left w:val="nil"/>
              <w:bottom w:val="single" w:sz="6" w:space="0" w:color="000000"/>
              <w:right w:val="nil"/>
            </w:tcBorders>
            <w:shd w:val="clear" w:color="auto" w:fill="auto"/>
            <w:vAlign w:val="center"/>
            <w:hideMark/>
          </w:tcPr>
          <w:p w14:paraId="1253D500"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b/>
                <w:bCs/>
                <w:color w:val="1F1F1F"/>
                <w:sz w:val="20"/>
                <w:lang w:val="en-GB"/>
              </w:rPr>
              <w:t>Biofuels</w:t>
            </w:r>
            <w:r w:rsidRPr="00340A14">
              <w:rPr>
                <w:rFonts w:ascii="Times New Roman" w:hAnsi="Times New Roman"/>
                <w:color w:val="1F1F1F"/>
                <w:sz w:val="20"/>
              </w:rPr>
              <w:t> </w:t>
            </w:r>
          </w:p>
        </w:tc>
        <w:tc>
          <w:tcPr>
            <w:tcW w:w="1170" w:type="dxa"/>
            <w:tcBorders>
              <w:top w:val="single" w:sz="6" w:space="0" w:color="000000"/>
              <w:left w:val="nil"/>
              <w:bottom w:val="single" w:sz="6" w:space="0" w:color="000000"/>
              <w:right w:val="nil"/>
            </w:tcBorders>
            <w:shd w:val="clear" w:color="auto" w:fill="auto"/>
            <w:vAlign w:val="center"/>
            <w:hideMark/>
          </w:tcPr>
          <w:p w14:paraId="351F1A05"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b/>
                <w:bCs/>
                <w:color w:val="1F1F1F"/>
                <w:sz w:val="20"/>
                <w:lang w:val="en-GB"/>
              </w:rPr>
              <w:t> Ammonia</w:t>
            </w:r>
            <w:r w:rsidRPr="00340A14">
              <w:rPr>
                <w:rFonts w:ascii="Times New Roman" w:hAnsi="Times New Roman"/>
                <w:color w:val="1F1F1F"/>
                <w:sz w:val="20"/>
              </w:rPr>
              <w:t> </w:t>
            </w:r>
          </w:p>
        </w:tc>
        <w:tc>
          <w:tcPr>
            <w:tcW w:w="1200" w:type="dxa"/>
            <w:tcBorders>
              <w:top w:val="single" w:sz="6" w:space="0" w:color="000000"/>
              <w:left w:val="nil"/>
              <w:bottom w:val="single" w:sz="6" w:space="0" w:color="000000"/>
              <w:right w:val="nil"/>
            </w:tcBorders>
            <w:shd w:val="clear" w:color="auto" w:fill="auto"/>
            <w:vAlign w:val="center"/>
            <w:hideMark/>
          </w:tcPr>
          <w:p w14:paraId="0536146D"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b/>
                <w:bCs/>
                <w:color w:val="1F1F1F"/>
                <w:sz w:val="20"/>
                <w:lang w:val="en-GB"/>
              </w:rPr>
              <w:t> Hydrogen</w:t>
            </w:r>
            <w:r w:rsidRPr="00340A14">
              <w:rPr>
                <w:rFonts w:ascii="Times New Roman" w:hAnsi="Times New Roman"/>
                <w:color w:val="1F1F1F"/>
                <w:sz w:val="20"/>
              </w:rPr>
              <w:t> </w:t>
            </w:r>
          </w:p>
        </w:tc>
      </w:tr>
      <w:tr w:rsidR="00340A14" w:rsidRPr="00340A14" w14:paraId="5A1A3954" w14:textId="77777777" w:rsidTr="0040379B">
        <w:trPr>
          <w:jc w:val="center"/>
        </w:trPr>
        <w:tc>
          <w:tcPr>
            <w:tcW w:w="2160" w:type="dxa"/>
            <w:tcBorders>
              <w:top w:val="nil"/>
              <w:left w:val="nil"/>
              <w:bottom w:val="nil"/>
              <w:right w:val="nil"/>
            </w:tcBorders>
            <w:shd w:val="clear" w:color="auto" w:fill="A6A6A6"/>
            <w:vAlign w:val="center"/>
            <w:hideMark/>
          </w:tcPr>
          <w:p w14:paraId="346520FD"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b/>
                <w:bCs/>
                <w:color w:val="1F1F1F"/>
                <w:sz w:val="20"/>
                <w:lang w:val="en-GB"/>
              </w:rPr>
              <w:t>High Priority</w:t>
            </w:r>
            <w:r w:rsidRPr="00340A14">
              <w:rPr>
                <w:rFonts w:ascii="Times New Roman" w:hAnsi="Times New Roman"/>
                <w:color w:val="1F1F1F"/>
                <w:sz w:val="20"/>
              </w:rPr>
              <w:t> </w:t>
            </w:r>
          </w:p>
        </w:tc>
        <w:tc>
          <w:tcPr>
            <w:tcW w:w="855" w:type="dxa"/>
            <w:tcBorders>
              <w:top w:val="single" w:sz="6" w:space="0" w:color="000000"/>
              <w:left w:val="nil"/>
              <w:bottom w:val="nil"/>
              <w:right w:val="nil"/>
            </w:tcBorders>
            <w:shd w:val="clear" w:color="auto" w:fill="A6A6A6"/>
            <w:vAlign w:val="center"/>
            <w:hideMark/>
          </w:tcPr>
          <w:p w14:paraId="26AF5D9B"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rPr>
              <w:t> </w:t>
            </w:r>
          </w:p>
        </w:tc>
        <w:tc>
          <w:tcPr>
            <w:tcW w:w="1095" w:type="dxa"/>
            <w:tcBorders>
              <w:top w:val="single" w:sz="6" w:space="0" w:color="000000"/>
              <w:left w:val="nil"/>
              <w:bottom w:val="nil"/>
              <w:right w:val="nil"/>
            </w:tcBorders>
            <w:shd w:val="clear" w:color="auto" w:fill="A6A6A6"/>
            <w:vAlign w:val="center"/>
            <w:hideMark/>
          </w:tcPr>
          <w:p w14:paraId="30A6D907"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rPr>
              <w:t> </w:t>
            </w:r>
          </w:p>
        </w:tc>
        <w:tc>
          <w:tcPr>
            <w:tcW w:w="1110" w:type="dxa"/>
            <w:tcBorders>
              <w:top w:val="single" w:sz="6" w:space="0" w:color="000000"/>
              <w:left w:val="nil"/>
              <w:bottom w:val="nil"/>
              <w:right w:val="nil"/>
            </w:tcBorders>
            <w:shd w:val="clear" w:color="auto" w:fill="A6A6A6"/>
            <w:vAlign w:val="center"/>
            <w:hideMark/>
          </w:tcPr>
          <w:p w14:paraId="0BE0B398"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rPr>
              <w:t> </w:t>
            </w:r>
          </w:p>
        </w:tc>
        <w:tc>
          <w:tcPr>
            <w:tcW w:w="1095" w:type="dxa"/>
            <w:tcBorders>
              <w:top w:val="single" w:sz="6" w:space="0" w:color="000000"/>
              <w:left w:val="nil"/>
              <w:bottom w:val="nil"/>
              <w:right w:val="nil"/>
            </w:tcBorders>
            <w:shd w:val="clear" w:color="auto" w:fill="A6A6A6"/>
            <w:vAlign w:val="center"/>
            <w:hideMark/>
          </w:tcPr>
          <w:p w14:paraId="46567DB9"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rPr>
              <w:t> </w:t>
            </w:r>
          </w:p>
        </w:tc>
        <w:tc>
          <w:tcPr>
            <w:tcW w:w="1170" w:type="dxa"/>
            <w:tcBorders>
              <w:top w:val="single" w:sz="6" w:space="0" w:color="000000"/>
              <w:left w:val="nil"/>
              <w:bottom w:val="nil"/>
              <w:right w:val="nil"/>
            </w:tcBorders>
            <w:shd w:val="clear" w:color="auto" w:fill="A6A6A6"/>
            <w:vAlign w:val="center"/>
            <w:hideMark/>
          </w:tcPr>
          <w:p w14:paraId="7F220230"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rPr>
              <w:t> </w:t>
            </w:r>
          </w:p>
        </w:tc>
        <w:tc>
          <w:tcPr>
            <w:tcW w:w="1200" w:type="dxa"/>
            <w:tcBorders>
              <w:top w:val="single" w:sz="6" w:space="0" w:color="000000"/>
              <w:left w:val="nil"/>
              <w:bottom w:val="nil"/>
              <w:right w:val="nil"/>
            </w:tcBorders>
            <w:shd w:val="clear" w:color="auto" w:fill="A6A6A6"/>
            <w:vAlign w:val="center"/>
            <w:hideMark/>
          </w:tcPr>
          <w:p w14:paraId="56BADF6D"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rPr>
              <w:t> </w:t>
            </w:r>
          </w:p>
        </w:tc>
      </w:tr>
      <w:tr w:rsidR="00340A14" w:rsidRPr="00340A14" w14:paraId="0D659244" w14:textId="77777777" w:rsidTr="0040379B">
        <w:trPr>
          <w:jc w:val="center"/>
        </w:trPr>
        <w:tc>
          <w:tcPr>
            <w:tcW w:w="2160" w:type="dxa"/>
            <w:tcBorders>
              <w:top w:val="nil"/>
              <w:left w:val="nil"/>
              <w:bottom w:val="nil"/>
              <w:right w:val="nil"/>
            </w:tcBorders>
            <w:shd w:val="clear" w:color="auto" w:fill="auto"/>
            <w:vAlign w:val="center"/>
            <w:hideMark/>
          </w:tcPr>
          <w:p w14:paraId="3B163876"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Energy Density</w:t>
            </w:r>
            <w:r w:rsidRPr="00340A14">
              <w:rPr>
                <w:rFonts w:ascii="Times New Roman" w:hAnsi="Times New Roman"/>
                <w:color w:val="1F1F1F"/>
                <w:sz w:val="20"/>
              </w:rPr>
              <w:t> </w:t>
            </w:r>
          </w:p>
        </w:tc>
        <w:tc>
          <w:tcPr>
            <w:tcW w:w="855" w:type="dxa"/>
            <w:tcBorders>
              <w:top w:val="nil"/>
              <w:left w:val="nil"/>
              <w:bottom w:val="nil"/>
              <w:right w:val="nil"/>
            </w:tcBorders>
            <w:shd w:val="clear" w:color="auto" w:fill="auto"/>
            <w:vAlign w:val="center"/>
            <w:hideMark/>
          </w:tcPr>
          <w:p w14:paraId="5E80E4C0"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5</w:t>
            </w:r>
            <w:r w:rsidRPr="00340A14">
              <w:rPr>
                <w:rFonts w:ascii="Times New Roman" w:hAnsi="Times New Roman"/>
                <w:color w:val="1F1F1F"/>
                <w:sz w:val="20"/>
              </w:rPr>
              <w:t> </w:t>
            </w:r>
          </w:p>
        </w:tc>
        <w:tc>
          <w:tcPr>
            <w:tcW w:w="1095" w:type="dxa"/>
            <w:tcBorders>
              <w:top w:val="nil"/>
              <w:left w:val="nil"/>
              <w:bottom w:val="nil"/>
              <w:right w:val="nil"/>
            </w:tcBorders>
            <w:shd w:val="clear" w:color="auto" w:fill="auto"/>
            <w:vAlign w:val="center"/>
            <w:hideMark/>
          </w:tcPr>
          <w:p w14:paraId="11D48A72"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3</w:t>
            </w:r>
            <w:r w:rsidRPr="00340A14">
              <w:rPr>
                <w:rFonts w:ascii="Times New Roman" w:hAnsi="Times New Roman"/>
                <w:color w:val="1F1F1F"/>
                <w:sz w:val="20"/>
              </w:rPr>
              <w:t> </w:t>
            </w:r>
          </w:p>
        </w:tc>
        <w:tc>
          <w:tcPr>
            <w:tcW w:w="1110" w:type="dxa"/>
            <w:tcBorders>
              <w:top w:val="nil"/>
              <w:left w:val="nil"/>
              <w:bottom w:val="nil"/>
              <w:right w:val="nil"/>
            </w:tcBorders>
            <w:shd w:val="clear" w:color="auto" w:fill="auto"/>
            <w:vAlign w:val="center"/>
            <w:hideMark/>
          </w:tcPr>
          <w:p w14:paraId="21CFF216"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3</w:t>
            </w:r>
            <w:r w:rsidRPr="00340A14">
              <w:rPr>
                <w:rFonts w:ascii="Times New Roman" w:hAnsi="Times New Roman"/>
                <w:color w:val="1F1F1F"/>
                <w:sz w:val="20"/>
              </w:rPr>
              <w:t> </w:t>
            </w:r>
          </w:p>
        </w:tc>
        <w:tc>
          <w:tcPr>
            <w:tcW w:w="1095" w:type="dxa"/>
            <w:tcBorders>
              <w:top w:val="nil"/>
              <w:left w:val="nil"/>
              <w:bottom w:val="nil"/>
              <w:right w:val="nil"/>
            </w:tcBorders>
            <w:shd w:val="clear" w:color="auto" w:fill="auto"/>
            <w:vAlign w:val="center"/>
            <w:hideMark/>
          </w:tcPr>
          <w:p w14:paraId="4186F216"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5</w:t>
            </w:r>
            <w:r w:rsidRPr="00340A14">
              <w:rPr>
                <w:rFonts w:ascii="Times New Roman" w:hAnsi="Times New Roman"/>
                <w:color w:val="1F1F1F"/>
                <w:sz w:val="20"/>
              </w:rPr>
              <w:t> </w:t>
            </w:r>
          </w:p>
        </w:tc>
        <w:tc>
          <w:tcPr>
            <w:tcW w:w="1170" w:type="dxa"/>
            <w:tcBorders>
              <w:top w:val="nil"/>
              <w:left w:val="nil"/>
              <w:bottom w:val="nil"/>
              <w:right w:val="nil"/>
            </w:tcBorders>
            <w:shd w:val="clear" w:color="auto" w:fill="auto"/>
            <w:vAlign w:val="center"/>
            <w:hideMark/>
          </w:tcPr>
          <w:p w14:paraId="71020364"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3</w:t>
            </w:r>
            <w:r w:rsidRPr="00340A14">
              <w:rPr>
                <w:rFonts w:ascii="Times New Roman" w:hAnsi="Times New Roman"/>
                <w:color w:val="1F1F1F"/>
                <w:sz w:val="20"/>
              </w:rPr>
              <w:t> </w:t>
            </w:r>
          </w:p>
        </w:tc>
        <w:tc>
          <w:tcPr>
            <w:tcW w:w="1200" w:type="dxa"/>
            <w:tcBorders>
              <w:top w:val="nil"/>
              <w:left w:val="nil"/>
              <w:bottom w:val="nil"/>
              <w:right w:val="nil"/>
            </w:tcBorders>
            <w:shd w:val="clear" w:color="auto" w:fill="auto"/>
            <w:vAlign w:val="center"/>
            <w:hideMark/>
          </w:tcPr>
          <w:p w14:paraId="75490584"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2</w:t>
            </w:r>
            <w:r w:rsidRPr="00340A14">
              <w:rPr>
                <w:rFonts w:ascii="Times New Roman" w:hAnsi="Times New Roman"/>
                <w:color w:val="1F1F1F"/>
                <w:sz w:val="20"/>
              </w:rPr>
              <w:t> </w:t>
            </w:r>
          </w:p>
        </w:tc>
      </w:tr>
      <w:tr w:rsidR="00340A14" w:rsidRPr="00340A14" w14:paraId="34BEEE1B" w14:textId="77777777" w:rsidTr="0040379B">
        <w:trPr>
          <w:jc w:val="center"/>
        </w:trPr>
        <w:tc>
          <w:tcPr>
            <w:tcW w:w="2160" w:type="dxa"/>
            <w:tcBorders>
              <w:top w:val="nil"/>
              <w:left w:val="nil"/>
              <w:bottom w:val="nil"/>
              <w:right w:val="nil"/>
            </w:tcBorders>
            <w:shd w:val="clear" w:color="auto" w:fill="auto"/>
            <w:vAlign w:val="center"/>
            <w:hideMark/>
          </w:tcPr>
          <w:p w14:paraId="0CA8F12E"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Technological Maturity</w:t>
            </w:r>
            <w:r w:rsidRPr="00340A14">
              <w:rPr>
                <w:rFonts w:ascii="Times New Roman" w:hAnsi="Times New Roman"/>
                <w:color w:val="1F1F1F"/>
                <w:sz w:val="20"/>
              </w:rPr>
              <w:t> </w:t>
            </w:r>
          </w:p>
        </w:tc>
        <w:tc>
          <w:tcPr>
            <w:tcW w:w="855" w:type="dxa"/>
            <w:tcBorders>
              <w:top w:val="nil"/>
              <w:left w:val="nil"/>
              <w:bottom w:val="nil"/>
              <w:right w:val="nil"/>
            </w:tcBorders>
            <w:shd w:val="clear" w:color="auto" w:fill="auto"/>
            <w:vAlign w:val="center"/>
            <w:hideMark/>
          </w:tcPr>
          <w:p w14:paraId="48392736"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5</w:t>
            </w:r>
            <w:r w:rsidRPr="00340A14">
              <w:rPr>
                <w:rFonts w:ascii="Times New Roman" w:hAnsi="Times New Roman"/>
                <w:color w:val="1F1F1F"/>
                <w:sz w:val="20"/>
              </w:rPr>
              <w:t> </w:t>
            </w:r>
          </w:p>
        </w:tc>
        <w:tc>
          <w:tcPr>
            <w:tcW w:w="1095" w:type="dxa"/>
            <w:tcBorders>
              <w:top w:val="nil"/>
              <w:left w:val="nil"/>
              <w:bottom w:val="nil"/>
              <w:right w:val="nil"/>
            </w:tcBorders>
            <w:shd w:val="clear" w:color="auto" w:fill="auto"/>
            <w:vAlign w:val="center"/>
            <w:hideMark/>
          </w:tcPr>
          <w:p w14:paraId="53A2109E"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4</w:t>
            </w:r>
            <w:r w:rsidRPr="00340A14">
              <w:rPr>
                <w:rFonts w:ascii="Times New Roman" w:hAnsi="Times New Roman"/>
                <w:color w:val="1F1F1F"/>
                <w:sz w:val="20"/>
              </w:rPr>
              <w:t> </w:t>
            </w:r>
          </w:p>
        </w:tc>
        <w:tc>
          <w:tcPr>
            <w:tcW w:w="1110" w:type="dxa"/>
            <w:tcBorders>
              <w:top w:val="nil"/>
              <w:left w:val="nil"/>
              <w:bottom w:val="nil"/>
              <w:right w:val="nil"/>
            </w:tcBorders>
            <w:shd w:val="clear" w:color="auto" w:fill="auto"/>
            <w:vAlign w:val="center"/>
            <w:hideMark/>
          </w:tcPr>
          <w:p w14:paraId="0B645A9D"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3</w:t>
            </w:r>
            <w:r w:rsidRPr="00340A14">
              <w:rPr>
                <w:rFonts w:ascii="Times New Roman" w:hAnsi="Times New Roman"/>
                <w:color w:val="1F1F1F"/>
                <w:sz w:val="20"/>
              </w:rPr>
              <w:t> </w:t>
            </w:r>
          </w:p>
        </w:tc>
        <w:tc>
          <w:tcPr>
            <w:tcW w:w="1095" w:type="dxa"/>
            <w:tcBorders>
              <w:top w:val="nil"/>
              <w:left w:val="nil"/>
              <w:bottom w:val="nil"/>
              <w:right w:val="nil"/>
            </w:tcBorders>
            <w:shd w:val="clear" w:color="auto" w:fill="auto"/>
            <w:vAlign w:val="center"/>
            <w:hideMark/>
          </w:tcPr>
          <w:p w14:paraId="23F4EB04"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5</w:t>
            </w:r>
            <w:r w:rsidRPr="00340A14">
              <w:rPr>
                <w:rFonts w:ascii="Times New Roman" w:hAnsi="Times New Roman"/>
                <w:color w:val="1F1F1F"/>
                <w:sz w:val="20"/>
              </w:rPr>
              <w:t> </w:t>
            </w:r>
          </w:p>
        </w:tc>
        <w:tc>
          <w:tcPr>
            <w:tcW w:w="1170" w:type="dxa"/>
            <w:tcBorders>
              <w:top w:val="nil"/>
              <w:left w:val="nil"/>
              <w:bottom w:val="nil"/>
              <w:right w:val="nil"/>
            </w:tcBorders>
            <w:shd w:val="clear" w:color="auto" w:fill="auto"/>
            <w:vAlign w:val="center"/>
            <w:hideMark/>
          </w:tcPr>
          <w:p w14:paraId="05E8B1DA"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2</w:t>
            </w:r>
            <w:r w:rsidRPr="00340A14">
              <w:rPr>
                <w:rFonts w:ascii="Times New Roman" w:hAnsi="Times New Roman"/>
                <w:color w:val="1F1F1F"/>
                <w:sz w:val="20"/>
              </w:rPr>
              <w:t> </w:t>
            </w:r>
          </w:p>
        </w:tc>
        <w:tc>
          <w:tcPr>
            <w:tcW w:w="1200" w:type="dxa"/>
            <w:tcBorders>
              <w:top w:val="nil"/>
              <w:left w:val="nil"/>
              <w:bottom w:val="nil"/>
              <w:right w:val="nil"/>
            </w:tcBorders>
            <w:shd w:val="clear" w:color="auto" w:fill="auto"/>
            <w:vAlign w:val="center"/>
            <w:hideMark/>
          </w:tcPr>
          <w:p w14:paraId="4AFBB0EA"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2</w:t>
            </w:r>
            <w:r w:rsidRPr="00340A14">
              <w:rPr>
                <w:rFonts w:ascii="Times New Roman" w:hAnsi="Times New Roman"/>
                <w:color w:val="1F1F1F"/>
                <w:sz w:val="20"/>
              </w:rPr>
              <w:t> </w:t>
            </w:r>
          </w:p>
        </w:tc>
      </w:tr>
      <w:tr w:rsidR="00340A14" w:rsidRPr="00340A14" w14:paraId="746D30F0" w14:textId="77777777" w:rsidTr="0040379B">
        <w:trPr>
          <w:jc w:val="center"/>
        </w:trPr>
        <w:tc>
          <w:tcPr>
            <w:tcW w:w="2160" w:type="dxa"/>
            <w:tcBorders>
              <w:top w:val="nil"/>
              <w:left w:val="nil"/>
              <w:bottom w:val="nil"/>
              <w:right w:val="nil"/>
            </w:tcBorders>
            <w:shd w:val="clear" w:color="auto" w:fill="auto"/>
            <w:vAlign w:val="center"/>
            <w:hideMark/>
          </w:tcPr>
          <w:p w14:paraId="1BC14745"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Total Emissions</w:t>
            </w:r>
            <w:r w:rsidRPr="00340A14">
              <w:rPr>
                <w:rFonts w:ascii="Times New Roman" w:hAnsi="Times New Roman"/>
                <w:color w:val="1F1F1F"/>
                <w:sz w:val="20"/>
              </w:rPr>
              <w:t> </w:t>
            </w:r>
          </w:p>
        </w:tc>
        <w:tc>
          <w:tcPr>
            <w:tcW w:w="855" w:type="dxa"/>
            <w:tcBorders>
              <w:top w:val="nil"/>
              <w:left w:val="nil"/>
              <w:bottom w:val="nil"/>
              <w:right w:val="nil"/>
            </w:tcBorders>
            <w:shd w:val="clear" w:color="auto" w:fill="auto"/>
            <w:vAlign w:val="center"/>
            <w:hideMark/>
          </w:tcPr>
          <w:p w14:paraId="60D7E427"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1</w:t>
            </w:r>
            <w:r w:rsidRPr="00340A14">
              <w:rPr>
                <w:rFonts w:ascii="Times New Roman" w:hAnsi="Times New Roman"/>
                <w:color w:val="1F1F1F"/>
                <w:sz w:val="20"/>
              </w:rPr>
              <w:t> </w:t>
            </w:r>
          </w:p>
        </w:tc>
        <w:tc>
          <w:tcPr>
            <w:tcW w:w="1095" w:type="dxa"/>
            <w:tcBorders>
              <w:top w:val="nil"/>
              <w:left w:val="nil"/>
              <w:bottom w:val="nil"/>
              <w:right w:val="nil"/>
            </w:tcBorders>
            <w:shd w:val="clear" w:color="auto" w:fill="auto"/>
            <w:vAlign w:val="center"/>
            <w:hideMark/>
          </w:tcPr>
          <w:p w14:paraId="55588DF3"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2</w:t>
            </w:r>
            <w:r w:rsidRPr="00340A14">
              <w:rPr>
                <w:rFonts w:ascii="Times New Roman" w:hAnsi="Times New Roman"/>
                <w:color w:val="1F1F1F"/>
                <w:sz w:val="20"/>
              </w:rPr>
              <w:t> </w:t>
            </w:r>
          </w:p>
        </w:tc>
        <w:tc>
          <w:tcPr>
            <w:tcW w:w="1110" w:type="dxa"/>
            <w:tcBorders>
              <w:top w:val="nil"/>
              <w:left w:val="nil"/>
              <w:bottom w:val="nil"/>
              <w:right w:val="nil"/>
            </w:tcBorders>
            <w:shd w:val="clear" w:color="auto" w:fill="auto"/>
            <w:vAlign w:val="center"/>
            <w:hideMark/>
          </w:tcPr>
          <w:p w14:paraId="414A7EB1"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2</w:t>
            </w:r>
            <w:r w:rsidRPr="00340A14">
              <w:rPr>
                <w:rFonts w:ascii="Times New Roman" w:hAnsi="Times New Roman"/>
                <w:color w:val="1F1F1F"/>
                <w:sz w:val="20"/>
              </w:rPr>
              <w:t> </w:t>
            </w:r>
          </w:p>
        </w:tc>
        <w:tc>
          <w:tcPr>
            <w:tcW w:w="1095" w:type="dxa"/>
            <w:tcBorders>
              <w:top w:val="nil"/>
              <w:left w:val="nil"/>
              <w:bottom w:val="nil"/>
              <w:right w:val="nil"/>
            </w:tcBorders>
            <w:shd w:val="clear" w:color="auto" w:fill="auto"/>
            <w:vAlign w:val="center"/>
            <w:hideMark/>
          </w:tcPr>
          <w:p w14:paraId="61EB16DA"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4-5</w:t>
            </w:r>
            <w:r w:rsidRPr="00340A14">
              <w:rPr>
                <w:rFonts w:ascii="Times New Roman" w:hAnsi="Times New Roman"/>
                <w:color w:val="1F1F1F"/>
                <w:sz w:val="20"/>
              </w:rPr>
              <w:t> </w:t>
            </w:r>
          </w:p>
        </w:tc>
        <w:tc>
          <w:tcPr>
            <w:tcW w:w="1170" w:type="dxa"/>
            <w:tcBorders>
              <w:top w:val="nil"/>
              <w:left w:val="nil"/>
              <w:bottom w:val="nil"/>
              <w:right w:val="nil"/>
            </w:tcBorders>
            <w:shd w:val="clear" w:color="auto" w:fill="auto"/>
            <w:vAlign w:val="center"/>
            <w:hideMark/>
          </w:tcPr>
          <w:p w14:paraId="12D89F23"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4</w:t>
            </w:r>
            <w:r w:rsidRPr="00340A14">
              <w:rPr>
                <w:rFonts w:ascii="Times New Roman" w:hAnsi="Times New Roman"/>
                <w:color w:val="1F1F1F"/>
                <w:sz w:val="20"/>
              </w:rPr>
              <w:t> </w:t>
            </w:r>
          </w:p>
        </w:tc>
        <w:tc>
          <w:tcPr>
            <w:tcW w:w="1200" w:type="dxa"/>
            <w:tcBorders>
              <w:top w:val="nil"/>
              <w:left w:val="nil"/>
              <w:bottom w:val="nil"/>
              <w:right w:val="nil"/>
            </w:tcBorders>
            <w:shd w:val="clear" w:color="auto" w:fill="auto"/>
            <w:vAlign w:val="center"/>
            <w:hideMark/>
          </w:tcPr>
          <w:p w14:paraId="1B5DB172"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5</w:t>
            </w:r>
            <w:r w:rsidRPr="00340A14">
              <w:rPr>
                <w:rFonts w:ascii="Times New Roman" w:hAnsi="Times New Roman"/>
                <w:color w:val="1F1F1F"/>
                <w:sz w:val="20"/>
              </w:rPr>
              <w:t> </w:t>
            </w:r>
          </w:p>
        </w:tc>
      </w:tr>
      <w:tr w:rsidR="00340A14" w:rsidRPr="00340A14" w14:paraId="3F76B5FC" w14:textId="77777777" w:rsidTr="0040379B">
        <w:trPr>
          <w:jc w:val="center"/>
        </w:trPr>
        <w:tc>
          <w:tcPr>
            <w:tcW w:w="2160" w:type="dxa"/>
            <w:tcBorders>
              <w:top w:val="nil"/>
              <w:left w:val="nil"/>
              <w:bottom w:val="nil"/>
              <w:right w:val="nil"/>
            </w:tcBorders>
            <w:shd w:val="clear" w:color="auto" w:fill="auto"/>
            <w:vAlign w:val="center"/>
            <w:hideMark/>
          </w:tcPr>
          <w:p w14:paraId="1BFB4ED1"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Energy Cost</w:t>
            </w:r>
            <w:r w:rsidRPr="00340A14">
              <w:rPr>
                <w:rFonts w:ascii="Times New Roman" w:hAnsi="Times New Roman"/>
                <w:color w:val="1F1F1F"/>
                <w:sz w:val="20"/>
              </w:rPr>
              <w:t> </w:t>
            </w:r>
          </w:p>
        </w:tc>
        <w:tc>
          <w:tcPr>
            <w:tcW w:w="855" w:type="dxa"/>
            <w:tcBorders>
              <w:top w:val="nil"/>
              <w:left w:val="nil"/>
              <w:bottom w:val="nil"/>
              <w:right w:val="nil"/>
            </w:tcBorders>
            <w:shd w:val="clear" w:color="auto" w:fill="auto"/>
            <w:vAlign w:val="center"/>
            <w:hideMark/>
          </w:tcPr>
          <w:p w14:paraId="130B637F"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5</w:t>
            </w:r>
            <w:r w:rsidRPr="00340A14">
              <w:rPr>
                <w:rFonts w:ascii="Times New Roman" w:hAnsi="Times New Roman"/>
                <w:color w:val="1F1F1F"/>
                <w:sz w:val="20"/>
              </w:rPr>
              <w:t> </w:t>
            </w:r>
          </w:p>
        </w:tc>
        <w:tc>
          <w:tcPr>
            <w:tcW w:w="1095" w:type="dxa"/>
            <w:tcBorders>
              <w:top w:val="nil"/>
              <w:left w:val="nil"/>
              <w:bottom w:val="nil"/>
              <w:right w:val="nil"/>
            </w:tcBorders>
            <w:shd w:val="clear" w:color="auto" w:fill="auto"/>
            <w:vAlign w:val="center"/>
            <w:hideMark/>
          </w:tcPr>
          <w:p w14:paraId="36F4C220"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5</w:t>
            </w:r>
            <w:r w:rsidRPr="00340A14">
              <w:rPr>
                <w:rFonts w:ascii="Times New Roman" w:hAnsi="Times New Roman"/>
                <w:color w:val="1F1F1F"/>
                <w:sz w:val="20"/>
              </w:rPr>
              <w:t> </w:t>
            </w:r>
          </w:p>
        </w:tc>
        <w:tc>
          <w:tcPr>
            <w:tcW w:w="1110" w:type="dxa"/>
            <w:tcBorders>
              <w:top w:val="nil"/>
              <w:left w:val="nil"/>
              <w:bottom w:val="nil"/>
              <w:right w:val="nil"/>
            </w:tcBorders>
            <w:shd w:val="clear" w:color="auto" w:fill="auto"/>
            <w:vAlign w:val="center"/>
            <w:hideMark/>
          </w:tcPr>
          <w:p w14:paraId="66C807EF"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3</w:t>
            </w:r>
            <w:r w:rsidRPr="00340A14">
              <w:rPr>
                <w:rFonts w:ascii="Times New Roman" w:hAnsi="Times New Roman"/>
                <w:color w:val="1F1F1F"/>
                <w:sz w:val="20"/>
              </w:rPr>
              <w:t> </w:t>
            </w:r>
          </w:p>
        </w:tc>
        <w:tc>
          <w:tcPr>
            <w:tcW w:w="1095" w:type="dxa"/>
            <w:tcBorders>
              <w:top w:val="nil"/>
              <w:left w:val="nil"/>
              <w:bottom w:val="nil"/>
              <w:right w:val="nil"/>
            </w:tcBorders>
            <w:shd w:val="clear" w:color="auto" w:fill="auto"/>
            <w:vAlign w:val="center"/>
            <w:hideMark/>
          </w:tcPr>
          <w:p w14:paraId="22E55283"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3</w:t>
            </w:r>
            <w:r w:rsidRPr="00340A14">
              <w:rPr>
                <w:rFonts w:ascii="Times New Roman" w:hAnsi="Times New Roman"/>
                <w:color w:val="1F1F1F"/>
                <w:sz w:val="20"/>
              </w:rPr>
              <w:t> </w:t>
            </w:r>
          </w:p>
        </w:tc>
        <w:tc>
          <w:tcPr>
            <w:tcW w:w="1170" w:type="dxa"/>
            <w:tcBorders>
              <w:top w:val="nil"/>
              <w:left w:val="nil"/>
              <w:bottom w:val="nil"/>
              <w:right w:val="nil"/>
            </w:tcBorders>
            <w:shd w:val="clear" w:color="auto" w:fill="auto"/>
            <w:vAlign w:val="center"/>
            <w:hideMark/>
          </w:tcPr>
          <w:p w14:paraId="529B3AA3"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1</w:t>
            </w:r>
            <w:r w:rsidRPr="00340A14">
              <w:rPr>
                <w:rFonts w:ascii="Times New Roman" w:hAnsi="Times New Roman"/>
                <w:color w:val="1F1F1F"/>
                <w:sz w:val="20"/>
              </w:rPr>
              <w:t> </w:t>
            </w:r>
          </w:p>
        </w:tc>
        <w:tc>
          <w:tcPr>
            <w:tcW w:w="1200" w:type="dxa"/>
            <w:tcBorders>
              <w:top w:val="nil"/>
              <w:left w:val="nil"/>
              <w:bottom w:val="nil"/>
              <w:right w:val="nil"/>
            </w:tcBorders>
            <w:shd w:val="clear" w:color="auto" w:fill="auto"/>
            <w:vAlign w:val="center"/>
            <w:hideMark/>
          </w:tcPr>
          <w:p w14:paraId="28257142"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1</w:t>
            </w:r>
            <w:r w:rsidRPr="00340A14">
              <w:rPr>
                <w:rFonts w:ascii="Times New Roman" w:hAnsi="Times New Roman"/>
                <w:color w:val="1F1F1F"/>
                <w:sz w:val="20"/>
              </w:rPr>
              <w:t> </w:t>
            </w:r>
          </w:p>
        </w:tc>
      </w:tr>
      <w:tr w:rsidR="00340A14" w:rsidRPr="00340A14" w14:paraId="6FA81E11" w14:textId="77777777" w:rsidTr="0040379B">
        <w:trPr>
          <w:jc w:val="center"/>
        </w:trPr>
        <w:tc>
          <w:tcPr>
            <w:tcW w:w="2160" w:type="dxa"/>
            <w:tcBorders>
              <w:top w:val="nil"/>
              <w:left w:val="nil"/>
              <w:bottom w:val="nil"/>
              <w:right w:val="nil"/>
            </w:tcBorders>
            <w:shd w:val="clear" w:color="auto" w:fill="auto"/>
            <w:vAlign w:val="center"/>
            <w:hideMark/>
          </w:tcPr>
          <w:p w14:paraId="4830698D"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Capital Cost</w:t>
            </w:r>
            <w:r w:rsidRPr="00340A14">
              <w:rPr>
                <w:rFonts w:ascii="Times New Roman" w:hAnsi="Times New Roman"/>
                <w:color w:val="1F1F1F"/>
                <w:sz w:val="20"/>
              </w:rPr>
              <w:t> </w:t>
            </w:r>
          </w:p>
        </w:tc>
        <w:tc>
          <w:tcPr>
            <w:tcW w:w="855" w:type="dxa"/>
            <w:tcBorders>
              <w:top w:val="nil"/>
              <w:left w:val="nil"/>
              <w:bottom w:val="nil"/>
              <w:right w:val="nil"/>
            </w:tcBorders>
            <w:shd w:val="clear" w:color="auto" w:fill="auto"/>
            <w:vAlign w:val="center"/>
            <w:hideMark/>
          </w:tcPr>
          <w:p w14:paraId="044E1A5F"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5</w:t>
            </w:r>
            <w:r w:rsidRPr="00340A14">
              <w:rPr>
                <w:rFonts w:ascii="Times New Roman" w:hAnsi="Times New Roman"/>
                <w:color w:val="1F1F1F"/>
                <w:sz w:val="20"/>
              </w:rPr>
              <w:t> </w:t>
            </w:r>
          </w:p>
        </w:tc>
        <w:tc>
          <w:tcPr>
            <w:tcW w:w="1095" w:type="dxa"/>
            <w:tcBorders>
              <w:top w:val="nil"/>
              <w:left w:val="nil"/>
              <w:bottom w:val="nil"/>
              <w:right w:val="nil"/>
            </w:tcBorders>
            <w:shd w:val="clear" w:color="auto" w:fill="auto"/>
            <w:vAlign w:val="center"/>
            <w:hideMark/>
          </w:tcPr>
          <w:p w14:paraId="43566150"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3-4</w:t>
            </w:r>
            <w:r w:rsidRPr="00340A14">
              <w:rPr>
                <w:rFonts w:ascii="Times New Roman" w:hAnsi="Times New Roman"/>
                <w:color w:val="1F1F1F"/>
                <w:sz w:val="20"/>
              </w:rPr>
              <w:t> </w:t>
            </w:r>
          </w:p>
        </w:tc>
        <w:tc>
          <w:tcPr>
            <w:tcW w:w="1110" w:type="dxa"/>
            <w:tcBorders>
              <w:top w:val="nil"/>
              <w:left w:val="nil"/>
              <w:bottom w:val="nil"/>
              <w:right w:val="nil"/>
            </w:tcBorders>
            <w:shd w:val="clear" w:color="auto" w:fill="auto"/>
            <w:vAlign w:val="center"/>
            <w:hideMark/>
          </w:tcPr>
          <w:p w14:paraId="63E019BE"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4</w:t>
            </w:r>
            <w:r w:rsidRPr="00340A14">
              <w:rPr>
                <w:rFonts w:ascii="Times New Roman" w:hAnsi="Times New Roman"/>
                <w:color w:val="1F1F1F"/>
                <w:sz w:val="20"/>
              </w:rPr>
              <w:t> </w:t>
            </w:r>
          </w:p>
        </w:tc>
        <w:tc>
          <w:tcPr>
            <w:tcW w:w="1095" w:type="dxa"/>
            <w:tcBorders>
              <w:top w:val="nil"/>
              <w:left w:val="nil"/>
              <w:bottom w:val="nil"/>
              <w:right w:val="nil"/>
            </w:tcBorders>
            <w:shd w:val="clear" w:color="auto" w:fill="auto"/>
            <w:vAlign w:val="center"/>
            <w:hideMark/>
          </w:tcPr>
          <w:p w14:paraId="27488C81"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5</w:t>
            </w:r>
            <w:r w:rsidRPr="00340A14">
              <w:rPr>
                <w:rFonts w:ascii="Times New Roman" w:hAnsi="Times New Roman"/>
                <w:color w:val="1F1F1F"/>
                <w:sz w:val="20"/>
              </w:rPr>
              <w:t> </w:t>
            </w:r>
          </w:p>
        </w:tc>
        <w:tc>
          <w:tcPr>
            <w:tcW w:w="1170" w:type="dxa"/>
            <w:tcBorders>
              <w:top w:val="nil"/>
              <w:left w:val="nil"/>
              <w:bottom w:val="nil"/>
              <w:right w:val="nil"/>
            </w:tcBorders>
            <w:shd w:val="clear" w:color="auto" w:fill="auto"/>
            <w:vAlign w:val="center"/>
            <w:hideMark/>
          </w:tcPr>
          <w:p w14:paraId="2542FBB8"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4</w:t>
            </w:r>
            <w:r w:rsidRPr="00340A14">
              <w:rPr>
                <w:rFonts w:ascii="Times New Roman" w:hAnsi="Times New Roman"/>
                <w:color w:val="1F1F1F"/>
                <w:sz w:val="20"/>
              </w:rPr>
              <w:t> </w:t>
            </w:r>
          </w:p>
        </w:tc>
        <w:tc>
          <w:tcPr>
            <w:tcW w:w="1200" w:type="dxa"/>
            <w:tcBorders>
              <w:top w:val="nil"/>
              <w:left w:val="nil"/>
              <w:bottom w:val="nil"/>
              <w:right w:val="nil"/>
            </w:tcBorders>
            <w:shd w:val="clear" w:color="auto" w:fill="auto"/>
            <w:vAlign w:val="center"/>
            <w:hideMark/>
          </w:tcPr>
          <w:p w14:paraId="15BF86EE"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1</w:t>
            </w:r>
            <w:r w:rsidRPr="00340A14">
              <w:rPr>
                <w:rFonts w:ascii="Times New Roman" w:hAnsi="Times New Roman"/>
                <w:color w:val="1F1F1F"/>
                <w:sz w:val="20"/>
              </w:rPr>
              <w:t> </w:t>
            </w:r>
          </w:p>
        </w:tc>
      </w:tr>
      <w:tr w:rsidR="00340A14" w:rsidRPr="00340A14" w14:paraId="6D7EFDDE" w14:textId="77777777" w:rsidTr="0040379B">
        <w:trPr>
          <w:jc w:val="center"/>
        </w:trPr>
        <w:tc>
          <w:tcPr>
            <w:tcW w:w="2160" w:type="dxa"/>
            <w:tcBorders>
              <w:top w:val="nil"/>
              <w:left w:val="nil"/>
              <w:bottom w:val="nil"/>
              <w:right w:val="nil"/>
            </w:tcBorders>
            <w:shd w:val="clear" w:color="auto" w:fill="auto"/>
            <w:vAlign w:val="center"/>
            <w:hideMark/>
          </w:tcPr>
          <w:p w14:paraId="1F966891" w14:textId="66D75AA6"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 xml:space="preserve">Bunkering </w:t>
            </w:r>
            <w:r w:rsidR="00ED64F9" w:rsidRPr="00340A14">
              <w:rPr>
                <w:rFonts w:ascii="Times New Roman" w:hAnsi="Times New Roman"/>
                <w:color w:val="1F1F1F"/>
                <w:sz w:val="20"/>
                <w:lang w:val="en-GB"/>
              </w:rPr>
              <w:t>Availability</w:t>
            </w:r>
            <w:r w:rsidRPr="00340A14">
              <w:rPr>
                <w:rFonts w:ascii="Times New Roman" w:hAnsi="Times New Roman"/>
                <w:color w:val="1F1F1F"/>
                <w:sz w:val="20"/>
              </w:rPr>
              <w:t> </w:t>
            </w:r>
          </w:p>
        </w:tc>
        <w:tc>
          <w:tcPr>
            <w:tcW w:w="855" w:type="dxa"/>
            <w:tcBorders>
              <w:top w:val="nil"/>
              <w:left w:val="nil"/>
              <w:bottom w:val="nil"/>
              <w:right w:val="nil"/>
            </w:tcBorders>
            <w:shd w:val="clear" w:color="auto" w:fill="auto"/>
            <w:vAlign w:val="center"/>
            <w:hideMark/>
          </w:tcPr>
          <w:p w14:paraId="683635DA"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5</w:t>
            </w:r>
            <w:r w:rsidRPr="00340A14">
              <w:rPr>
                <w:rFonts w:ascii="Times New Roman" w:hAnsi="Times New Roman"/>
                <w:color w:val="1F1F1F"/>
                <w:sz w:val="20"/>
              </w:rPr>
              <w:t> </w:t>
            </w:r>
          </w:p>
        </w:tc>
        <w:tc>
          <w:tcPr>
            <w:tcW w:w="1095" w:type="dxa"/>
            <w:tcBorders>
              <w:top w:val="nil"/>
              <w:left w:val="nil"/>
              <w:bottom w:val="nil"/>
              <w:right w:val="nil"/>
            </w:tcBorders>
            <w:shd w:val="clear" w:color="auto" w:fill="auto"/>
            <w:vAlign w:val="center"/>
            <w:hideMark/>
          </w:tcPr>
          <w:p w14:paraId="02BCC85C"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4</w:t>
            </w:r>
            <w:r w:rsidRPr="00340A14">
              <w:rPr>
                <w:rFonts w:ascii="Times New Roman" w:hAnsi="Times New Roman"/>
                <w:color w:val="1F1F1F"/>
                <w:sz w:val="20"/>
              </w:rPr>
              <w:t> </w:t>
            </w:r>
          </w:p>
        </w:tc>
        <w:tc>
          <w:tcPr>
            <w:tcW w:w="1110" w:type="dxa"/>
            <w:tcBorders>
              <w:top w:val="nil"/>
              <w:left w:val="nil"/>
              <w:bottom w:val="nil"/>
              <w:right w:val="nil"/>
            </w:tcBorders>
            <w:shd w:val="clear" w:color="auto" w:fill="auto"/>
            <w:vAlign w:val="center"/>
            <w:hideMark/>
          </w:tcPr>
          <w:p w14:paraId="1F5F34EF"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2-3</w:t>
            </w:r>
            <w:r w:rsidRPr="00340A14">
              <w:rPr>
                <w:rFonts w:ascii="Times New Roman" w:hAnsi="Times New Roman"/>
                <w:color w:val="1F1F1F"/>
                <w:sz w:val="20"/>
              </w:rPr>
              <w:t> </w:t>
            </w:r>
          </w:p>
        </w:tc>
        <w:tc>
          <w:tcPr>
            <w:tcW w:w="1095" w:type="dxa"/>
            <w:tcBorders>
              <w:top w:val="nil"/>
              <w:left w:val="nil"/>
              <w:bottom w:val="nil"/>
              <w:right w:val="nil"/>
            </w:tcBorders>
            <w:shd w:val="clear" w:color="auto" w:fill="auto"/>
            <w:vAlign w:val="center"/>
            <w:hideMark/>
          </w:tcPr>
          <w:p w14:paraId="227E818E"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3</w:t>
            </w:r>
            <w:r w:rsidRPr="00340A14">
              <w:rPr>
                <w:rFonts w:ascii="Times New Roman" w:hAnsi="Times New Roman"/>
                <w:color w:val="1F1F1F"/>
                <w:sz w:val="20"/>
              </w:rPr>
              <w:t> </w:t>
            </w:r>
          </w:p>
        </w:tc>
        <w:tc>
          <w:tcPr>
            <w:tcW w:w="1170" w:type="dxa"/>
            <w:tcBorders>
              <w:top w:val="nil"/>
              <w:left w:val="nil"/>
              <w:bottom w:val="nil"/>
              <w:right w:val="nil"/>
            </w:tcBorders>
            <w:shd w:val="clear" w:color="auto" w:fill="auto"/>
            <w:vAlign w:val="center"/>
            <w:hideMark/>
          </w:tcPr>
          <w:p w14:paraId="6A3CEF10"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2</w:t>
            </w:r>
            <w:r w:rsidRPr="00340A14">
              <w:rPr>
                <w:rFonts w:ascii="Times New Roman" w:hAnsi="Times New Roman"/>
                <w:color w:val="1F1F1F"/>
                <w:sz w:val="20"/>
              </w:rPr>
              <w:t> </w:t>
            </w:r>
          </w:p>
        </w:tc>
        <w:tc>
          <w:tcPr>
            <w:tcW w:w="1200" w:type="dxa"/>
            <w:tcBorders>
              <w:top w:val="nil"/>
              <w:left w:val="nil"/>
              <w:bottom w:val="nil"/>
              <w:right w:val="nil"/>
            </w:tcBorders>
            <w:shd w:val="clear" w:color="auto" w:fill="auto"/>
            <w:vAlign w:val="center"/>
            <w:hideMark/>
          </w:tcPr>
          <w:p w14:paraId="3EAC27C8"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1</w:t>
            </w:r>
            <w:r w:rsidRPr="00340A14">
              <w:rPr>
                <w:rFonts w:ascii="Times New Roman" w:hAnsi="Times New Roman"/>
                <w:color w:val="1F1F1F"/>
                <w:sz w:val="20"/>
              </w:rPr>
              <w:t> </w:t>
            </w:r>
          </w:p>
        </w:tc>
      </w:tr>
      <w:tr w:rsidR="00340A14" w:rsidRPr="00340A14" w14:paraId="67DA764F" w14:textId="77777777" w:rsidTr="0040379B">
        <w:trPr>
          <w:jc w:val="center"/>
        </w:trPr>
        <w:tc>
          <w:tcPr>
            <w:tcW w:w="2160" w:type="dxa"/>
            <w:tcBorders>
              <w:top w:val="nil"/>
              <w:left w:val="nil"/>
              <w:bottom w:val="single" w:sz="6" w:space="0" w:color="000000"/>
              <w:right w:val="nil"/>
            </w:tcBorders>
            <w:shd w:val="clear" w:color="auto" w:fill="auto"/>
            <w:vAlign w:val="center"/>
            <w:hideMark/>
          </w:tcPr>
          <w:p w14:paraId="3BDE222A"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Commercial Readiness</w:t>
            </w:r>
            <w:r w:rsidRPr="00340A14">
              <w:rPr>
                <w:rFonts w:ascii="Times New Roman" w:hAnsi="Times New Roman"/>
                <w:color w:val="1F1F1F"/>
                <w:sz w:val="20"/>
              </w:rPr>
              <w:t> </w:t>
            </w:r>
          </w:p>
        </w:tc>
        <w:tc>
          <w:tcPr>
            <w:tcW w:w="855" w:type="dxa"/>
            <w:tcBorders>
              <w:top w:val="nil"/>
              <w:left w:val="nil"/>
              <w:bottom w:val="single" w:sz="6" w:space="0" w:color="000000"/>
              <w:right w:val="nil"/>
            </w:tcBorders>
            <w:shd w:val="clear" w:color="auto" w:fill="auto"/>
            <w:vAlign w:val="center"/>
            <w:hideMark/>
          </w:tcPr>
          <w:p w14:paraId="53D16A1E"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5</w:t>
            </w:r>
            <w:r w:rsidRPr="00340A14">
              <w:rPr>
                <w:rFonts w:ascii="Times New Roman" w:hAnsi="Times New Roman"/>
                <w:color w:val="1F1F1F"/>
                <w:sz w:val="20"/>
              </w:rPr>
              <w:t> </w:t>
            </w:r>
          </w:p>
        </w:tc>
        <w:tc>
          <w:tcPr>
            <w:tcW w:w="1095" w:type="dxa"/>
            <w:tcBorders>
              <w:top w:val="nil"/>
              <w:left w:val="nil"/>
              <w:bottom w:val="single" w:sz="6" w:space="0" w:color="000000"/>
              <w:right w:val="nil"/>
            </w:tcBorders>
            <w:shd w:val="clear" w:color="auto" w:fill="auto"/>
            <w:vAlign w:val="center"/>
            <w:hideMark/>
          </w:tcPr>
          <w:p w14:paraId="23E0D7F8"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4</w:t>
            </w:r>
            <w:r w:rsidRPr="00340A14">
              <w:rPr>
                <w:rFonts w:ascii="Times New Roman" w:hAnsi="Times New Roman"/>
                <w:color w:val="1F1F1F"/>
                <w:sz w:val="20"/>
              </w:rPr>
              <w:t> </w:t>
            </w:r>
          </w:p>
        </w:tc>
        <w:tc>
          <w:tcPr>
            <w:tcW w:w="1110" w:type="dxa"/>
            <w:tcBorders>
              <w:top w:val="nil"/>
              <w:left w:val="nil"/>
              <w:bottom w:val="single" w:sz="6" w:space="0" w:color="000000"/>
              <w:right w:val="nil"/>
            </w:tcBorders>
            <w:shd w:val="clear" w:color="auto" w:fill="auto"/>
            <w:vAlign w:val="center"/>
            <w:hideMark/>
          </w:tcPr>
          <w:p w14:paraId="03C9FB1F"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3</w:t>
            </w:r>
            <w:r w:rsidRPr="00340A14">
              <w:rPr>
                <w:rFonts w:ascii="Times New Roman" w:hAnsi="Times New Roman"/>
                <w:color w:val="1F1F1F"/>
                <w:sz w:val="20"/>
              </w:rPr>
              <w:t> </w:t>
            </w:r>
          </w:p>
        </w:tc>
        <w:tc>
          <w:tcPr>
            <w:tcW w:w="1095" w:type="dxa"/>
            <w:tcBorders>
              <w:top w:val="nil"/>
              <w:left w:val="nil"/>
              <w:bottom w:val="single" w:sz="6" w:space="0" w:color="000000"/>
              <w:right w:val="nil"/>
            </w:tcBorders>
            <w:shd w:val="clear" w:color="auto" w:fill="auto"/>
            <w:vAlign w:val="center"/>
            <w:hideMark/>
          </w:tcPr>
          <w:p w14:paraId="76B38650"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3-4</w:t>
            </w:r>
            <w:r w:rsidRPr="00340A14">
              <w:rPr>
                <w:rFonts w:ascii="Times New Roman" w:hAnsi="Times New Roman"/>
                <w:color w:val="1F1F1F"/>
                <w:sz w:val="20"/>
              </w:rPr>
              <w:t> </w:t>
            </w:r>
          </w:p>
        </w:tc>
        <w:tc>
          <w:tcPr>
            <w:tcW w:w="1170" w:type="dxa"/>
            <w:tcBorders>
              <w:top w:val="nil"/>
              <w:left w:val="nil"/>
              <w:bottom w:val="single" w:sz="6" w:space="0" w:color="000000"/>
              <w:right w:val="nil"/>
            </w:tcBorders>
            <w:shd w:val="clear" w:color="auto" w:fill="auto"/>
            <w:vAlign w:val="center"/>
            <w:hideMark/>
          </w:tcPr>
          <w:p w14:paraId="603491CA"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2</w:t>
            </w:r>
            <w:r w:rsidRPr="00340A14">
              <w:rPr>
                <w:rFonts w:ascii="Times New Roman" w:hAnsi="Times New Roman"/>
                <w:color w:val="1F1F1F"/>
                <w:sz w:val="20"/>
              </w:rPr>
              <w:t> </w:t>
            </w:r>
          </w:p>
        </w:tc>
        <w:tc>
          <w:tcPr>
            <w:tcW w:w="1200" w:type="dxa"/>
            <w:tcBorders>
              <w:top w:val="nil"/>
              <w:left w:val="nil"/>
              <w:bottom w:val="single" w:sz="6" w:space="0" w:color="000000"/>
              <w:right w:val="nil"/>
            </w:tcBorders>
            <w:shd w:val="clear" w:color="auto" w:fill="auto"/>
            <w:vAlign w:val="center"/>
            <w:hideMark/>
          </w:tcPr>
          <w:p w14:paraId="5BC9CD6B"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1</w:t>
            </w:r>
            <w:r w:rsidRPr="00340A14">
              <w:rPr>
                <w:rFonts w:ascii="Times New Roman" w:hAnsi="Times New Roman"/>
                <w:color w:val="1F1F1F"/>
                <w:sz w:val="20"/>
              </w:rPr>
              <w:t> </w:t>
            </w:r>
          </w:p>
        </w:tc>
      </w:tr>
      <w:tr w:rsidR="00340A14" w:rsidRPr="00340A14" w14:paraId="3779837C" w14:textId="77777777" w:rsidTr="0040379B">
        <w:trPr>
          <w:jc w:val="center"/>
        </w:trPr>
        <w:tc>
          <w:tcPr>
            <w:tcW w:w="2160" w:type="dxa"/>
            <w:tcBorders>
              <w:top w:val="single" w:sz="6" w:space="0" w:color="000000"/>
              <w:left w:val="nil"/>
              <w:bottom w:val="nil"/>
              <w:right w:val="nil"/>
            </w:tcBorders>
            <w:shd w:val="clear" w:color="auto" w:fill="A6A6A6"/>
            <w:vAlign w:val="center"/>
            <w:hideMark/>
          </w:tcPr>
          <w:p w14:paraId="42F998E1"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b/>
                <w:bCs/>
                <w:color w:val="1F1F1F"/>
                <w:sz w:val="20"/>
                <w:lang w:val="en-GB"/>
              </w:rPr>
              <w:t>Key Parameters</w:t>
            </w:r>
            <w:r w:rsidRPr="00340A14">
              <w:rPr>
                <w:rFonts w:ascii="Times New Roman" w:hAnsi="Times New Roman"/>
                <w:color w:val="1F1F1F"/>
                <w:sz w:val="20"/>
              </w:rPr>
              <w:t> </w:t>
            </w:r>
          </w:p>
        </w:tc>
        <w:tc>
          <w:tcPr>
            <w:tcW w:w="855" w:type="dxa"/>
            <w:tcBorders>
              <w:top w:val="single" w:sz="6" w:space="0" w:color="000000"/>
              <w:left w:val="nil"/>
              <w:bottom w:val="nil"/>
              <w:right w:val="nil"/>
            </w:tcBorders>
            <w:shd w:val="clear" w:color="auto" w:fill="A6A6A6"/>
            <w:vAlign w:val="center"/>
            <w:hideMark/>
          </w:tcPr>
          <w:p w14:paraId="7C6AC3F4"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rPr>
              <w:t> </w:t>
            </w:r>
          </w:p>
        </w:tc>
        <w:tc>
          <w:tcPr>
            <w:tcW w:w="1095" w:type="dxa"/>
            <w:tcBorders>
              <w:top w:val="single" w:sz="6" w:space="0" w:color="000000"/>
              <w:left w:val="nil"/>
              <w:bottom w:val="nil"/>
              <w:right w:val="nil"/>
            </w:tcBorders>
            <w:shd w:val="clear" w:color="auto" w:fill="A6A6A6"/>
            <w:vAlign w:val="center"/>
            <w:hideMark/>
          </w:tcPr>
          <w:p w14:paraId="26EC6E24"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rPr>
              <w:t> </w:t>
            </w:r>
          </w:p>
        </w:tc>
        <w:tc>
          <w:tcPr>
            <w:tcW w:w="1110" w:type="dxa"/>
            <w:tcBorders>
              <w:top w:val="single" w:sz="6" w:space="0" w:color="000000"/>
              <w:left w:val="nil"/>
              <w:bottom w:val="nil"/>
              <w:right w:val="nil"/>
            </w:tcBorders>
            <w:shd w:val="clear" w:color="auto" w:fill="A6A6A6"/>
            <w:vAlign w:val="center"/>
            <w:hideMark/>
          </w:tcPr>
          <w:p w14:paraId="574A105A"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rPr>
              <w:t> </w:t>
            </w:r>
          </w:p>
        </w:tc>
        <w:tc>
          <w:tcPr>
            <w:tcW w:w="1095" w:type="dxa"/>
            <w:tcBorders>
              <w:top w:val="single" w:sz="6" w:space="0" w:color="000000"/>
              <w:left w:val="nil"/>
              <w:bottom w:val="nil"/>
              <w:right w:val="nil"/>
            </w:tcBorders>
            <w:shd w:val="clear" w:color="auto" w:fill="A6A6A6"/>
            <w:vAlign w:val="center"/>
            <w:hideMark/>
          </w:tcPr>
          <w:p w14:paraId="4F622C27"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rPr>
              <w:t> </w:t>
            </w:r>
          </w:p>
        </w:tc>
        <w:tc>
          <w:tcPr>
            <w:tcW w:w="1170" w:type="dxa"/>
            <w:tcBorders>
              <w:top w:val="single" w:sz="6" w:space="0" w:color="000000"/>
              <w:left w:val="nil"/>
              <w:bottom w:val="nil"/>
              <w:right w:val="nil"/>
            </w:tcBorders>
            <w:shd w:val="clear" w:color="auto" w:fill="A6A6A6"/>
            <w:vAlign w:val="center"/>
            <w:hideMark/>
          </w:tcPr>
          <w:p w14:paraId="0444BDBF"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rPr>
              <w:t> </w:t>
            </w:r>
          </w:p>
        </w:tc>
        <w:tc>
          <w:tcPr>
            <w:tcW w:w="1200" w:type="dxa"/>
            <w:tcBorders>
              <w:top w:val="single" w:sz="6" w:space="0" w:color="000000"/>
              <w:left w:val="nil"/>
              <w:bottom w:val="nil"/>
              <w:right w:val="nil"/>
            </w:tcBorders>
            <w:shd w:val="clear" w:color="auto" w:fill="A6A6A6"/>
            <w:vAlign w:val="center"/>
            <w:hideMark/>
          </w:tcPr>
          <w:p w14:paraId="5C2FF93D"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rPr>
              <w:t> </w:t>
            </w:r>
          </w:p>
        </w:tc>
      </w:tr>
      <w:tr w:rsidR="00340A14" w:rsidRPr="00340A14" w14:paraId="3895E326" w14:textId="77777777" w:rsidTr="0040379B">
        <w:trPr>
          <w:jc w:val="center"/>
        </w:trPr>
        <w:tc>
          <w:tcPr>
            <w:tcW w:w="2160" w:type="dxa"/>
            <w:tcBorders>
              <w:top w:val="nil"/>
              <w:left w:val="nil"/>
              <w:bottom w:val="nil"/>
              <w:right w:val="nil"/>
            </w:tcBorders>
            <w:shd w:val="clear" w:color="auto" w:fill="auto"/>
            <w:vAlign w:val="center"/>
            <w:hideMark/>
          </w:tcPr>
          <w:p w14:paraId="4BB5FC38"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Flammability</w:t>
            </w:r>
            <w:r w:rsidRPr="00340A14">
              <w:rPr>
                <w:rFonts w:ascii="Times New Roman" w:hAnsi="Times New Roman"/>
                <w:color w:val="1F1F1F"/>
                <w:sz w:val="20"/>
              </w:rPr>
              <w:t> </w:t>
            </w:r>
          </w:p>
        </w:tc>
        <w:tc>
          <w:tcPr>
            <w:tcW w:w="855" w:type="dxa"/>
            <w:tcBorders>
              <w:top w:val="nil"/>
              <w:left w:val="nil"/>
              <w:bottom w:val="nil"/>
              <w:right w:val="nil"/>
            </w:tcBorders>
            <w:shd w:val="clear" w:color="auto" w:fill="auto"/>
            <w:vAlign w:val="center"/>
            <w:hideMark/>
          </w:tcPr>
          <w:p w14:paraId="1F99D7D2"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5</w:t>
            </w:r>
            <w:r w:rsidRPr="00340A14">
              <w:rPr>
                <w:rFonts w:ascii="Times New Roman" w:hAnsi="Times New Roman"/>
                <w:color w:val="1F1F1F"/>
                <w:sz w:val="20"/>
              </w:rPr>
              <w:t> </w:t>
            </w:r>
          </w:p>
        </w:tc>
        <w:tc>
          <w:tcPr>
            <w:tcW w:w="1095" w:type="dxa"/>
            <w:tcBorders>
              <w:top w:val="nil"/>
              <w:left w:val="nil"/>
              <w:bottom w:val="nil"/>
              <w:right w:val="nil"/>
            </w:tcBorders>
            <w:shd w:val="clear" w:color="auto" w:fill="auto"/>
            <w:vAlign w:val="center"/>
            <w:hideMark/>
          </w:tcPr>
          <w:p w14:paraId="6BF96735"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4</w:t>
            </w:r>
            <w:r w:rsidRPr="00340A14">
              <w:rPr>
                <w:rFonts w:ascii="Times New Roman" w:hAnsi="Times New Roman"/>
                <w:color w:val="1F1F1F"/>
                <w:sz w:val="20"/>
              </w:rPr>
              <w:t> </w:t>
            </w:r>
          </w:p>
        </w:tc>
        <w:tc>
          <w:tcPr>
            <w:tcW w:w="1110" w:type="dxa"/>
            <w:tcBorders>
              <w:top w:val="nil"/>
              <w:left w:val="nil"/>
              <w:bottom w:val="nil"/>
              <w:right w:val="nil"/>
            </w:tcBorders>
            <w:shd w:val="clear" w:color="auto" w:fill="auto"/>
            <w:vAlign w:val="center"/>
            <w:hideMark/>
          </w:tcPr>
          <w:p w14:paraId="59F946E0"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4</w:t>
            </w:r>
            <w:r w:rsidRPr="00340A14">
              <w:rPr>
                <w:rFonts w:ascii="Times New Roman" w:hAnsi="Times New Roman"/>
                <w:color w:val="1F1F1F"/>
                <w:sz w:val="20"/>
              </w:rPr>
              <w:t> </w:t>
            </w:r>
          </w:p>
        </w:tc>
        <w:tc>
          <w:tcPr>
            <w:tcW w:w="1095" w:type="dxa"/>
            <w:tcBorders>
              <w:top w:val="nil"/>
              <w:left w:val="nil"/>
              <w:bottom w:val="nil"/>
              <w:right w:val="nil"/>
            </w:tcBorders>
            <w:shd w:val="clear" w:color="auto" w:fill="auto"/>
            <w:vAlign w:val="center"/>
            <w:hideMark/>
          </w:tcPr>
          <w:p w14:paraId="4B20EB7F"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5</w:t>
            </w:r>
            <w:r w:rsidRPr="00340A14">
              <w:rPr>
                <w:rFonts w:ascii="Times New Roman" w:hAnsi="Times New Roman"/>
                <w:color w:val="1F1F1F"/>
                <w:sz w:val="20"/>
              </w:rPr>
              <w:t> </w:t>
            </w:r>
          </w:p>
        </w:tc>
        <w:tc>
          <w:tcPr>
            <w:tcW w:w="1170" w:type="dxa"/>
            <w:tcBorders>
              <w:top w:val="nil"/>
              <w:left w:val="nil"/>
              <w:bottom w:val="nil"/>
              <w:right w:val="nil"/>
            </w:tcBorders>
            <w:shd w:val="clear" w:color="auto" w:fill="auto"/>
            <w:vAlign w:val="center"/>
            <w:hideMark/>
          </w:tcPr>
          <w:p w14:paraId="48F74519"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2</w:t>
            </w:r>
            <w:r w:rsidRPr="00340A14">
              <w:rPr>
                <w:rFonts w:ascii="Times New Roman" w:hAnsi="Times New Roman"/>
                <w:color w:val="1F1F1F"/>
                <w:sz w:val="20"/>
              </w:rPr>
              <w:t> </w:t>
            </w:r>
          </w:p>
        </w:tc>
        <w:tc>
          <w:tcPr>
            <w:tcW w:w="1200" w:type="dxa"/>
            <w:tcBorders>
              <w:top w:val="nil"/>
              <w:left w:val="nil"/>
              <w:bottom w:val="nil"/>
              <w:right w:val="nil"/>
            </w:tcBorders>
            <w:shd w:val="clear" w:color="auto" w:fill="auto"/>
            <w:vAlign w:val="center"/>
            <w:hideMark/>
          </w:tcPr>
          <w:p w14:paraId="5122A161"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2</w:t>
            </w:r>
            <w:r w:rsidRPr="00340A14">
              <w:rPr>
                <w:rFonts w:ascii="Times New Roman" w:hAnsi="Times New Roman"/>
                <w:color w:val="1F1F1F"/>
                <w:sz w:val="20"/>
              </w:rPr>
              <w:t> </w:t>
            </w:r>
          </w:p>
        </w:tc>
      </w:tr>
      <w:tr w:rsidR="00340A14" w:rsidRPr="00340A14" w14:paraId="33325EB7" w14:textId="77777777" w:rsidTr="0040379B">
        <w:trPr>
          <w:jc w:val="center"/>
        </w:trPr>
        <w:tc>
          <w:tcPr>
            <w:tcW w:w="2160" w:type="dxa"/>
            <w:tcBorders>
              <w:top w:val="nil"/>
              <w:left w:val="nil"/>
              <w:bottom w:val="nil"/>
              <w:right w:val="nil"/>
            </w:tcBorders>
            <w:shd w:val="clear" w:color="auto" w:fill="auto"/>
            <w:vAlign w:val="center"/>
            <w:hideMark/>
          </w:tcPr>
          <w:p w14:paraId="69380BA2"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Toxicity</w:t>
            </w:r>
            <w:r w:rsidRPr="00340A14">
              <w:rPr>
                <w:rFonts w:ascii="Times New Roman" w:hAnsi="Times New Roman"/>
                <w:color w:val="1F1F1F"/>
                <w:sz w:val="20"/>
              </w:rPr>
              <w:t> </w:t>
            </w:r>
          </w:p>
        </w:tc>
        <w:tc>
          <w:tcPr>
            <w:tcW w:w="855" w:type="dxa"/>
            <w:tcBorders>
              <w:top w:val="nil"/>
              <w:left w:val="nil"/>
              <w:bottom w:val="nil"/>
              <w:right w:val="nil"/>
            </w:tcBorders>
            <w:shd w:val="clear" w:color="auto" w:fill="auto"/>
            <w:vAlign w:val="center"/>
            <w:hideMark/>
          </w:tcPr>
          <w:p w14:paraId="26233619"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3-4</w:t>
            </w:r>
            <w:r w:rsidRPr="00340A14">
              <w:rPr>
                <w:rFonts w:ascii="Times New Roman" w:hAnsi="Times New Roman"/>
                <w:color w:val="1F1F1F"/>
                <w:sz w:val="20"/>
              </w:rPr>
              <w:t> </w:t>
            </w:r>
          </w:p>
        </w:tc>
        <w:tc>
          <w:tcPr>
            <w:tcW w:w="1095" w:type="dxa"/>
            <w:tcBorders>
              <w:top w:val="nil"/>
              <w:left w:val="nil"/>
              <w:bottom w:val="nil"/>
              <w:right w:val="nil"/>
            </w:tcBorders>
            <w:shd w:val="clear" w:color="auto" w:fill="auto"/>
            <w:vAlign w:val="center"/>
            <w:hideMark/>
          </w:tcPr>
          <w:p w14:paraId="2FDF144E"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4</w:t>
            </w:r>
            <w:r w:rsidRPr="00340A14">
              <w:rPr>
                <w:rFonts w:ascii="Times New Roman" w:hAnsi="Times New Roman"/>
                <w:color w:val="1F1F1F"/>
                <w:sz w:val="20"/>
              </w:rPr>
              <w:t> </w:t>
            </w:r>
          </w:p>
        </w:tc>
        <w:tc>
          <w:tcPr>
            <w:tcW w:w="1110" w:type="dxa"/>
            <w:tcBorders>
              <w:top w:val="nil"/>
              <w:left w:val="nil"/>
              <w:bottom w:val="nil"/>
              <w:right w:val="nil"/>
            </w:tcBorders>
            <w:shd w:val="clear" w:color="auto" w:fill="auto"/>
            <w:vAlign w:val="center"/>
            <w:hideMark/>
          </w:tcPr>
          <w:p w14:paraId="1C1AC928"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3</w:t>
            </w:r>
            <w:r w:rsidRPr="00340A14">
              <w:rPr>
                <w:rFonts w:ascii="Times New Roman" w:hAnsi="Times New Roman"/>
                <w:color w:val="1F1F1F"/>
                <w:sz w:val="20"/>
              </w:rPr>
              <w:t> </w:t>
            </w:r>
          </w:p>
        </w:tc>
        <w:tc>
          <w:tcPr>
            <w:tcW w:w="1095" w:type="dxa"/>
            <w:tcBorders>
              <w:top w:val="nil"/>
              <w:left w:val="nil"/>
              <w:bottom w:val="nil"/>
              <w:right w:val="nil"/>
            </w:tcBorders>
            <w:shd w:val="clear" w:color="auto" w:fill="auto"/>
            <w:vAlign w:val="center"/>
            <w:hideMark/>
          </w:tcPr>
          <w:p w14:paraId="4AA3CEAF"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5</w:t>
            </w:r>
            <w:r w:rsidRPr="00340A14">
              <w:rPr>
                <w:rFonts w:ascii="Times New Roman" w:hAnsi="Times New Roman"/>
                <w:color w:val="1F1F1F"/>
                <w:sz w:val="20"/>
              </w:rPr>
              <w:t> </w:t>
            </w:r>
          </w:p>
        </w:tc>
        <w:tc>
          <w:tcPr>
            <w:tcW w:w="1170" w:type="dxa"/>
            <w:tcBorders>
              <w:top w:val="nil"/>
              <w:left w:val="nil"/>
              <w:bottom w:val="nil"/>
              <w:right w:val="nil"/>
            </w:tcBorders>
            <w:shd w:val="clear" w:color="auto" w:fill="auto"/>
            <w:vAlign w:val="center"/>
            <w:hideMark/>
          </w:tcPr>
          <w:p w14:paraId="093CF089"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1</w:t>
            </w:r>
            <w:r w:rsidRPr="00340A14">
              <w:rPr>
                <w:rFonts w:ascii="Times New Roman" w:hAnsi="Times New Roman"/>
                <w:color w:val="1F1F1F"/>
                <w:sz w:val="20"/>
              </w:rPr>
              <w:t> </w:t>
            </w:r>
          </w:p>
        </w:tc>
        <w:tc>
          <w:tcPr>
            <w:tcW w:w="1200" w:type="dxa"/>
            <w:tcBorders>
              <w:top w:val="nil"/>
              <w:left w:val="nil"/>
              <w:bottom w:val="nil"/>
              <w:right w:val="nil"/>
            </w:tcBorders>
            <w:shd w:val="clear" w:color="auto" w:fill="auto"/>
            <w:vAlign w:val="center"/>
            <w:hideMark/>
          </w:tcPr>
          <w:p w14:paraId="01E46CE6"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5</w:t>
            </w:r>
            <w:r w:rsidRPr="00340A14">
              <w:rPr>
                <w:rFonts w:ascii="Times New Roman" w:hAnsi="Times New Roman"/>
                <w:color w:val="1F1F1F"/>
                <w:sz w:val="20"/>
              </w:rPr>
              <w:t> </w:t>
            </w:r>
          </w:p>
        </w:tc>
      </w:tr>
      <w:tr w:rsidR="00340A14" w:rsidRPr="00340A14" w14:paraId="7B0F1C50" w14:textId="77777777" w:rsidTr="0040379B">
        <w:trPr>
          <w:jc w:val="center"/>
        </w:trPr>
        <w:tc>
          <w:tcPr>
            <w:tcW w:w="2160" w:type="dxa"/>
            <w:tcBorders>
              <w:top w:val="nil"/>
              <w:left w:val="nil"/>
              <w:bottom w:val="single" w:sz="6" w:space="0" w:color="000000"/>
              <w:right w:val="nil"/>
            </w:tcBorders>
            <w:shd w:val="clear" w:color="auto" w:fill="auto"/>
            <w:vAlign w:val="center"/>
            <w:hideMark/>
          </w:tcPr>
          <w:p w14:paraId="2E685DF0"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Global production Capacity</w:t>
            </w:r>
            <w:r w:rsidRPr="00340A14">
              <w:rPr>
                <w:rFonts w:ascii="Times New Roman" w:hAnsi="Times New Roman"/>
                <w:color w:val="1F1F1F"/>
                <w:sz w:val="20"/>
              </w:rPr>
              <w:t> </w:t>
            </w:r>
          </w:p>
        </w:tc>
        <w:tc>
          <w:tcPr>
            <w:tcW w:w="855" w:type="dxa"/>
            <w:tcBorders>
              <w:top w:val="nil"/>
              <w:left w:val="nil"/>
              <w:bottom w:val="single" w:sz="6" w:space="0" w:color="000000"/>
              <w:right w:val="nil"/>
            </w:tcBorders>
            <w:shd w:val="clear" w:color="auto" w:fill="auto"/>
            <w:vAlign w:val="center"/>
            <w:hideMark/>
          </w:tcPr>
          <w:p w14:paraId="74E8874B"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5</w:t>
            </w:r>
            <w:r w:rsidRPr="00340A14">
              <w:rPr>
                <w:rFonts w:ascii="Times New Roman" w:hAnsi="Times New Roman"/>
                <w:color w:val="1F1F1F"/>
                <w:sz w:val="20"/>
              </w:rPr>
              <w:t> </w:t>
            </w:r>
          </w:p>
        </w:tc>
        <w:tc>
          <w:tcPr>
            <w:tcW w:w="1095" w:type="dxa"/>
            <w:tcBorders>
              <w:top w:val="nil"/>
              <w:left w:val="nil"/>
              <w:bottom w:val="single" w:sz="6" w:space="0" w:color="000000"/>
              <w:right w:val="nil"/>
            </w:tcBorders>
            <w:shd w:val="clear" w:color="auto" w:fill="auto"/>
            <w:vAlign w:val="center"/>
            <w:hideMark/>
          </w:tcPr>
          <w:p w14:paraId="179B308D"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4</w:t>
            </w:r>
            <w:r w:rsidRPr="00340A14">
              <w:rPr>
                <w:rFonts w:ascii="Times New Roman" w:hAnsi="Times New Roman"/>
                <w:color w:val="1F1F1F"/>
                <w:sz w:val="20"/>
              </w:rPr>
              <w:t> </w:t>
            </w:r>
          </w:p>
        </w:tc>
        <w:tc>
          <w:tcPr>
            <w:tcW w:w="1110" w:type="dxa"/>
            <w:tcBorders>
              <w:top w:val="nil"/>
              <w:left w:val="nil"/>
              <w:bottom w:val="single" w:sz="6" w:space="0" w:color="000000"/>
              <w:right w:val="nil"/>
            </w:tcBorders>
            <w:shd w:val="clear" w:color="auto" w:fill="auto"/>
            <w:vAlign w:val="center"/>
            <w:hideMark/>
          </w:tcPr>
          <w:p w14:paraId="37A23EB4"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4</w:t>
            </w:r>
            <w:r w:rsidRPr="00340A14">
              <w:rPr>
                <w:rFonts w:ascii="Times New Roman" w:hAnsi="Times New Roman"/>
                <w:color w:val="1F1F1F"/>
                <w:sz w:val="20"/>
              </w:rPr>
              <w:t> </w:t>
            </w:r>
          </w:p>
        </w:tc>
        <w:tc>
          <w:tcPr>
            <w:tcW w:w="1095" w:type="dxa"/>
            <w:tcBorders>
              <w:top w:val="nil"/>
              <w:left w:val="nil"/>
              <w:bottom w:val="single" w:sz="6" w:space="0" w:color="000000"/>
              <w:right w:val="nil"/>
            </w:tcBorders>
            <w:shd w:val="clear" w:color="auto" w:fill="auto"/>
            <w:vAlign w:val="center"/>
            <w:hideMark/>
          </w:tcPr>
          <w:p w14:paraId="664C630B"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2</w:t>
            </w:r>
            <w:r w:rsidRPr="00340A14">
              <w:rPr>
                <w:rFonts w:ascii="Times New Roman" w:hAnsi="Times New Roman"/>
                <w:color w:val="1F1F1F"/>
                <w:sz w:val="20"/>
              </w:rPr>
              <w:t> </w:t>
            </w:r>
          </w:p>
        </w:tc>
        <w:tc>
          <w:tcPr>
            <w:tcW w:w="1170" w:type="dxa"/>
            <w:tcBorders>
              <w:top w:val="nil"/>
              <w:left w:val="nil"/>
              <w:bottom w:val="single" w:sz="6" w:space="0" w:color="000000"/>
              <w:right w:val="nil"/>
            </w:tcBorders>
            <w:shd w:val="clear" w:color="auto" w:fill="auto"/>
            <w:vAlign w:val="center"/>
            <w:hideMark/>
          </w:tcPr>
          <w:p w14:paraId="1B808D2B"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2-3</w:t>
            </w:r>
            <w:r w:rsidRPr="00340A14">
              <w:rPr>
                <w:rFonts w:ascii="Times New Roman" w:hAnsi="Times New Roman"/>
                <w:color w:val="1F1F1F"/>
                <w:sz w:val="20"/>
              </w:rPr>
              <w:t> </w:t>
            </w:r>
          </w:p>
        </w:tc>
        <w:tc>
          <w:tcPr>
            <w:tcW w:w="1200" w:type="dxa"/>
            <w:tcBorders>
              <w:top w:val="nil"/>
              <w:left w:val="nil"/>
              <w:bottom w:val="single" w:sz="6" w:space="0" w:color="000000"/>
              <w:right w:val="nil"/>
            </w:tcBorders>
            <w:shd w:val="clear" w:color="auto" w:fill="auto"/>
            <w:vAlign w:val="center"/>
            <w:hideMark/>
          </w:tcPr>
          <w:p w14:paraId="2DB45AE0"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3</w:t>
            </w:r>
            <w:r w:rsidRPr="00340A14">
              <w:rPr>
                <w:rFonts w:ascii="Times New Roman" w:hAnsi="Times New Roman"/>
                <w:color w:val="1F1F1F"/>
                <w:sz w:val="20"/>
              </w:rPr>
              <w:t> </w:t>
            </w:r>
          </w:p>
        </w:tc>
      </w:tr>
    </w:tbl>
    <w:p w14:paraId="22AB6B9F" w14:textId="77777777" w:rsidR="00340A14" w:rsidRDefault="00340A14" w:rsidP="59587566">
      <w:pPr>
        <w:rPr>
          <w:szCs w:val="21"/>
          <w:lang w:val="en-GB"/>
        </w:rPr>
      </w:pPr>
    </w:p>
    <w:p w14:paraId="61B9B256" w14:textId="6B7910DE" w:rsidR="00DC3405" w:rsidRDefault="00DC3405">
      <w:pPr>
        <w:spacing w:after="160" w:line="259" w:lineRule="auto"/>
        <w:jc w:val="left"/>
        <w:rPr>
          <w:lang w:val="en-GB"/>
        </w:rPr>
      </w:pPr>
      <w:r>
        <w:rPr>
          <w:lang w:val="en-GB"/>
        </w:rPr>
        <w:br w:type="page"/>
      </w:r>
    </w:p>
    <w:p w14:paraId="339CEB7E" w14:textId="31853204" w:rsidR="00017D36" w:rsidRPr="0045629F" w:rsidRDefault="3A29924E" w:rsidP="00DC3405">
      <w:pPr>
        <w:pStyle w:val="Heading1"/>
      </w:pPr>
      <w:bookmarkStart w:id="49" w:name="_Toc85627876"/>
      <w:r>
        <w:lastRenderedPageBreak/>
        <w:t>Risk Register</w:t>
      </w:r>
      <w:bookmarkEnd w:id="49"/>
    </w:p>
    <w:p w14:paraId="0DBB440E" w14:textId="53312DC1" w:rsidR="00DA0F6B" w:rsidRDefault="00DA0F6B" w:rsidP="0075226F">
      <w:pPr>
        <w:spacing w:after="240" w:line="276" w:lineRule="auto"/>
        <w:rPr>
          <w:lang w:val="en-GB"/>
        </w:rPr>
      </w:pPr>
    </w:p>
    <w:tbl>
      <w:tblPr>
        <w:tblStyle w:val="GridTable1Light"/>
        <w:tblW w:w="9262" w:type="dxa"/>
        <w:tblLook w:val="06A0" w:firstRow="1" w:lastRow="0" w:firstColumn="1" w:lastColumn="0" w:noHBand="1" w:noVBand="1"/>
      </w:tblPr>
      <w:tblGrid>
        <w:gridCol w:w="973"/>
        <w:gridCol w:w="3344"/>
        <w:gridCol w:w="1199"/>
        <w:gridCol w:w="1006"/>
        <w:gridCol w:w="2740"/>
      </w:tblGrid>
      <w:tr w:rsidR="00D34E10" w:rsidRPr="0045629F" w14:paraId="65711086" w14:textId="77777777" w:rsidTr="001D2647">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973" w:type="dxa"/>
            <w:tcBorders>
              <w:top w:val="single" w:sz="4" w:space="0" w:color="002244" w:themeColor="accent1"/>
              <w:left w:val="single" w:sz="4" w:space="0" w:color="002244" w:themeColor="accent1"/>
              <w:bottom w:val="single" w:sz="12" w:space="0" w:color="002244" w:themeColor="accent1"/>
              <w:right w:val="single" w:sz="4" w:space="0" w:color="002244" w:themeColor="accent1"/>
            </w:tcBorders>
            <w:shd w:val="clear" w:color="auto" w:fill="0075B0" w:themeFill="accent6"/>
          </w:tcPr>
          <w:p w14:paraId="0B0F3C1C" w14:textId="77777777" w:rsidR="00710F7F" w:rsidRPr="0045629F" w:rsidRDefault="00710F7F" w:rsidP="007D4A4F">
            <w:pPr>
              <w:jc w:val="left"/>
              <w:rPr>
                <w:b w:val="0"/>
                <w:bCs w:val="0"/>
                <w:color w:val="FFFFFF" w:themeColor="background1"/>
                <w:sz w:val="20"/>
                <w:lang w:val="en-GB"/>
              </w:rPr>
            </w:pPr>
            <w:bookmarkStart w:id="50" w:name="_Hlk26972853"/>
            <w:r w:rsidRPr="0045629F">
              <w:rPr>
                <w:color w:val="FFFFFF" w:themeColor="background1"/>
                <w:sz w:val="20"/>
                <w:lang w:val="en-GB"/>
              </w:rPr>
              <w:t>Risk No.</w:t>
            </w:r>
          </w:p>
        </w:tc>
        <w:tc>
          <w:tcPr>
            <w:tcW w:w="3344" w:type="dxa"/>
            <w:tcBorders>
              <w:top w:val="single" w:sz="4" w:space="0" w:color="002244" w:themeColor="accent1"/>
              <w:left w:val="single" w:sz="4" w:space="0" w:color="002244" w:themeColor="accent1"/>
              <w:bottom w:val="single" w:sz="12" w:space="0" w:color="002244" w:themeColor="accent1"/>
              <w:right w:val="single" w:sz="4" w:space="0" w:color="002244" w:themeColor="accent1"/>
            </w:tcBorders>
            <w:shd w:val="clear" w:color="auto" w:fill="0075B0" w:themeFill="accent6"/>
          </w:tcPr>
          <w:p w14:paraId="6281A92E" w14:textId="77777777" w:rsidR="00710F7F" w:rsidRPr="0045629F" w:rsidRDefault="00710F7F" w:rsidP="007D4A4F">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What is the risk</w:t>
            </w:r>
          </w:p>
        </w:tc>
        <w:tc>
          <w:tcPr>
            <w:tcW w:w="1199" w:type="dxa"/>
            <w:tcBorders>
              <w:top w:val="single" w:sz="4" w:space="0" w:color="002244" w:themeColor="accent1"/>
              <w:left w:val="single" w:sz="4" w:space="0" w:color="002244" w:themeColor="accent1"/>
              <w:bottom w:val="single" w:sz="12" w:space="0" w:color="002244" w:themeColor="accent1"/>
              <w:right w:val="single" w:sz="4" w:space="0" w:color="002244" w:themeColor="accent1"/>
            </w:tcBorders>
            <w:shd w:val="clear" w:color="auto" w:fill="0075B0" w:themeFill="accent6"/>
          </w:tcPr>
          <w:p w14:paraId="23442D98" w14:textId="44A5960F" w:rsidR="00710F7F" w:rsidRPr="0034036F" w:rsidRDefault="00710F7F" w:rsidP="007D4A4F">
            <w:pPr>
              <w:jc w:val="left"/>
              <w:cnfStyle w:val="100000000000" w:firstRow="1" w:lastRow="0" w:firstColumn="0" w:lastColumn="0" w:oddVBand="0" w:evenVBand="0" w:oddHBand="0" w:evenHBand="0" w:firstRowFirstColumn="0" w:firstRowLastColumn="0" w:lastRowFirstColumn="0" w:lastRowLastColumn="0"/>
              <w:rPr>
                <w:color w:val="FFFFFF" w:themeColor="background1"/>
                <w:sz w:val="20"/>
                <w:vertAlign w:val="superscript"/>
                <w:lang w:val="en-GB"/>
              </w:rPr>
            </w:pPr>
            <w:r w:rsidRPr="0045629F">
              <w:rPr>
                <w:color w:val="FFFFFF" w:themeColor="background1"/>
                <w:sz w:val="20"/>
                <w:lang w:val="en-GB"/>
              </w:rPr>
              <w:t>Probability of risk occurrence</w:t>
            </w:r>
            <w:r w:rsidR="0034036F">
              <w:rPr>
                <w:color w:val="FFFFFF" w:themeColor="background1"/>
                <w:sz w:val="20"/>
                <w:vertAlign w:val="superscript"/>
                <w:lang w:val="en-GB"/>
              </w:rPr>
              <w:t>1</w:t>
            </w:r>
          </w:p>
        </w:tc>
        <w:tc>
          <w:tcPr>
            <w:tcW w:w="1006" w:type="dxa"/>
            <w:tcBorders>
              <w:top w:val="single" w:sz="4" w:space="0" w:color="002244" w:themeColor="accent1"/>
              <w:left w:val="single" w:sz="4" w:space="0" w:color="002244" w:themeColor="accent1"/>
              <w:bottom w:val="single" w:sz="12" w:space="0" w:color="002244" w:themeColor="accent1"/>
              <w:right w:val="single" w:sz="4" w:space="0" w:color="002244" w:themeColor="accent1"/>
            </w:tcBorders>
            <w:shd w:val="clear" w:color="auto" w:fill="0075B0" w:themeFill="accent6"/>
          </w:tcPr>
          <w:p w14:paraId="0995D892" w14:textId="1F7A86CE" w:rsidR="00710F7F" w:rsidRPr="0034036F" w:rsidRDefault="00710F7F" w:rsidP="007D4A4F">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vertAlign w:val="superscript"/>
                <w:lang w:val="en-GB"/>
              </w:rPr>
            </w:pPr>
            <w:r w:rsidRPr="0045629F">
              <w:rPr>
                <w:color w:val="FFFFFF" w:themeColor="background1"/>
                <w:sz w:val="20"/>
                <w:lang w:val="en-GB"/>
              </w:rPr>
              <w:t>Effect of risk</w:t>
            </w:r>
            <w:r w:rsidR="0034036F">
              <w:rPr>
                <w:color w:val="FFFFFF" w:themeColor="background1"/>
                <w:sz w:val="20"/>
                <w:vertAlign w:val="superscript"/>
                <w:lang w:val="en-GB"/>
              </w:rPr>
              <w:t>1</w:t>
            </w:r>
          </w:p>
        </w:tc>
        <w:tc>
          <w:tcPr>
            <w:tcW w:w="2740" w:type="dxa"/>
            <w:tcBorders>
              <w:top w:val="single" w:sz="4" w:space="0" w:color="002244" w:themeColor="accent1"/>
              <w:left w:val="single" w:sz="4" w:space="0" w:color="002244" w:themeColor="accent1"/>
              <w:bottom w:val="single" w:sz="12" w:space="0" w:color="002244" w:themeColor="accent1"/>
              <w:right w:val="single" w:sz="4" w:space="0" w:color="002244" w:themeColor="accent1"/>
            </w:tcBorders>
            <w:shd w:val="clear" w:color="auto" w:fill="0075B0" w:themeFill="accent6"/>
          </w:tcPr>
          <w:p w14:paraId="54A1FCEE" w14:textId="77777777" w:rsidR="00710F7F" w:rsidRPr="0045629F" w:rsidRDefault="00710F7F" w:rsidP="007D4A4F">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Solutions to overcome the risk</w:t>
            </w:r>
          </w:p>
        </w:tc>
      </w:tr>
      <w:tr w:rsidR="00D34E10" w:rsidRPr="0045629F" w14:paraId="410E7BF1" w14:textId="77777777" w:rsidTr="001D2647">
        <w:trPr>
          <w:trHeight w:val="289"/>
        </w:trPr>
        <w:tc>
          <w:tcPr>
            <w:cnfStyle w:val="001000000000" w:firstRow="0" w:lastRow="0" w:firstColumn="1" w:lastColumn="0" w:oddVBand="0" w:evenVBand="0" w:oddHBand="0" w:evenHBand="0" w:firstRowFirstColumn="0" w:firstRowLastColumn="0" w:lastRowFirstColumn="0" w:lastRowLastColumn="0"/>
            <w:tcW w:w="973"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6CF02D5C" w14:textId="62ED1ED5" w:rsidR="00710F7F" w:rsidRPr="001D2647" w:rsidRDefault="007A35DB" w:rsidP="001D2647">
            <w:pPr>
              <w:jc w:val="center"/>
              <w:rPr>
                <w:color w:val="303030" w:themeColor="text1" w:themeTint="D9"/>
                <w:sz w:val="22"/>
                <w:szCs w:val="22"/>
                <w:lang w:val="en-GB"/>
              </w:rPr>
            </w:pPr>
            <w:r w:rsidRPr="001D2647">
              <w:rPr>
                <w:color w:val="303030" w:themeColor="text1" w:themeTint="D9"/>
                <w:sz w:val="22"/>
                <w:szCs w:val="22"/>
                <w:lang w:val="en-GB"/>
              </w:rPr>
              <w:t>1</w:t>
            </w:r>
          </w:p>
        </w:tc>
        <w:tc>
          <w:tcPr>
            <w:tcW w:w="3344"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55091822" w14:textId="6024BB2F" w:rsidR="00710F7F" w:rsidRPr="001D2647" w:rsidRDefault="005422A7" w:rsidP="001D2647">
            <w:pPr>
              <w:jc w:val="cente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rStyle w:val="normaltextrun"/>
                <w:rFonts w:cs="Calibri"/>
                <w:color w:val="303030"/>
                <w:sz w:val="22"/>
                <w:szCs w:val="22"/>
                <w:lang w:val="en-GB"/>
              </w:rPr>
              <w:t>Feedstock cannot be considered as waste according to the amendment of Red II.</w:t>
            </w:r>
          </w:p>
        </w:tc>
        <w:tc>
          <w:tcPr>
            <w:tcW w:w="1199"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58EFB7FA" w14:textId="3ACBC469" w:rsidR="00710F7F" w:rsidRPr="001D2647" w:rsidRDefault="00CA44CA" w:rsidP="001D2647">
            <w:pPr>
              <w:jc w:val="cente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color w:val="303030" w:themeColor="text1" w:themeTint="D9"/>
                <w:sz w:val="22"/>
                <w:szCs w:val="22"/>
                <w:lang w:val="en-GB"/>
              </w:rPr>
              <w:t>2</w:t>
            </w:r>
          </w:p>
        </w:tc>
        <w:tc>
          <w:tcPr>
            <w:tcW w:w="1006"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7F71D3AC" w14:textId="363AC3C4" w:rsidR="00710F7F" w:rsidRPr="001D2647" w:rsidRDefault="00CA44CA" w:rsidP="001D2647">
            <w:pPr>
              <w:jc w:val="cente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color w:val="303030" w:themeColor="text1" w:themeTint="D9"/>
                <w:sz w:val="22"/>
                <w:szCs w:val="22"/>
                <w:lang w:val="en-GB"/>
              </w:rPr>
              <w:t>1</w:t>
            </w:r>
          </w:p>
        </w:tc>
        <w:tc>
          <w:tcPr>
            <w:tcW w:w="2740"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tcPr>
          <w:p w14:paraId="3769C749" w14:textId="77777777" w:rsidR="001D2647" w:rsidRDefault="005D3EAA" w:rsidP="001D2647">
            <w:pPr>
              <w:jc w:val="left"/>
              <w:cnfStyle w:val="000000000000" w:firstRow="0" w:lastRow="0" w:firstColumn="0" w:lastColumn="0" w:oddVBand="0" w:evenVBand="0" w:oddHBand="0" w:evenHBand="0" w:firstRowFirstColumn="0" w:firstRowLastColumn="0" w:lastRowFirstColumn="0" w:lastRowLastColumn="0"/>
              <w:rPr>
                <w:rStyle w:val="normaltextrun"/>
                <w:rFonts w:cs="Calibri"/>
                <w:color w:val="303030"/>
                <w:sz w:val="22"/>
                <w:szCs w:val="22"/>
                <w:lang w:val="en-GB"/>
              </w:rPr>
            </w:pPr>
            <w:r w:rsidRPr="001D2647">
              <w:rPr>
                <w:rStyle w:val="normaltextrun"/>
                <w:rFonts w:cs="Calibri"/>
                <w:color w:val="303030"/>
                <w:sz w:val="22"/>
                <w:szCs w:val="22"/>
                <w:lang w:val="en-GB"/>
              </w:rPr>
              <w:t>Engage</w:t>
            </w:r>
            <w:r w:rsidR="001D2647">
              <w:rPr>
                <w:rStyle w:val="normaltextrun"/>
                <w:rFonts w:cs="Calibri"/>
                <w:color w:val="303030"/>
                <w:sz w:val="22"/>
                <w:szCs w:val="22"/>
                <w:lang w:val="en-GB"/>
              </w:rPr>
              <w:t xml:space="preserve"> o</w:t>
            </w:r>
            <w:r w:rsidRPr="001D2647">
              <w:rPr>
                <w:rStyle w:val="normaltextrun"/>
                <w:rFonts w:cs="Calibri"/>
                <w:color w:val="303030"/>
                <w:sz w:val="22"/>
                <w:szCs w:val="22"/>
                <w:lang w:val="en-GB"/>
              </w:rPr>
              <w:t>n</w:t>
            </w:r>
            <w:r w:rsidR="001D2647">
              <w:rPr>
                <w:rStyle w:val="normaltextrun"/>
                <w:rFonts w:cs="Calibri"/>
                <w:color w:val="303030"/>
                <w:sz w:val="22"/>
                <w:szCs w:val="22"/>
                <w:lang w:val="en-GB"/>
              </w:rPr>
              <w:t xml:space="preserve"> </w:t>
            </w:r>
            <w:r w:rsidRPr="001D2647">
              <w:rPr>
                <w:rStyle w:val="normaltextrun"/>
                <w:rFonts w:cs="Calibri"/>
                <w:color w:val="303030"/>
                <w:sz w:val="22"/>
                <w:szCs w:val="22"/>
                <w:lang w:val="en-GB"/>
              </w:rPr>
              <w:t>lobbying</w:t>
            </w:r>
            <w:r w:rsidR="001D2647">
              <w:rPr>
                <w:rStyle w:val="normaltextrun"/>
                <w:rFonts w:cs="Calibri"/>
                <w:color w:val="303030"/>
                <w:sz w:val="22"/>
                <w:szCs w:val="22"/>
                <w:lang w:val="en-GB"/>
              </w:rPr>
              <w:t xml:space="preserve"> </w:t>
            </w:r>
            <w:r w:rsidRPr="001D2647">
              <w:rPr>
                <w:rStyle w:val="normaltextrun"/>
                <w:rFonts w:cs="Calibri"/>
                <w:color w:val="303030"/>
                <w:sz w:val="22"/>
                <w:szCs w:val="22"/>
                <w:lang w:val="en-GB"/>
              </w:rPr>
              <w:t xml:space="preserve">discussion. </w:t>
            </w:r>
          </w:p>
          <w:p w14:paraId="4CD2763A" w14:textId="4C6BB0B8" w:rsidR="00710F7F" w:rsidRPr="001D2647" w:rsidRDefault="001D2647" w:rsidP="001D2647">
            <w:pPr>
              <w:jc w:val="left"/>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Pr>
                <w:rStyle w:val="normaltextrun"/>
                <w:rFonts w:cs="Calibri"/>
                <w:color w:val="303030"/>
                <w:sz w:val="22"/>
                <w:szCs w:val="22"/>
                <w:lang w:val="en-GB"/>
              </w:rPr>
              <w:t>Marketing of c</w:t>
            </w:r>
            <w:r w:rsidR="005D3EAA" w:rsidRPr="001D2647">
              <w:rPr>
                <w:rStyle w:val="normaltextrun"/>
                <w:rFonts w:cs="Calibri"/>
                <w:color w:val="303030"/>
                <w:sz w:val="22"/>
                <w:szCs w:val="22"/>
                <w:lang w:val="en-GB"/>
              </w:rPr>
              <w:t>ellulose</w:t>
            </w:r>
            <w:r>
              <w:rPr>
                <w:rStyle w:val="normaltextrun"/>
                <w:rFonts w:cs="Calibri"/>
                <w:color w:val="303030"/>
                <w:sz w:val="22"/>
                <w:szCs w:val="22"/>
                <w:lang w:val="en-GB"/>
              </w:rPr>
              <w:t xml:space="preserve"> </w:t>
            </w:r>
            <w:r w:rsidR="005D3EAA" w:rsidRPr="001D2647">
              <w:rPr>
                <w:rStyle w:val="normaltextrun"/>
                <w:rFonts w:cs="Calibri"/>
                <w:color w:val="303030"/>
                <w:sz w:val="22"/>
                <w:szCs w:val="22"/>
                <w:lang w:val="en-GB"/>
              </w:rPr>
              <w:t>stream must be prioritized</w:t>
            </w:r>
            <w:r>
              <w:rPr>
                <w:rStyle w:val="normaltextrun"/>
                <w:rFonts w:cs="Calibri"/>
                <w:color w:val="303030"/>
                <w:sz w:val="22"/>
                <w:szCs w:val="22"/>
                <w:lang w:val="en-GB"/>
              </w:rPr>
              <w:t>.</w:t>
            </w:r>
          </w:p>
        </w:tc>
      </w:tr>
      <w:tr w:rsidR="00DA0F6B" w:rsidRPr="0045629F" w14:paraId="40722F5C" w14:textId="77777777" w:rsidTr="001D2647">
        <w:trPr>
          <w:trHeight w:val="289"/>
        </w:trPr>
        <w:tc>
          <w:tcPr>
            <w:cnfStyle w:val="001000000000" w:firstRow="0" w:lastRow="0" w:firstColumn="1" w:lastColumn="0" w:oddVBand="0" w:evenVBand="0" w:oddHBand="0" w:evenHBand="0" w:firstRowFirstColumn="0" w:firstRowLastColumn="0" w:lastRowFirstColumn="0" w:lastRowLastColumn="0"/>
            <w:tcW w:w="973"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1CF7799D" w14:textId="17195FA9" w:rsidR="00DA0F6B" w:rsidRPr="001D2647" w:rsidRDefault="005422A7" w:rsidP="001D2647">
            <w:pPr>
              <w:jc w:val="center"/>
              <w:rPr>
                <w:color w:val="303030" w:themeColor="text1" w:themeTint="D9"/>
                <w:sz w:val="22"/>
                <w:szCs w:val="22"/>
                <w:lang w:val="en-GB"/>
              </w:rPr>
            </w:pPr>
            <w:r w:rsidRPr="001D2647">
              <w:rPr>
                <w:color w:val="303030" w:themeColor="text1" w:themeTint="D9"/>
                <w:sz w:val="22"/>
                <w:szCs w:val="22"/>
                <w:lang w:val="en-GB"/>
              </w:rPr>
              <w:t>2</w:t>
            </w:r>
          </w:p>
        </w:tc>
        <w:tc>
          <w:tcPr>
            <w:tcW w:w="3344"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5D01331B" w14:textId="3582DB5F" w:rsidR="00DA0F6B" w:rsidRPr="001D2647" w:rsidRDefault="005422A7" w:rsidP="001D2647">
            <w:pPr>
              <w:jc w:val="cente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rStyle w:val="normaltextrun"/>
                <w:rFonts w:cs="Calibri"/>
                <w:color w:val="303030"/>
                <w:sz w:val="22"/>
                <w:szCs w:val="22"/>
                <w:shd w:val="clear" w:color="auto" w:fill="FFFFFF"/>
                <w:lang w:val="en-GB"/>
              </w:rPr>
              <w:t xml:space="preserve">Lower regulation targets and carbon </w:t>
            </w:r>
            <w:proofErr w:type="gramStart"/>
            <w:r w:rsidRPr="001D2647">
              <w:rPr>
                <w:rStyle w:val="normaltextrun"/>
                <w:rFonts w:cs="Calibri"/>
                <w:color w:val="303030"/>
                <w:sz w:val="22"/>
                <w:szCs w:val="22"/>
                <w:shd w:val="clear" w:color="auto" w:fill="FFFFFF"/>
                <w:lang w:val="en-GB"/>
              </w:rPr>
              <w:t>price</w:t>
            </w:r>
            <w:r w:rsidRPr="001D2647">
              <w:rPr>
                <w:rStyle w:val="eop"/>
                <w:rFonts w:cs="Calibri"/>
                <w:color w:val="303030"/>
                <w:sz w:val="22"/>
                <w:szCs w:val="22"/>
                <w:shd w:val="clear" w:color="auto" w:fill="FFFFFF"/>
              </w:rPr>
              <w:t> .</w:t>
            </w:r>
            <w:proofErr w:type="gramEnd"/>
          </w:p>
        </w:tc>
        <w:tc>
          <w:tcPr>
            <w:tcW w:w="1199"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1212800F" w14:textId="077504F5" w:rsidR="00DA0F6B" w:rsidRPr="001D2647" w:rsidRDefault="00CA44CA" w:rsidP="001D2647">
            <w:pPr>
              <w:jc w:val="cente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color w:val="303030" w:themeColor="text1" w:themeTint="D9"/>
                <w:sz w:val="22"/>
                <w:szCs w:val="22"/>
                <w:lang w:val="en-GB"/>
              </w:rPr>
              <w:t>3</w:t>
            </w:r>
          </w:p>
        </w:tc>
        <w:tc>
          <w:tcPr>
            <w:tcW w:w="1006"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6AC76C7B" w14:textId="2F4BDACF" w:rsidR="00DA0F6B" w:rsidRPr="001D2647" w:rsidRDefault="00CA44CA" w:rsidP="001D2647">
            <w:pPr>
              <w:jc w:val="cente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color w:val="303030" w:themeColor="text1" w:themeTint="D9"/>
                <w:sz w:val="22"/>
                <w:szCs w:val="22"/>
                <w:lang w:val="en-GB"/>
              </w:rPr>
              <w:t>2</w:t>
            </w:r>
          </w:p>
        </w:tc>
        <w:tc>
          <w:tcPr>
            <w:tcW w:w="2740"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tcPr>
          <w:p w14:paraId="7F998AE3" w14:textId="5921DCD4" w:rsidR="00DA0F6B" w:rsidRPr="001D2647" w:rsidRDefault="005D3EAA" w:rsidP="001D2647">
            <w:pPr>
              <w:jc w:val="left"/>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rStyle w:val="normaltextrun"/>
                <w:rFonts w:cs="Calibri"/>
                <w:color w:val="303030"/>
                <w:sz w:val="22"/>
                <w:szCs w:val="22"/>
                <w:shd w:val="clear" w:color="auto" w:fill="FFFFFF"/>
                <w:lang w:val="en-GB"/>
              </w:rPr>
              <w:t>Reduction in production</w:t>
            </w:r>
            <w:r w:rsidR="001D2647">
              <w:rPr>
                <w:rStyle w:val="normaltextrun"/>
                <w:rFonts w:cs="Calibri"/>
                <w:color w:val="303030"/>
                <w:sz w:val="22"/>
                <w:szCs w:val="22"/>
                <w:shd w:val="clear" w:color="auto" w:fill="FFFFFF"/>
                <w:lang w:val="en-GB"/>
              </w:rPr>
              <w:t xml:space="preserve"> </w:t>
            </w:r>
            <w:r w:rsidRPr="001D2647">
              <w:rPr>
                <w:rStyle w:val="normaltextrun"/>
                <w:rFonts w:cs="Calibri"/>
                <w:color w:val="303030"/>
                <w:sz w:val="22"/>
                <w:szCs w:val="22"/>
                <w:shd w:val="clear" w:color="auto" w:fill="FFFFFF"/>
                <w:lang w:val="en-GB"/>
              </w:rPr>
              <w:t>cost must compensate a lower carbon price and dec</w:t>
            </w:r>
            <w:r w:rsidR="0006215C">
              <w:rPr>
                <w:rStyle w:val="normaltextrun"/>
                <w:rFonts w:cs="Calibri"/>
                <w:color w:val="303030"/>
                <w:sz w:val="22"/>
                <w:szCs w:val="22"/>
                <w:shd w:val="clear" w:color="auto" w:fill="FFFFFF"/>
                <w:lang w:val="en-GB"/>
              </w:rPr>
              <w:t>r</w:t>
            </w:r>
            <w:r w:rsidRPr="001D2647">
              <w:rPr>
                <w:rStyle w:val="normaltextrun"/>
                <w:rFonts w:cs="Calibri"/>
                <w:color w:val="303030"/>
                <w:sz w:val="22"/>
                <w:szCs w:val="22"/>
                <w:shd w:val="clear" w:color="auto" w:fill="FFFFFF"/>
                <w:lang w:val="en-GB"/>
              </w:rPr>
              <w:t>eased demand</w:t>
            </w:r>
            <w:r w:rsidR="0006215C">
              <w:rPr>
                <w:rStyle w:val="normaltextrun"/>
                <w:rFonts w:cs="Calibri"/>
                <w:color w:val="303030"/>
                <w:sz w:val="22"/>
                <w:szCs w:val="22"/>
                <w:shd w:val="clear" w:color="auto" w:fill="FFFFFF"/>
                <w:lang w:val="en-GB"/>
              </w:rPr>
              <w:t>.</w:t>
            </w:r>
          </w:p>
        </w:tc>
      </w:tr>
      <w:tr w:rsidR="00D34E10" w:rsidRPr="0045629F" w14:paraId="071C3E3C" w14:textId="77777777" w:rsidTr="001D2647">
        <w:trPr>
          <w:trHeight w:val="289"/>
        </w:trPr>
        <w:tc>
          <w:tcPr>
            <w:cnfStyle w:val="001000000000" w:firstRow="0" w:lastRow="0" w:firstColumn="1" w:lastColumn="0" w:oddVBand="0" w:evenVBand="0" w:oddHBand="0" w:evenHBand="0" w:firstRowFirstColumn="0" w:firstRowLastColumn="0" w:lastRowFirstColumn="0" w:lastRowLastColumn="0"/>
            <w:tcW w:w="973"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63B5A377" w14:textId="4377A2E5" w:rsidR="00710F7F" w:rsidRPr="001D2647" w:rsidRDefault="005422A7" w:rsidP="001D2647">
            <w:pPr>
              <w:jc w:val="center"/>
              <w:rPr>
                <w:color w:val="303030" w:themeColor="text1" w:themeTint="D9"/>
                <w:sz w:val="22"/>
                <w:szCs w:val="22"/>
                <w:lang w:val="en-GB"/>
              </w:rPr>
            </w:pPr>
            <w:r w:rsidRPr="001D2647">
              <w:rPr>
                <w:color w:val="303030" w:themeColor="text1" w:themeTint="D9"/>
                <w:sz w:val="22"/>
                <w:szCs w:val="22"/>
                <w:lang w:val="en-GB"/>
              </w:rPr>
              <w:t>3</w:t>
            </w:r>
          </w:p>
        </w:tc>
        <w:tc>
          <w:tcPr>
            <w:tcW w:w="3344"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4A4D010B" w14:textId="4AEDE3B2" w:rsidR="00710F7F" w:rsidRPr="001D2647" w:rsidRDefault="002A4864" w:rsidP="001D2647">
            <w:pPr>
              <w:jc w:val="cente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rStyle w:val="normaltextrun"/>
                <w:rFonts w:cs="Calibri"/>
                <w:color w:val="1F1F1F"/>
                <w:sz w:val="22"/>
                <w:szCs w:val="22"/>
                <w:shd w:val="clear" w:color="auto" w:fill="FFFFFF"/>
                <w:lang w:val="en-GB"/>
              </w:rPr>
              <w:t>Low stability or compatibility with HFO or fossil-based fuels.</w:t>
            </w:r>
          </w:p>
        </w:tc>
        <w:tc>
          <w:tcPr>
            <w:tcW w:w="1199"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072DE3A8" w14:textId="0C160CB2" w:rsidR="00710F7F" w:rsidRPr="001D2647" w:rsidRDefault="00CA44CA" w:rsidP="001D2647">
            <w:pPr>
              <w:jc w:val="cente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color w:val="303030" w:themeColor="text1" w:themeTint="D9"/>
                <w:sz w:val="22"/>
                <w:szCs w:val="22"/>
                <w:lang w:val="en-GB"/>
              </w:rPr>
              <w:t>2</w:t>
            </w:r>
          </w:p>
        </w:tc>
        <w:tc>
          <w:tcPr>
            <w:tcW w:w="1006"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068363A6" w14:textId="48B90663" w:rsidR="00710F7F" w:rsidRPr="001D2647" w:rsidRDefault="005D3EAA" w:rsidP="001D2647">
            <w:pPr>
              <w:jc w:val="cente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color w:val="303030" w:themeColor="text1" w:themeTint="D9"/>
                <w:sz w:val="22"/>
                <w:szCs w:val="22"/>
                <w:lang w:val="en-GB"/>
              </w:rPr>
              <w:t>1</w:t>
            </w:r>
          </w:p>
        </w:tc>
        <w:tc>
          <w:tcPr>
            <w:tcW w:w="2740"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tcPr>
          <w:p w14:paraId="799292F2" w14:textId="03218BE8" w:rsidR="00710F7F" w:rsidRPr="001D2647" w:rsidRDefault="005D3EAA" w:rsidP="001D2647">
            <w:pPr>
              <w:jc w:val="left"/>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rStyle w:val="normaltextrun"/>
                <w:rFonts w:cs="Calibri"/>
                <w:color w:val="1F1F1F"/>
                <w:sz w:val="22"/>
                <w:szCs w:val="22"/>
                <w:lang w:val="en-GB"/>
              </w:rPr>
              <w:t>Process design working together with product testing</w:t>
            </w:r>
            <w:r w:rsidR="0006215C">
              <w:rPr>
                <w:rStyle w:val="normaltextrun"/>
                <w:rFonts w:cs="Calibri"/>
                <w:color w:val="1F1F1F"/>
                <w:sz w:val="22"/>
                <w:szCs w:val="22"/>
                <w:lang w:val="en-GB"/>
              </w:rPr>
              <w:t>.</w:t>
            </w:r>
          </w:p>
        </w:tc>
      </w:tr>
      <w:tr w:rsidR="005422A7" w:rsidRPr="0045629F" w14:paraId="2C14589D" w14:textId="77777777" w:rsidTr="001D2647">
        <w:trPr>
          <w:trHeight w:val="289"/>
        </w:trPr>
        <w:tc>
          <w:tcPr>
            <w:cnfStyle w:val="001000000000" w:firstRow="0" w:lastRow="0" w:firstColumn="1" w:lastColumn="0" w:oddVBand="0" w:evenVBand="0" w:oddHBand="0" w:evenHBand="0" w:firstRowFirstColumn="0" w:firstRowLastColumn="0" w:lastRowFirstColumn="0" w:lastRowLastColumn="0"/>
            <w:tcW w:w="973"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163CA7F4" w14:textId="5FB1167D" w:rsidR="005422A7" w:rsidRPr="001D2647" w:rsidRDefault="005422A7" w:rsidP="001D2647">
            <w:pPr>
              <w:jc w:val="center"/>
              <w:rPr>
                <w:color w:val="303030" w:themeColor="text1" w:themeTint="D9"/>
                <w:sz w:val="22"/>
                <w:szCs w:val="22"/>
                <w:lang w:val="en-GB"/>
              </w:rPr>
            </w:pPr>
            <w:r w:rsidRPr="001D2647">
              <w:rPr>
                <w:color w:val="303030" w:themeColor="text1" w:themeTint="D9"/>
                <w:sz w:val="22"/>
                <w:szCs w:val="22"/>
                <w:lang w:val="en-GB"/>
              </w:rPr>
              <w:t>4</w:t>
            </w:r>
          </w:p>
        </w:tc>
        <w:tc>
          <w:tcPr>
            <w:tcW w:w="3344"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30040A9E" w14:textId="26654A91" w:rsidR="005422A7" w:rsidRPr="001D2647" w:rsidRDefault="001D2647" w:rsidP="001D2647">
            <w:pPr>
              <w:jc w:val="cente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rStyle w:val="normaltextrun"/>
                <w:rFonts w:cs="Calibri"/>
                <w:color w:val="1F1F1F"/>
                <w:sz w:val="22"/>
                <w:szCs w:val="22"/>
                <w:lang w:val="en-GB"/>
              </w:rPr>
              <w:t>Low oil prices</w:t>
            </w:r>
          </w:p>
        </w:tc>
        <w:tc>
          <w:tcPr>
            <w:tcW w:w="1199"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2618141C" w14:textId="44F1C5CE" w:rsidR="005422A7" w:rsidRPr="001D2647" w:rsidRDefault="00CA44CA" w:rsidP="001D2647">
            <w:pPr>
              <w:jc w:val="cente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color w:val="303030" w:themeColor="text1" w:themeTint="D9"/>
                <w:sz w:val="22"/>
                <w:szCs w:val="22"/>
                <w:lang w:val="en-GB"/>
              </w:rPr>
              <w:t>1</w:t>
            </w:r>
          </w:p>
        </w:tc>
        <w:tc>
          <w:tcPr>
            <w:tcW w:w="1006"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04C83F4E" w14:textId="7D36D88E" w:rsidR="005422A7" w:rsidRPr="001D2647" w:rsidRDefault="005D3EAA" w:rsidP="001D2647">
            <w:pPr>
              <w:jc w:val="cente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color w:val="303030" w:themeColor="text1" w:themeTint="D9"/>
                <w:sz w:val="22"/>
                <w:szCs w:val="22"/>
                <w:lang w:val="en-GB"/>
              </w:rPr>
              <w:t>2</w:t>
            </w:r>
          </w:p>
        </w:tc>
        <w:tc>
          <w:tcPr>
            <w:tcW w:w="2740"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tcPr>
          <w:p w14:paraId="1131519B" w14:textId="202F94B3" w:rsidR="005422A7" w:rsidRPr="001D2647" w:rsidRDefault="00867E85" w:rsidP="001D2647">
            <w:pPr>
              <w:jc w:val="left"/>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rStyle w:val="normaltextrun"/>
                <w:rFonts w:cs="Calibri"/>
                <w:color w:val="1F1F1F"/>
                <w:sz w:val="22"/>
                <w:szCs w:val="22"/>
                <w:bdr w:val="none" w:sz="0" w:space="0" w:color="auto" w:frame="1"/>
                <w:lang w:val="en-GB"/>
              </w:rPr>
              <w:t xml:space="preserve">Minimize production costs and GHG emission to benefit from </w:t>
            </w:r>
            <w:r w:rsidR="0006215C">
              <w:rPr>
                <w:rStyle w:val="normaltextrun"/>
                <w:rFonts w:cs="Calibri"/>
                <w:color w:val="1F1F1F"/>
                <w:sz w:val="22"/>
                <w:szCs w:val="22"/>
                <w:bdr w:val="none" w:sz="0" w:space="0" w:color="auto" w:frame="1"/>
                <w:lang w:val="en-GB"/>
              </w:rPr>
              <w:t>the carbon market</w:t>
            </w:r>
            <w:r w:rsidRPr="001D2647">
              <w:rPr>
                <w:rStyle w:val="normaltextrun"/>
                <w:rFonts w:cs="Calibri"/>
                <w:color w:val="1F1F1F"/>
                <w:sz w:val="22"/>
                <w:szCs w:val="22"/>
                <w:bdr w:val="none" w:sz="0" w:space="0" w:color="auto" w:frame="1"/>
                <w:lang w:val="en-GB"/>
              </w:rPr>
              <w:t>.</w:t>
            </w:r>
          </w:p>
        </w:tc>
      </w:tr>
      <w:tr w:rsidR="005422A7" w:rsidRPr="0045629F" w14:paraId="68AC3122" w14:textId="77777777" w:rsidTr="001D2647">
        <w:trPr>
          <w:trHeight w:val="289"/>
        </w:trPr>
        <w:tc>
          <w:tcPr>
            <w:cnfStyle w:val="001000000000" w:firstRow="0" w:lastRow="0" w:firstColumn="1" w:lastColumn="0" w:oddVBand="0" w:evenVBand="0" w:oddHBand="0" w:evenHBand="0" w:firstRowFirstColumn="0" w:firstRowLastColumn="0" w:lastRowFirstColumn="0" w:lastRowLastColumn="0"/>
            <w:tcW w:w="973"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23984672" w14:textId="27B89772" w:rsidR="005422A7" w:rsidRPr="001D2647" w:rsidRDefault="005422A7" w:rsidP="001D2647">
            <w:pPr>
              <w:jc w:val="center"/>
              <w:rPr>
                <w:color w:val="303030" w:themeColor="text1" w:themeTint="D9"/>
                <w:sz w:val="22"/>
                <w:szCs w:val="22"/>
                <w:lang w:val="en-GB"/>
              </w:rPr>
            </w:pPr>
            <w:r w:rsidRPr="001D2647">
              <w:rPr>
                <w:color w:val="303030" w:themeColor="text1" w:themeTint="D9"/>
                <w:sz w:val="22"/>
                <w:szCs w:val="22"/>
                <w:lang w:val="en-GB"/>
              </w:rPr>
              <w:t>5</w:t>
            </w:r>
          </w:p>
        </w:tc>
        <w:tc>
          <w:tcPr>
            <w:tcW w:w="3344"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23D33ADD" w14:textId="16EA6103" w:rsidR="005422A7" w:rsidRPr="001D2647" w:rsidRDefault="00867E85" w:rsidP="001D2647">
            <w:pPr>
              <w:jc w:val="cente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rStyle w:val="normaltextrun"/>
                <w:rFonts w:cs="Calibri"/>
                <w:color w:val="1F1F1F"/>
                <w:sz w:val="22"/>
                <w:szCs w:val="22"/>
                <w:lang w:val="en-GB"/>
              </w:rPr>
              <w:t>Quicker market uptake of other lignocellulose-based fuels</w:t>
            </w:r>
          </w:p>
        </w:tc>
        <w:tc>
          <w:tcPr>
            <w:tcW w:w="1199"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7985F3A4" w14:textId="0A3E5212" w:rsidR="005422A7" w:rsidRPr="001D2647" w:rsidRDefault="00CA44CA" w:rsidP="001D2647">
            <w:pPr>
              <w:jc w:val="cente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color w:val="303030" w:themeColor="text1" w:themeTint="D9"/>
                <w:sz w:val="22"/>
                <w:szCs w:val="22"/>
                <w:lang w:val="en-GB"/>
              </w:rPr>
              <w:t>2</w:t>
            </w:r>
          </w:p>
        </w:tc>
        <w:tc>
          <w:tcPr>
            <w:tcW w:w="1006"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22E0E619" w14:textId="3C1EC290" w:rsidR="005422A7" w:rsidRPr="001D2647" w:rsidRDefault="005D3EAA" w:rsidP="001D2647">
            <w:pPr>
              <w:jc w:val="cente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color w:val="303030" w:themeColor="text1" w:themeTint="D9"/>
                <w:sz w:val="22"/>
                <w:szCs w:val="22"/>
                <w:lang w:val="en-GB"/>
              </w:rPr>
              <w:t>1</w:t>
            </w:r>
          </w:p>
        </w:tc>
        <w:tc>
          <w:tcPr>
            <w:tcW w:w="2740"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tcPr>
          <w:p w14:paraId="28F07DAC" w14:textId="77777777" w:rsidR="0006215C" w:rsidRDefault="00867E85" w:rsidP="001D2647">
            <w:pPr>
              <w:jc w:val="left"/>
              <w:cnfStyle w:val="000000000000" w:firstRow="0" w:lastRow="0" w:firstColumn="0" w:lastColumn="0" w:oddVBand="0" w:evenVBand="0" w:oddHBand="0" w:evenHBand="0" w:firstRowFirstColumn="0" w:firstRowLastColumn="0" w:lastRowFirstColumn="0" w:lastRowLastColumn="0"/>
              <w:rPr>
                <w:rStyle w:val="normaltextrun"/>
                <w:rFonts w:cs="Calibri"/>
                <w:color w:val="1F1F1F"/>
                <w:sz w:val="22"/>
                <w:szCs w:val="22"/>
                <w:shd w:val="clear" w:color="auto" w:fill="FFFFFF"/>
                <w:lang w:val="en-GB"/>
              </w:rPr>
            </w:pPr>
            <w:r w:rsidRPr="001D2647">
              <w:rPr>
                <w:rStyle w:val="normaltextrun"/>
                <w:rFonts w:cs="Calibri"/>
                <w:color w:val="1F1F1F"/>
                <w:sz w:val="22"/>
                <w:szCs w:val="22"/>
                <w:shd w:val="clear" w:color="auto" w:fill="FFFFFF"/>
                <w:lang w:val="en-GB"/>
              </w:rPr>
              <w:t>Accelerate end user tests. </w:t>
            </w:r>
          </w:p>
          <w:p w14:paraId="28E808F4" w14:textId="5C6850CC" w:rsidR="005422A7" w:rsidRPr="001D2647" w:rsidRDefault="00867E85" w:rsidP="001D2647">
            <w:pPr>
              <w:jc w:val="left"/>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rStyle w:val="normaltextrun"/>
                <w:rFonts w:cs="Calibri"/>
                <w:color w:val="1F1F1F"/>
                <w:sz w:val="22"/>
                <w:szCs w:val="22"/>
                <w:shd w:val="clear" w:color="auto" w:fill="FFFFFF"/>
                <w:lang w:val="en-GB"/>
              </w:rPr>
              <w:t>Cost optimization.</w:t>
            </w:r>
          </w:p>
        </w:tc>
      </w:tr>
      <w:tr w:rsidR="005422A7" w:rsidRPr="0045629F" w14:paraId="40C66B91" w14:textId="77777777" w:rsidTr="001D2647">
        <w:trPr>
          <w:trHeight w:val="289"/>
        </w:trPr>
        <w:tc>
          <w:tcPr>
            <w:cnfStyle w:val="001000000000" w:firstRow="0" w:lastRow="0" w:firstColumn="1" w:lastColumn="0" w:oddVBand="0" w:evenVBand="0" w:oddHBand="0" w:evenHBand="0" w:firstRowFirstColumn="0" w:firstRowLastColumn="0" w:lastRowFirstColumn="0" w:lastRowLastColumn="0"/>
            <w:tcW w:w="973"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30E5E3E8" w14:textId="6F96C8AD" w:rsidR="005422A7" w:rsidRPr="001D2647" w:rsidRDefault="005422A7" w:rsidP="001D2647">
            <w:pPr>
              <w:jc w:val="center"/>
              <w:rPr>
                <w:color w:val="303030" w:themeColor="text1" w:themeTint="D9"/>
                <w:sz w:val="22"/>
                <w:szCs w:val="22"/>
                <w:lang w:val="en-GB"/>
              </w:rPr>
            </w:pPr>
            <w:r w:rsidRPr="001D2647">
              <w:rPr>
                <w:color w:val="303030" w:themeColor="text1" w:themeTint="D9"/>
                <w:sz w:val="22"/>
                <w:szCs w:val="22"/>
                <w:lang w:val="en-GB"/>
              </w:rPr>
              <w:t>6</w:t>
            </w:r>
          </w:p>
        </w:tc>
        <w:tc>
          <w:tcPr>
            <w:tcW w:w="3344"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7E650D19" w14:textId="4CF657E5" w:rsidR="005422A7" w:rsidRPr="001D2647" w:rsidRDefault="00867E85" w:rsidP="001D2647">
            <w:pPr>
              <w:jc w:val="cente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rStyle w:val="normaltextrun"/>
                <w:rFonts w:cs="Calibri"/>
                <w:color w:val="1F1F1F"/>
                <w:sz w:val="22"/>
                <w:szCs w:val="22"/>
                <w:shd w:val="clear" w:color="auto" w:fill="FFFFFF"/>
                <w:lang w:val="en-GB"/>
              </w:rPr>
              <w:t>Market tendency towards other alternative fuel: Methanol, LNG.</w:t>
            </w:r>
          </w:p>
        </w:tc>
        <w:tc>
          <w:tcPr>
            <w:tcW w:w="1199"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05B485C6" w14:textId="13DF350A" w:rsidR="005422A7" w:rsidRPr="001D2647" w:rsidRDefault="00CA44CA" w:rsidP="001D2647">
            <w:pPr>
              <w:jc w:val="cente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color w:val="303030" w:themeColor="text1" w:themeTint="D9"/>
                <w:sz w:val="22"/>
                <w:szCs w:val="22"/>
                <w:lang w:val="en-GB"/>
              </w:rPr>
              <w:t>1</w:t>
            </w:r>
          </w:p>
        </w:tc>
        <w:tc>
          <w:tcPr>
            <w:tcW w:w="1006"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797CC2FC" w14:textId="031AD546" w:rsidR="005422A7" w:rsidRPr="001D2647" w:rsidRDefault="005D3EAA" w:rsidP="001D2647">
            <w:pPr>
              <w:jc w:val="cente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color w:val="303030" w:themeColor="text1" w:themeTint="D9"/>
                <w:sz w:val="22"/>
                <w:szCs w:val="22"/>
                <w:lang w:val="en-GB"/>
              </w:rPr>
              <w:t>2</w:t>
            </w:r>
          </w:p>
        </w:tc>
        <w:tc>
          <w:tcPr>
            <w:tcW w:w="2740"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tcPr>
          <w:p w14:paraId="7199FDFE" w14:textId="552BC54D" w:rsidR="00867E85" w:rsidRPr="001D2647" w:rsidRDefault="00867E85" w:rsidP="001D2647">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1F1F1F"/>
                <w:sz w:val="22"/>
                <w:szCs w:val="22"/>
                <w:lang w:val="en-GB"/>
              </w:rPr>
            </w:pPr>
            <w:r w:rsidRPr="001D2647">
              <w:rPr>
                <w:rStyle w:val="normaltextrun"/>
                <w:rFonts w:ascii="Calibri" w:hAnsi="Calibri" w:cs="Calibri"/>
                <w:color w:val="1F1F1F"/>
                <w:sz w:val="22"/>
                <w:szCs w:val="22"/>
                <w:lang w:val="en-GB"/>
              </w:rPr>
              <w:t>Accelerate end user tests.</w:t>
            </w:r>
          </w:p>
          <w:p w14:paraId="3BB1F55B" w14:textId="0B3D0D77" w:rsidR="00867E85" w:rsidRPr="001D2647" w:rsidRDefault="00867E85" w:rsidP="001D2647">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1F1F1F"/>
                <w:sz w:val="22"/>
                <w:szCs w:val="22"/>
                <w:lang w:val="en-GB"/>
              </w:rPr>
            </w:pPr>
            <w:r w:rsidRPr="001D2647">
              <w:rPr>
                <w:rStyle w:val="normaltextrun"/>
                <w:rFonts w:ascii="Calibri" w:hAnsi="Calibri" w:cs="Calibri"/>
                <w:color w:val="1F1F1F"/>
                <w:sz w:val="22"/>
                <w:szCs w:val="22"/>
                <w:lang w:val="en-GB"/>
              </w:rPr>
              <w:t>Cost optimization.</w:t>
            </w:r>
          </w:p>
          <w:p w14:paraId="351E761B" w14:textId="2D1207FA" w:rsidR="00867E85" w:rsidRPr="001D2647" w:rsidRDefault="00867E85" w:rsidP="001D2647">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1F1F1F"/>
                <w:sz w:val="22"/>
                <w:szCs w:val="22"/>
                <w:lang w:val="en-GB"/>
              </w:rPr>
            </w:pPr>
            <w:r w:rsidRPr="001D2647">
              <w:rPr>
                <w:rStyle w:val="normaltextrun"/>
                <w:rFonts w:ascii="Calibri" w:hAnsi="Calibri" w:cs="Calibri"/>
                <w:color w:val="1F1F1F"/>
                <w:sz w:val="22"/>
                <w:szCs w:val="22"/>
                <w:lang w:val="en-GB"/>
              </w:rPr>
              <w:t>Lobbying</w:t>
            </w:r>
            <w:r w:rsidR="0006215C">
              <w:rPr>
                <w:rStyle w:val="normaltextrun"/>
                <w:rFonts w:ascii="Calibri" w:hAnsi="Calibri" w:cs="Calibri"/>
                <w:color w:val="1F1F1F"/>
                <w:sz w:val="22"/>
                <w:szCs w:val="22"/>
                <w:lang w:val="en-GB"/>
              </w:rPr>
              <w:t>.</w:t>
            </w:r>
          </w:p>
          <w:p w14:paraId="42513761" w14:textId="77777777" w:rsidR="005422A7" w:rsidRPr="001D2647" w:rsidRDefault="005422A7" w:rsidP="001D2647">
            <w:pPr>
              <w:jc w:val="left"/>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p>
        </w:tc>
      </w:tr>
    </w:tbl>
    <w:bookmarkEnd w:id="50"/>
    <w:p w14:paraId="5D0AEFF9" w14:textId="77777777" w:rsidR="0034036F" w:rsidRDefault="0034036F" w:rsidP="0034036F">
      <w:pPr>
        <w:spacing w:after="160" w:line="259" w:lineRule="auto"/>
        <w:jc w:val="left"/>
        <w:rPr>
          <w:rFonts w:ascii="Verdana" w:hAnsi="Verdana"/>
          <w:sz w:val="16"/>
          <w:szCs w:val="16"/>
        </w:rPr>
      </w:pPr>
      <w:r>
        <w:rPr>
          <w:vertAlign w:val="superscript"/>
          <w:lang w:val="en-GB"/>
        </w:rPr>
        <w:t>1)</w:t>
      </w:r>
      <w:r>
        <w:rPr>
          <w:lang w:val="en-GB"/>
        </w:rPr>
        <w:t xml:space="preserve"> </w:t>
      </w:r>
      <w:r>
        <w:rPr>
          <w:rFonts w:ascii="Verdana" w:hAnsi="Verdana"/>
          <w:sz w:val="16"/>
          <w:szCs w:val="16"/>
        </w:rPr>
        <w:t>Probability risk will occur</w:t>
      </w:r>
      <w:r w:rsidRPr="00AA3608">
        <w:rPr>
          <w:rFonts w:ascii="Verdana" w:hAnsi="Verdana"/>
          <w:sz w:val="16"/>
          <w:szCs w:val="16"/>
        </w:rPr>
        <w:t>: 1 = high</w:t>
      </w:r>
      <w:r>
        <w:rPr>
          <w:rFonts w:ascii="Verdana" w:hAnsi="Verdana"/>
          <w:sz w:val="16"/>
          <w:szCs w:val="16"/>
        </w:rPr>
        <w:t>, 2 = medium,</w:t>
      </w:r>
      <w:r w:rsidRPr="00AA3608">
        <w:rPr>
          <w:rFonts w:ascii="Verdana" w:hAnsi="Verdana"/>
          <w:sz w:val="16"/>
          <w:szCs w:val="16"/>
        </w:rPr>
        <w:t xml:space="preserve"> 3 = Low</w:t>
      </w:r>
    </w:p>
    <w:p w14:paraId="0E928AE1" w14:textId="77777777" w:rsidR="00017D36" w:rsidRPr="0034036F" w:rsidRDefault="00017D36" w:rsidP="0075226F">
      <w:pPr>
        <w:spacing w:before="240" w:after="240" w:line="276" w:lineRule="auto"/>
        <w:rPr>
          <w:color w:val="606060" w:themeColor="text1" w:themeTint="A6"/>
          <w:sz w:val="22"/>
          <w:szCs w:val="22"/>
        </w:rPr>
      </w:pPr>
    </w:p>
    <w:p w14:paraId="1C79F808" w14:textId="77777777" w:rsidR="0034036F" w:rsidRDefault="0034036F">
      <w:pPr>
        <w:spacing w:after="160" w:line="259" w:lineRule="auto"/>
        <w:jc w:val="left"/>
        <w:rPr>
          <w:rFonts w:asciiTheme="minorHAnsi" w:eastAsiaTheme="majorEastAsia" w:hAnsiTheme="minorHAnsi" w:cstheme="majorBidi"/>
          <w:b/>
          <w:color w:val="232323" w:themeColor="text1" w:themeTint="E6"/>
          <w:sz w:val="28"/>
          <w:szCs w:val="32"/>
          <w:lang w:val="en-GB"/>
        </w:rPr>
      </w:pPr>
      <w:r>
        <w:rPr>
          <w:lang w:val="en-GB"/>
        </w:rPr>
        <w:br w:type="page"/>
      </w:r>
    </w:p>
    <w:p w14:paraId="74C75408" w14:textId="3A926002" w:rsidR="004C14E2" w:rsidRPr="0045629F" w:rsidRDefault="3A29924E" w:rsidP="00DC3405">
      <w:pPr>
        <w:pStyle w:val="Heading1"/>
      </w:pPr>
      <w:bookmarkStart w:id="51" w:name="_Toc85627877"/>
      <w:r>
        <w:lastRenderedPageBreak/>
        <w:t>References</w:t>
      </w:r>
      <w:bookmarkEnd w:id="51"/>
    </w:p>
    <w:p w14:paraId="70436773" w14:textId="5FB1491E" w:rsidR="00B0696A" w:rsidRPr="00B0696A" w:rsidRDefault="003B4A74" w:rsidP="00B0696A">
      <w:pPr>
        <w:widowControl w:val="0"/>
        <w:autoSpaceDE w:val="0"/>
        <w:autoSpaceDN w:val="0"/>
        <w:adjustRightInd w:val="0"/>
        <w:spacing w:after="160"/>
        <w:ind w:left="480" w:hanging="480"/>
        <w:rPr>
          <w:rFonts w:cs="Calibri"/>
          <w:noProof/>
          <w:sz w:val="20"/>
          <w:szCs w:val="24"/>
        </w:rPr>
      </w:pPr>
      <w:r>
        <w:rPr>
          <w:lang w:val="en-GB"/>
        </w:rPr>
        <w:fldChar w:fldCharType="begin" w:fldLock="1"/>
      </w:r>
      <w:r>
        <w:rPr>
          <w:lang w:val="en-GB"/>
        </w:rPr>
        <w:instrText xml:space="preserve">ADDIN Mendeley Bibliography CSL_BIBLIOGRAPHY </w:instrText>
      </w:r>
      <w:r>
        <w:rPr>
          <w:lang w:val="en-GB"/>
        </w:rPr>
        <w:fldChar w:fldCharType="separate"/>
      </w:r>
      <w:r w:rsidR="00B0696A" w:rsidRPr="00B0696A">
        <w:rPr>
          <w:rFonts w:cs="Calibri"/>
          <w:noProof/>
          <w:sz w:val="20"/>
          <w:szCs w:val="24"/>
        </w:rPr>
        <w:t xml:space="preserve">Abdenur, A. E. (2021). </w:t>
      </w:r>
      <w:r w:rsidR="00B0696A" w:rsidRPr="00B0696A">
        <w:rPr>
          <w:rFonts w:cs="Calibri"/>
          <w:i/>
          <w:iCs/>
          <w:noProof/>
          <w:sz w:val="20"/>
          <w:szCs w:val="24"/>
        </w:rPr>
        <w:t>Climate action</w:t>
      </w:r>
      <w:r w:rsidR="00B0696A" w:rsidRPr="00B0696A">
        <w:rPr>
          <w:rFonts w:cs="Calibri"/>
          <w:noProof/>
          <w:sz w:val="20"/>
          <w:szCs w:val="24"/>
        </w:rPr>
        <w:t>. Global Governance Futures. https://doi.org/10.4324/9781003139836-21</w:t>
      </w:r>
    </w:p>
    <w:p w14:paraId="64E4A9C0"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Al-Aboosi, F. Y., El-Halwagi, M. M., Moore, M., &amp; Nielsen, R. B. (2021). Renewable ammonia as an alternative fuel for the shipping industry. </w:t>
      </w:r>
      <w:r w:rsidRPr="00B0696A">
        <w:rPr>
          <w:rFonts w:cs="Calibri"/>
          <w:i/>
          <w:iCs/>
          <w:noProof/>
          <w:sz w:val="20"/>
          <w:szCs w:val="24"/>
        </w:rPr>
        <w:t>Current Opinion in Chemical Engineering</w:t>
      </w:r>
      <w:r w:rsidRPr="00B0696A">
        <w:rPr>
          <w:rFonts w:cs="Calibri"/>
          <w:noProof/>
          <w:sz w:val="20"/>
          <w:szCs w:val="24"/>
        </w:rPr>
        <w:t xml:space="preserve">, </w:t>
      </w:r>
      <w:r w:rsidRPr="00B0696A">
        <w:rPr>
          <w:rFonts w:cs="Calibri"/>
          <w:i/>
          <w:iCs/>
          <w:noProof/>
          <w:sz w:val="20"/>
          <w:szCs w:val="24"/>
        </w:rPr>
        <w:t>31</w:t>
      </w:r>
      <w:r w:rsidRPr="00B0696A">
        <w:rPr>
          <w:rFonts w:cs="Calibri"/>
          <w:noProof/>
          <w:sz w:val="20"/>
          <w:szCs w:val="24"/>
        </w:rPr>
        <w:t>, 100670. https://doi.org/10.1016/j.coche.2021.100670</w:t>
      </w:r>
    </w:p>
    <w:p w14:paraId="33511812"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Balcombe, P., Brierley, J., Lewis, C., Skatvedt, L., Speirs, J., Hawkes, A., &amp; Staffell, I. (2019). How to decarbonise international shipping: Options for fuels, technologies and policies. </w:t>
      </w:r>
      <w:r w:rsidRPr="00B0696A">
        <w:rPr>
          <w:rFonts w:cs="Calibri"/>
          <w:i/>
          <w:iCs/>
          <w:noProof/>
          <w:sz w:val="20"/>
          <w:szCs w:val="24"/>
        </w:rPr>
        <w:t>Energy Conversion and Management</w:t>
      </w:r>
      <w:r w:rsidRPr="00B0696A">
        <w:rPr>
          <w:rFonts w:cs="Calibri"/>
          <w:noProof/>
          <w:sz w:val="20"/>
          <w:szCs w:val="24"/>
        </w:rPr>
        <w:t xml:space="preserve">, </w:t>
      </w:r>
      <w:r w:rsidRPr="00B0696A">
        <w:rPr>
          <w:rFonts w:cs="Calibri"/>
          <w:i/>
          <w:iCs/>
          <w:noProof/>
          <w:sz w:val="20"/>
          <w:szCs w:val="24"/>
        </w:rPr>
        <w:t>182</w:t>
      </w:r>
      <w:r w:rsidRPr="00B0696A">
        <w:rPr>
          <w:rFonts w:cs="Calibri"/>
          <w:noProof/>
          <w:sz w:val="20"/>
          <w:szCs w:val="24"/>
        </w:rPr>
        <w:t>(December 2018), 72–88. https://doi.org/10.1016/j.enconman.2018.12.080</w:t>
      </w:r>
    </w:p>
    <w:p w14:paraId="491544E7"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Brodie, P. (2020). </w:t>
      </w:r>
      <w:r w:rsidRPr="00B0696A">
        <w:rPr>
          <w:rFonts w:cs="Calibri"/>
          <w:i/>
          <w:iCs/>
          <w:noProof/>
          <w:sz w:val="20"/>
          <w:szCs w:val="24"/>
        </w:rPr>
        <w:t>International Convention for the Prevention of Pollution from Ships (MARPOL)</w:t>
      </w:r>
      <w:r w:rsidRPr="00B0696A">
        <w:rPr>
          <w:rFonts w:cs="Calibri"/>
          <w:noProof/>
          <w:sz w:val="20"/>
          <w:szCs w:val="24"/>
        </w:rPr>
        <w:t>. Commercial Shipping Handbook. https://doi.org/10.4324/9781315774695-85</w:t>
      </w:r>
    </w:p>
    <w:p w14:paraId="50012E01"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Brynolf, S., Fridell, E., &amp; Andersson, K. (2014). Environmental assessment of marine fuels: Liquefied natural gas, liquefied biogas, methanol and bio-methanol. </w:t>
      </w:r>
      <w:r w:rsidRPr="00B0696A">
        <w:rPr>
          <w:rFonts w:cs="Calibri"/>
          <w:i/>
          <w:iCs/>
          <w:noProof/>
          <w:sz w:val="20"/>
          <w:szCs w:val="24"/>
        </w:rPr>
        <w:t>Journal of Cleaner Production</w:t>
      </w:r>
      <w:r w:rsidRPr="00B0696A">
        <w:rPr>
          <w:rFonts w:cs="Calibri"/>
          <w:noProof/>
          <w:sz w:val="20"/>
          <w:szCs w:val="24"/>
        </w:rPr>
        <w:t xml:space="preserve">, </w:t>
      </w:r>
      <w:r w:rsidRPr="00B0696A">
        <w:rPr>
          <w:rFonts w:cs="Calibri"/>
          <w:i/>
          <w:iCs/>
          <w:noProof/>
          <w:sz w:val="20"/>
          <w:szCs w:val="24"/>
        </w:rPr>
        <w:t>74</w:t>
      </w:r>
      <w:r w:rsidRPr="00B0696A">
        <w:rPr>
          <w:rFonts w:cs="Calibri"/>
          <w:noProof/>
          <w:sz w:val="20"/>
          <w:szCs w:val="24"/>
        </w:rPr>
        <w:t>(X), 86–95. https://doi.org/10.1016/j.jclepro.2014.03.052</w:t>
      </w:r>
    </w:p>
    <w:p w14:paraId="584EBF44" w14:textId="77777777" w:rsidR="00B0696A" w:rsidRPr="00DC3405" w:rsidRDefault="00B0696A" w:rsidP="00B0696A">
      <w:pPr>
        <w:widowControl w:val="0"/>
        <w:autoSpaceDE w:val="0"/>
        <w:autoSpaceDN w:val="0"/>
        <w:adjustRightInd w:val="0"/>
        <w:spacing w:after="160"/>
        <w:ind w:left="480" w:hanging="480"/>
        <w:rPr>
          <w:rFonts w:cs="Calibri"/>
          <w:noProof/>
          <w:sz w:val="20"/>
          <w:szCs w:val="24"/>
          <w:lang w:val="da-DK"/>
        </w:rPr>
      </w:pPr>
      <w:r w:rsidRPr="00B0696A">
        <w:rPr>
          <w:rFonts w:cs="Calibri"/>
          <w:noProof/>
          <w:sz w:val="20"/>
          <w:szCs w:val="24"/>
        </w:rPr>
        <w:t xml:space="preserve">Carvalho, F., Portugal‐pereira, J., Junginger, M., &amp; Szklo, A. (2021). Biofuels for maritime transportation: A spatial, techno‐economic, and logistic analysis in brazil, europe, south africa, and the usa. </w:t>
      </w:r>
      <w:r w:rsidRPr="00DC3405">
        <w:rPr>
          <w:rFonts w:cs="Calibri"/>
          <w:i/>
          <w:iCs/>
          <w:noProof/>
          <w:sz w:val="20"/>
          <w:szCs w:val="24"/>
          <w:lang w:val="da-DK"/>
        </w:rPr>
        <w:t>Energies</w:t>
      </w:r>
      <w:r w:rsidRPr="00DC3405">
        <w:rPr>
          <w:rFonts w:cs="Calibri"/>
          <w:noProof/>
          <w:sz w:val="20"/>
          <w:szCs w:val="24"/>
          <w:lang w:val="da-DK"/>
        </w:rPr>
        <w:t xml:space="preserve">, </w:t>
      </w:r>
      <w:r w:rsidRPr="00DC3405">
        <w:rPr>
          <w:rFonts w:cs="Calibri"/>
          <w:i/>
          <w:iCs/>
          <w:noProof/>
          <w:sz w:val="20"/>
          <w:szCs w:val="24"/>
          <w:lang w:val="da-DK"/>
        </w:rPr>
        <w:t>14</w:t>
      </w:r>
      <w:r w:rsidRPr="00DC3405">
        <w:rPr>
          <w:rFonts w:cs="Calibri"/>
          <w:noProof/>
          <w:sz w:val="20"/>
          <w:szCs w:val="24"/>
          <w:lang w:val="da-DK"/>
        </w:rPr>
        <w:t>(16). https://doi.org/10.3390/en14164980</w:t>
      </w:r>
    </w:p>
    <w:p w14:paraId="600C8AEA"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DC3405">
        <w:rPr>
          <w:rFonts w:cs="Calibri"/>
          <w:noProof/>
          <w:sz w:val="20"/>
          <w:szCs w:val="24"/>
          <w:lang w:val="da-DK"/>
        </w:rPr>
        <w:t xml:space="preserve">Chiaramonti, D., Talluri, G., Scarlat, N., &amp; Prussi, M. (2021). </w:t>
      </w:r>
      <w:r w:rsidRPr="00B0696A">
        <w:rPr>
          <w:rFonts w:cs="Calibri"/>
          <w:noProof/>
          <w:sz w:val="20"/>
          <w:szCs w:val="24"/>
        </w:rPr>
        <w:t xml:space="preserve">The challenge of forecasting the role of biofuel in EU transport decarbonisation at 2050: A meta-analysis review of published scenarios. </w:t>
      </w:r>
      <w:r w:rsidRPr="00B0696A">
        <w:rPr>
          <w:rFonts w:cs="Calibri"/>
          <w:i/>
          <w:iCs/>
          <w:noProof/>
          <w:sz w:val="20"/>
          <w:szCs w:val="24"/>
        </w:rPr>
        <w:t>Renewable and Sustainable Energy Reviews</w:t>
      </w:r>
      <w:r w:rsidRPr="00B0696A">
        <w:rPr>
          <w:rFonts w:cs="Calibri"/>
          <w:noProof/>
          <w:sz w:val="20"/>
          <w:szCs w:val="24"/>
        </w:rPr>
        <w:t xml:space="preserve">, </w:t>
      </w:r>
      <w:r w:rsidRPr="00B0696A">
        <w:rPr>
          <w:rFonts w:cs="Calibri"/>
          <w:i/>
          <w:iCs/>
          <w:noProof/>
          <w:sz w:val="20"/>
          <w:szCs w:val="24"/>
        </w:rPr>
        <w:t>139</w:t>
      </w:r>
      <w:r w:rsidRPr="00B0696A">
        <w:rPr>
          <w:rFonts w:cs="Calibri"/>
          <w:noProof/>
          <w:sz w:val="20"/>
          <w:szCs w:val="24"/>
        </w:rPr>
        <w:t>(January), 110715. https://doi.org/10.1016/j.rser.2021.110715</w:t>
      </w:r>
    </w:p>
    <w:p w14:paraId="5C3A0C79"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DNV GL. (2019). </w:t>
      </w:r>
      <w:r w:rsidRPr="00B0696A">
        <w:rPr>
          <w:rFonts w:cs="Calibri"/>
          <w:i/>
          <w:iCs/>
          <w:noProof/>
          <w:sz w:val="20"/>
          <w:szCs w:val="24"/>
        </w:rPr>
        <w:t>Comparison of Alternative Marine Fuels</w:t>
      </w:r>
      <w:r w:rsidRPr="00B0696A">
        <w:rPr>
          <w:rFonts w:cs="Calibri"/>
          <w:noProof/>
          <w:sz w:val="20"/>
          <w:szCs w:val="24"/>
        </w:rPr>
        <w:t>. 1–65. https://sea-lng.org/wp-content/uploads/2019/09/19-09-16_Alternative-Marine-Fuels-Study_final_report.pdf</w:t>
      </w:r>
    </w:p>
    <w:p w14:paraId="39FD5327"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ECSA. (2020). </w:t>
      </w:r>
      <w:r w:rsidRPr="00B0696A">
        <w:rPr>
          <w:rFonts w:cs="Calibri"/>
          <w:i/>
          <w:iCs/>
          <w:noProof/>
          <w:sz w:val="20"/>
          <w:szCs w:val="24"/>
        </w:rPr>
        <w:t>A Green Deal for the European shipping industry</w:t>
      </w:r>
      <w:r w:rsidRPr="00B0696A">
        <w:rPr>
          <w:rFonts w:cs="Calibri"/>
          <w:noProof/>
          <w:sz w:val="20"/>
          <w:szCs w:val="24"/>
        </w:rPr>
        <w:t>. https://www.ecsa.eu/publications</w:t>
      </w:r>
    </w:p>
    <w:p w14:paraId="466BC6CD"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EurObserv’ER. (2019). </w:t>
      </w:r>
      <w:r w:rsidRPr="00B0696A">
        <w:rPr>
          <w:rFonts w:cs="Calibri"/>
          <w:i/>
          <w:iCs/>
          <w:noProof/>
          <w:sz w:val="20"/>
          <w:szCs w:val="24"/>
        </w:rPr>
        <w:t>Boifuels Barometer</w:t>
      </w:r>
      <w:r w:rsidRPr="00B0696A">
        <w:rPr>
          <w:rFonts w:cs="Calibri"/>
          <w:noProof/>
          <w:sz w:val="20"/>
          <w:szCs w:val="24"/>
        </w:rPr>
        <w:t xml:space="preserve"> (Vol. 2019, Issue September 2020).</w:t>
      </w:r>
    </w:p>
    <w:p w14:paraId="2FB672D3"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European Alternative Fuels Observatory. (2020). </w:t>
      </w:r>
      <w:r w:rsidRPr="00B0696A">
        <w:rPr>
          <w:rFonts w:cs="Calibri"/>
          <w:i/>
          <w:iCs/>
          <w:noProof/>
          <w:sz w:val="20"/>
          <w:szCs w:val="24"/>
        </w:rPr>
        <w:t>WHAT ARE ADVANCED BIOFUELS?</w:t>
      </w:r>
      <w:r w:rsidRPr="00B0696A">
        <w:rPr>
          <w:rFonts w:cs="Calibri"/>
          <w:noProof/>
          <w:sz w:val="20"/>
          <w:szCs w:val="24"/>
        </w:rPr>
        <w:t xml:space="preserve"> https://www.eafo.eu/alternative-fuels/advanced-biofuels/generic-information</w:t>
      </w:r>
    </w:p>
    <w:p w14:paraId="055FE604"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European Commission. (n.d.). </w:t>
      </w:r>
      <w:r w:rsidRPr="00B0696A">
        <w:rPr>
          <w:rFonts w:cs="Calibri"/>
          <w:i/>
          <w:iCs/>
          <w:noProof/>
          <w:sz w:val="20"/>
          <w:szCs w:val="24"/>
        </w:rPr>
        <w:t>EU Emissions Trading System (EU ETS)</w:t>
      </w:r>
      <w:r w:rsidRPr="00B0696A">
        <w:rPr>
          <w:rFonts w:cs="Calibri"/>
          <w:noProof/>
          <w:sz w:val="20"/>
          <w:szCs w:val="24"/>
        </w:rPr>
        <w:t>. Retrieved September 13, 2021, from https://ec.europa.eu/clima/policies/ets_en</w:t>
      </w:r>
    </w:p>
    <w:p w14:paraId="4B07E75E"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European Commission. (2021a). </w:t>
      </w:r>
      <w:r w:rsidRPr="00B0696A">
        <w:rPr>
          <w:rFonts w:cs="Calibri"/>
          <w:i/>
          <w:iCs/>
          <w:noProof/>
          <w:sz w:val="20"/>
          <w:szCs w:val="24"/>
        </w:rPr>
        <w:t>Amending Directive (EU) 2018/2001 of the European Parliament regards the promotion of energy from renewable sources, and repealing Council Directive (EU) 2015/65</w:t>
      </w:r>
      <w:r w:rsidRPr="00B0696A">
        <w:rPr>
          <w:rFonts w:cs="Calibri"/>
          <w:noProof/>
          <w:sz w:val="20"/>
          <w:szCs w:val="24"/>
        </w:rPr>
        <w:t xml:space="preserve"> (Vol. 0218). https://ec.europa.eu/info/sites/default/files/amendment-renewable-energy-directive-2030-climate-target-with-annexes_en.pdf</w:t>
      </w:r>
    </w:p>
    <w:p w14:paraId="0943D8AB"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European Commission. (2021b). </w:t>
      </w:r>
      <w:r w:rsidRPr="00B0696A">
        <w:rPr>
          <w:rFonts w:cs="Calibri"/>
          <w:i/>
          <w:iCs/>
          <w:noProof/>
          <w:sz w:val="20"/>
          <w:szCs w:val="24"/>
        </w:rPr>
        <w:t>European Green Deal: Commission proposes transformation of EU economy and society to meet climate ambitions</w:t>
      </w:r>
      <w:r w:rsidRPr="00B0696A">
        <w:rPr>
          <w:rFonts w:cs="Calibri"/>
          <w:noProof/>
          <w:sz w:val="20"/>
          <w:szCs w:val="24"/>
        </w:rPr>
        <w:t>. https://ec.europa.eu/commission/presscorner/detail/en/ip_21_3541</w:t>
      </w:r>
    </w:p>
    <w:p w14:paraId="0ADBD198"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European Parliament. (2018). DIRECTIVE (EU) 2018/2001. In </w:t>
      </w:r>
      <w:r w:rsidRPr="00B0696A">
        <w:rPr>
          <w:rFonts w:cs="Calibri"/>
          <w:i/>
          <w:iCs/>
          <w:noProof/>
          <w:sz w:val="20"/>
          <w:szCs w:val="24"/>
        </w:rPr>
        <w:t>Official Journal of the European Union</w:t>
      </w:r>
      <w:r w:rsidRPr="00B0696A">
        <w:rPr>
          <w:rFonts w:cs="Calibri"/>
          <w:noProof/>
          <w:sz w:val="20"/>
          <w:szCs w:val="24"/>
        </w:rPr>
        <w:t xml:space="preserve"> (Vol. 2018, Issue December).</w:t>
      </w:r>
    </w:p>
    <w:p w14:paraId="2E0473E9"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Fortune Business Insights. (2020). Cellulose Market Size, Share &amp; Industry Analysis. </w:t>
      </w:r>
      <w:r w:rsidRPr="00B0696A">
        <w:rPr>
          <w:rFonts w:cs="Calibri"/>
          <w:i/>
          <w:iCs/>
          <w:noProof/>
          <w:sz w:val="20"/>
          <w:szCs w:val="24"/>
        </w:rPr>
        <w:t>Market Researsh Report</w:t>
      </w:r>
      <w:r w:rsidRPr="00B0696A">
        <w:rPr>
          <w:rFonts w:cs="Calibri"/>
          <w:noProof/>
          <w:sz w:val="20"/>
          <w:szCs w:val="24"/>
        </w:rPr>
        <w:t>. https://www.fortunebusinessinsights.com/cellulose-market-102062</w:t>
      </w:r>
    </w:p>
    <w:p w14:paraId="7BDF7441"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Houston, C. (2020). </w:t>
      </w:r>
      <w:r w:rsidRPr="00B0696A">
        <w:rPr>
          <w:rFonts w:cs="Calibri"/>
          <w:i/>
          <w:iCs/>
          <w:noProof/>
          <w:sz w:val="20"/>
          <w:szCs w:val="24"/>
        </w:rPr>
        <w:t>Mind the methane gap</w:t>
      </w:r>
      <w:r w:rsidRPr="00B0696A">
        <w:rPr>
          <w:rFonts w:cs="Calibri"/>
          <w:noProof/>
          <w:sz w:val="20"/>
          <w:szCs w:val="24"/>
        </w:rPr>
        <w:t>. https://www.wartsila.com/insights/article/mind-the-methane-gap</w:t>
      </w:r>
    </w:p>
    <w:p w14:paraId="467BCDCF"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IEA Bioenergy. (2017). </w:t>
      </w:r>
      <w:r w:rsidRPr="00B0696A">
        <w:rPr>
          <w:rFonts w:cs="Calibri"/>
          <w:i/>
          <w:iCs/>
          <w:noProof/>
          <w:sz w:val="20"/>
          <w:szCs w:val="24"/>
        </w:rPr>
        <w:t>Biofuels for the marine shipping sector: An overview and analysis of sector infrastructure, fuel technologies and regulations</w:t>
      </w:r>
      <w:r w:rsidRPr="00B0696A">
        <w:rPr>
          <w:rFonts w:cs="Calibri"/>
          <w:noProof/>
          <w:sz w:val="20"/>
          <w:szCs w:val="24"/>
        </w:rPr>
        <w:t>. 86.</w:t>
      </w:r>
    </w:p>
    <w:p w14:paraId="16936321"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IMO. (2020). </w:t>
      </w:r>
      <w:r w:rsidRPr="00B0696A">
        <w:rPr>
          <w:rFonts w:cs="Calibri"/>
          <w:i/>
          <w:iCs/>
          <w:noProof/>
          <w:sz w:val="20"/>
          <w:szCs w:val="24"/>
        </w:rPr>
        <w:t>IMO 2020 – cutting sulphur oxide emissions</w:t>
      </w:r>
      <w:r w:rsidRPr="00B0696A">
        <w:rPr>
          <w:rFonts w:cs="Calibri"/>
          <w:noProof/>
          <w:sz w:val="20"/>
          <w:szCs w:val="24"/>
        </w:rPr>
        <w:t>. International Maritime Organization. https://www.imo.org/en/MediaCentre/HotTopics/Pages/Sulphur-2020.aspx</w:t>
      </w:r>
    </w:p>
    <w:p w14:paraId="2F4EB62A"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International Maritime Organization. (2019). </w:t>
      </w:r>
      <w:r w:rsidRPr="00B0696A">
        <w:rPr>
          <w:rFonts w:cs="Calibri"/>
          <w:i/>
          <w:iCs/>
          <w:noProof/>
          <w:sz w:val="20"/>
          <w:szCs w:val="24"/>
        </w:rPr>
        <w:t>UN body adopts climate change strategy for shipping</w:t>
      </w:r>
      <w:r w:rsidRPr="00B0696A">
        <w:rPr>
          <w:rFonts w:cs="Calibri"/>
          <w:noProof/>
          <w:sz w:val="20"/>
          <w:szCs w:val="24"/>
        </w:rPr>
        <w:t>. https://www.imo.org/en/MediaCentre/PressBriefings/Pages/06GHGinitialstrategy.aspx</w:t>
      </w:r>
    </w:p>
    <w:p w14:paraId="79AF468A"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lastRenderedPageBreak/>
        <w:t xml:space="preserve">IRENA. (2019). </w:t>
      </w:r>
      <w:r w:rsidRPr="00B0696A">
        <w:rPr>
          <w:rFonts w:cs="Calibri"/>
          <w:i/>
          <w:iCs/>
          <w:noProof/>
          <w:sz w:val="20"/>
          <w:szCs w:val="24"/>
        </w:rPr>
        <w:t>Navigating to a renewable future: Solutions for decarbonising shipping, Preliminary findings</w:t>
      </w:r>
      <w:r w:rsidRPr="00B0696A">
        <w:rPr>
          <w:rFonts w:cs="Calibri"/>
          <w:noProof/>
          <w:sz w:val="20"/>
          <w:szCs w:val="24"/>
        </w:rPr>
        <w:t xml:space="preserve"> (Issue September).</w:t>
      </w:r>
    </w:p>
    <w:p w14:paraId="543221CE"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Konur, O. (2021). Petrodiesel Fuels. In </w:t>
      </w:r>
      <w:r w:rsidRPr="00B0696A">
        <w:rPr>
          <w:rFonts w:cs="Calibri"/>
          <w:i/>
          <w:iCs/>
          <w:noProof/>
          <w:sz w:val="20"/>
          <w:szCs w:val="24"/>
        </w:rPr>
        <w:t>Paper Knowledge . Toward a Media History of Documents</w:t>
      </w:r>
      <w:r w:rsidRPr="00B0696A">
        <w:rPr>
          <w:rFonts w:cs="Calibri"/>
          <w:noProof/>
          <w:sz w:val="20"/>
          <w:szCs w:val="24"/>
        </w:rPr>
        <w:t>. CRC Press.</w:t>
      </w:r>
    </w:p>
    <w:p w14:paraId="2247B77A"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Lucia, L. Di, &amp; Ribeiro, B. (2018). </w:t>
      </w:r>
      <w:r w:rsidRPr="00B0696A">
        <w:rPr>
          <w:rFonts w:cs="Calibri"/>
          <w:i/>
          <w:iCs/>
          <w:noProof/>
          <w:sz w:val="20"/>
          <w:szCs w:val="24"/>
        </w:rPr>
        <w:t>Enacting Responsibilities in Landscape Design : The Case of Advanced Biofuels</w:t>
      </w:r>
      <w:r w:rsidRPr="00B0696A">
        <w:rPr>
          <w:rFonts w:cs="Calibri"/>
          <w:noProof/>
          <w:sz w:val="20"/>
          <w:szCs w:val="24"/>
        </w:rPr>
        <w:t>. 1–15. https://doi.org/10.3390/su10114016</w:t>
      </w:r>
    </w:p>
    <w:p w14:paraId="34567C6B"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McCarney, J. (2020). Evolution in the engine room: A review of technologies to deliver decarbonised, sustainable shipping technology options for the shipping sector to meet international ship emissions limits. </w:t>
      </w:r>
      <w:r w:rsidRPr="00B0696A">
        <w:rPr>
          <w:rFonts w:cs="Calibri"/>
          <w:i/>
          <w:iCs/>
          <w:noProof/>
          <w:sz w:val="20"/>
          <w:szCs w:val="24"/>
        </w:rPr>
        <w:t>Johnson Matthey Technology Review</w:t>
      </w:r>
      <w:r w:rsidRPr="00B0696A">
        <w:rPr>
          <w:rFonts w:cs="Calibri"/>
          <w:noProof/>
          <w:sz w:val="20"/>
          <w:szCs w:val="24"/>
        </w:rPr>
        <w:t xml:space="preserve">, </w:t>
      </w:r>
      <w:r w:rsidRPr="00B0696A">
        <w:rPr>
          <w:rFonts w:cs="Calibri"/>
          <w:i/>
          <w:iCs/>
          <w:noProof/>
          <w:sz w:val="20"/>
          <w:szCs w:val="24"/>
        </w:rPr>
        <w:t>64</w:t>
      </w:r>
      <w:r w:rsidRPr="00B0696A">
        <w:rPr>
          <w:rFonts w:cs="Calibri"/>
          <w:noProof/>
          <w:sz w:val="20"/>
          <w:szCs w:val="24"/>
        </w:rPr>
        <w:t>(3), 374–392. https://doi.org/10.1595/205651320x15924055217177</w:t>
      </w:r>
    </w:p>
    <w:p w14:paraId="74EFD814"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McPhie, T., &amp; Rietdorf, L. (2021). </w:t>
      </w:r>
      <w:r w:rsidRPr="00B0696A">
        <w:rPr>
          <w:rFonts w:cs="Calibri"/>
          <w:i/>
          <w:iCs/>
          <w:noProof/>
          <w:sz w:val="20"/>
          <w:szCs w:val="24"/>
        </w:rPr>
        <w:t>Questions and Answers - Emissions Trading – Putting a Price on carbon*</w:t>
      </w:r>
      <w:r w:rsidRPr="00B0696A">
        <w:rPr>
          <w:rFonts w:cs="Calibri"/>
          <w:noProof/>
          <w:sz w:val="20"/>
          <w:szCs w:val="24"/>
        </w:rPr>
        <w:t>. https://ec.europa.eu/commission/presscorner/detail/en/qanda_21_3542</w:t>
      </w:r>
    </w:p>
    <w:p w14:paraId="304174D9"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Myhre, G., D., Shindell, F. ‐M., Bréon, W., Collins, J., Fuglestvedt, J., Huang, D., Koch, J. ‐F., Lamarque, D., Lee, B., Mendoza, T., Nakajima, A., Robock, G., Stephens, T., Takemura, &amp; Zhang, H. (2015). Global Warming Potential Values. </w:t>
      </w:r>
      <w:r w:rsidRPr="00B0696A">
        <w:rPr>
          <w:rFonts w:cs="Calibri"/>
          <w:i/>
          <w:iCs/>
          <w:noProof/>
          <w:sz w:val="20"/>
          <w:szCs w:val="24"/>
        </w:rPr>
        <w:t>Greenhouse Gas Protocol</w:t>
      </w:r>
      <w:r w:rsidRPr="00B0696A">
        <w:rPr>
          <w:rFonts w:cs="Calibri"/>
          <w:noProof/>
          <w:sz w:val="20"/>
          <w:szCs w:val="24"/>
        </w:rPr>
        <w:t xml:space="preserve">, </w:t>
      </w:r>
      <w:r w:rsidRPr="00B0696A">
        <w:rPr>
          <w:rFonts w:cs="Calibri"/>
          <w:i/>
          <w:iCs/>
          <w:noProof/>
          <w:sz w:val="20"/>
          <w:szCs w:val="24"/>
        </w:rPr>
        <w:t>2014</w:t>
      </w:r>
      <w:r w:rsidRPr="00B0696A">
        <w:rPr>
          <w:rFonts w:cs="Calibri"/>
          <w:noProof/>
          <w:sz w:val="20"/>
          <w:szCs w:val="24"/>
        </w:rPr>
        <w:t>(1995), 2–5.</w:t>
      </w:r>
    </w:p>
    <w:p w14:paraId="5A2C6CCA"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Oiltanking GmbH. (n.d.). </w:t>
      </w:r>
      <w:r w:rsidRPr="00B0696A">
        <w:rPr>
          <w:rFonts w:cs="Calibri"/>
          <w:i/>
          <w:iCs/>
          <w:noProof/>
          <w:sz w:val="20"/>
          <w:szCs w:val="24"/>
        </w:rPr>
        <w:t>Important Terms from A to Z</w:t>
      </w:r>
      <w:r w:rsidRPr="00B0696A">
        <w:rPr>
          <w:rFonts w:cs="Calibri"/>
          <w:noProof/>
          <w:sz w:val="20"/>
          <w:szCs w:val="24"/>
        </w:rPr>
        <w:t>. Retrieved September 20, 2021, from https://www.oiltanking.com/en/news-info/glossary/details/term/lng-liquefied-natural-gas.html</w:t>
      </w:r>
    </w:p>
    <w:p w14:paraId="755677EB"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DC3405">
        <w:rPr>
          <w:rFonts w:cs="Calibri"/>
          <w:noProof/>
          <w:sz w:val="20"/>
          <w:szCs w:val="24"/>
          <w:lang w:val="da-DK"/>
        </w:rPr>
        <w:t xml:space="preserve">Panoutsou, C., Germer, S., Karka, P., Papadokostantakis, S., Kroyan, Y., Wojcieszyk, M., Maniatis, K., Marchand, P., &amp; Landalv, I. (2021). </w:t>
      </w:r>
      <w:r w:rsidRPr="00B0696A">
        <w:rPr>
          <w:rFonts w:cs="Calibri"/>
          <w:noProof/>
          <w:sz w:val="20"/>
          <w:szCs w:val="24"/>
        </w:rPr>
        <w:t xml:space="preserve">Advanced biofuels to decarbonise European transport by 2030: Markets, challenges, and policies that impact their successful market uptake. </w:t>
      </w:r>
      <w:r w:rsidRPr="00B0696A">
        <w:rPr>
          <w:rFonts w:cs="Calibri"/>
          <w:i/>
          <w:iCs/>
          <w:noProof/>
          <w:sz w:val="20"/>
          <w:szCs w:val="24"/>
        </w:rPr>
        <w:t>Energy Strategy Reviews</w:t>
      </w:r>
      <w:r w:rsidRPr="00B0696A">
        <w:rPr>
          <w:rFonts w:cs="Calibri"/>
          <w:noProof/>
          <w:sz w:val="20"/>
          <w:szCs w:val="24"/>
        </w:rPr>
        <w:t xml:space="preserve">, </w:t>
      </w:r>
      <w:r w:rsidRPr="00B0696A">
        <w:rPr>
          <w:rFonts w:cs="Calibri"/>
          <w:i/>
          <w:iCs/>
          <w:noProof/>
          <w:sz w:val="20"/>
          <w:szCs w:val="24"/>
        </w:rPr>
        <w:t>34</w:t>
      </w:r>
      <w:r w:rsidRPr="00B0696A">
        <w:rPr>
          <w:rFonts w:cs="Calibri"/>
          <w:noProof/>
          <w:sz w:val="20"/>
          <w:szCs w:val="24"/>
        </w:rPr>
        <w:t>(March), 100633. https://doi.org/10.1016/j.esr.2021.100633</w:t>
      </w:r>
    </w:p>
    <w:p w14:paraId="114359DA"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Pavlenko, A. N., Comer, B., Zhou, Y., Clark, N., &amp; Rutherford, D. (2020). </w:t>
      </w:r>
      <w:r w:rsidRPr="00B0696A">
        <w:rPr>
          <w:rFonts w:cs="Calibri"/>
          <w:i/>
          <w:iCs/>
          <w:noProof/>
          <w:sz w:val="20"/>
          <w:szCs w:val="24"/>
        </w:rPr>
        <w:t>The climate implications of using LNG as a marine fuel</w:t>
      </w:r>
      <w:r w:rsidRPr="00B0696A">
        <w:rPr>
          <w:rFonts w:cs="Calibri"/>
          <w:noProof/>
          <w:sz w:val="20"/>
          <w:szCs w:val="24"/>
        </w:rPr>
        <w:t xml:space="preserve">. </w:t>
      </w:r>
      <w:r w:rsidRPr="00B0696A">
        <w:rPr>
          <w:rFonts w:cs="Calibri"/>
          <w:i/>
          <w:iCs/>
          <w:noProof/>
          <w:sz w:val="20"/>
          <w:szCs w:val="24"/>
        </w:rPr>
        <w:t>January</w:t>
      </w:r>
      <w:r w:rsidRPr="00B0696A">
        <w:rPr>
          <w:rFonts w:cs="Calibri"/>
          <w:noProof/>
          <w:sz w:val="20"/>
          <w:szCs w:val="24"/>
        </w:rPr>
        <w:t>.</w:t>
      </w:r>
    </w:p>
    <w:p w14:paraId="5FDAADD3"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Port of Rotterdam. (2021). </w:t>
      </w:r>
      <w:r w:rsidRPr="00B0696A">
        <w:rPr>
          <w:rFonts w:cs="Calibri"/>
          <w:i/>
          <w:iCs/>
          <w:noProof/>
          <w:sz w:val="20"/>
          <w:szCs w:val="24"/>
        </w:rPr>
        <w:t>Port of Rotterdam Bunker Sales</w:t>
      </w:r>
      <w:r w:rsidRPr="00B0696A">
        <w:rPr>
          <w:rFonts w:cs="Calibri"/>
          <w:noProof/>
          <w:sz w:val="20"/>
          <w:szCs w:val="24"/>
        </w:rPr>
        <w:t>. https://www.portofrotterdam.com/sites/default/files/2021-08/bunker-sales-2018-2021.pdf</w:t>
      </w:r>
    </w:p>
    <w:p w14:paraId="634B693E"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Prussi, M., Scarlat, N., Acciaro, M., &amp; Kosmas, V. (2021). Potential and limiting factors in the use of alternative fuels in the European maritime sector. </w:t>
      </w:r>
      <w:r w:rsidRPr="00B0696A">
        <w:rPr>
          <w:rFonts w:cs="Calibri"/>
          <w:i/>
          <w:iCs/>
          <w:noProof/>
          <w:sz w:val="20"/>
          <w:szCs w:val="24"/>
        </w:rPr>
        <w:t>Journal of Cleaner Production</w:t>
      </w:r>
      <w:r w:rsidRPr="00B0696A">
        <w:rPr>
          <w:rFonts w:cs="Calibri"/>
          <w:noProof/>
          <w:sz w:val="20"/>
          <w:szCs w:val="24"/>
        </w:rPr>
        <w:t xml:space="preserve">, </w:t>
      </w:r>
      <w:r w:rsidRPr="00B0696A">
        <w:rPr>
          <w:rFonts w:cs="Calibri"/>
          <w:i/>
          <w:iCs/>
          <w:noProof/>
          <w:sz w:val="20"/>
          <w:szCs w:val="24"/>
        </w:rPr>
        <w:t>291</w:t>
      </w:r>
      <w:r w:rsidRPr="00B0696A">
        <w:rPr>
          <w:rFonts w:cs="Calibri"/>
          <w:noProof/>
          <w:sz w:val="20"/>
          <w:szCs w:val="24"/>
        </w:rPr>
        <w:t>, 125849. https://doi.org/10.1016/j.jclepro.2021.125849</w:t>
      </w:r>
    </w:p>
    <w:p w14:paraId="5F115773"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Schröder, O., Krahl, J., Müller-Langer, F., Schröder, J., &amp; Mattheß, E. (2018). </w:t>
      </w:r>
      <w:r w:rsidRPr="00B0696A">
        <w:rPr>
          <w:rFonts w:cs="Calibri"/>
          <w:i/>
          <w:iCs/>
          <w:noProof/>
          <w:sz w:val="20"/>
          <w:szCs w:val="24"/>
        </w:rPr>
        <w:t>Survey on Advanced Fuels for Advanced Engines Project report Funding by IEA Bioenergy Task 39 Norbert Grope</w:t>
      </w:r>
      <w:r w:rsidRPr="00B0696A">
        <w:rPr>
          <w:rFonts w:cs="Calibri"/>
          <w:noProof/>
          <w:sz w:val="20"/>
          <w:szCs w:val="24"/>
        </w:rPr>
        <w:t xml:space="preserve">. </w:t>
      </w:r>
      <w:r w:rsidRPr="00B0696A">
        <w:rPr>
          <w:rFonts w:cs="Calibri"/>
          <w:i/>
          <w:iCs/>
          <w:noProof/>
          <w:sz w:val="20"/>
          <w:szCs w:val="24"/>
        </w:rPr>
        <w:t>October</w:t>
      </w:r>
      <w:r w:rsidRPr="00B0696A">
        <w:rPr>
          <w:rFonts w:cs="Calibri"/>
          <w:noProof/>
          <w:sz w:val="20"/>
          <w:szCs w:val="24"/>
        </w:rPr>
        <w:t>.</w:t>
      </w:r>
    </w:p>
    <w:p w14:paraId="3754AE25" w14:textId="77777777" w:rsidR="00B0696A" w:rsidRPr="00D27197" w:rsidRDefault="00B0696A" w:rsidP="00B0696A">
      <w:pPr>
        <w:widowControl w:val="0"/>
        <w:autoSpaceDE w:val="0"/>
        <w:autoSpaceDN w:val="0"/>
        <w:adjustRightInd w:val="0"/>
        <w:spacing w:after="160"/>
        <w:ind w:left="480" w:hanging="480"/>
        <w:rPr>
          <w:rFonts w:cs="Calibri"/>
          <w:noProof/>
          <w:sz w:val="20"/>
          <w:szCs w:val="24"/>
          <w:lang w:val="nl-NL"/>
        </w:rPr>
      </w:pPr>
      <w:r w:rsidRPr="00B0696A">
        <w:rPr>
          <w:rFonts w:cs="Calibri"/>
          <w:noProof/>
          <w:sz w:val="20"/>
          <w:szCs w:val="24"/>
        </w:rPr>
        <w:t xml:space="preserve">Sikora, A. (2020). European Green Deal – legal and financial challenges of the climate change. </w:t>
      </w:r>
      <w:r w:rsidRPr="00D27197">
        <w:rPr>
          <w:rFonts w:cs="Calibri"/>
          <w:i/>
          <w:iCs/>
          <w:noProof/>
          <w:sz w:val="20"/>
          <w:szCs w:val="24"/>
          <w:lang w:val="nl-NL"/>
        </w:rPr>
        <w:t>ERA Forum</w:t>
      </w:r>
      <w:r w:rsidRPr="00D27197">
        <w:rPr>
          <w:rFonts w:cs="Calibri"/>
          <w:noProof/>
          <w:sz w:val="20"/>
          <w:szCs w:val="24"/>
          <w:lang w:val="nl-NL"/>
        </w:rPr>
        <w:t>, 681–697. https://doi.org/10.1007/s12027-020-00637-3</w:t>
      </w:r>
    </w:p>
    <w:p w14:paraId="46A99357"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D27197">
        <w:rPr>
          <w:rFonts w:cs="Calibri"/>
          <w:noProof/>
          <w:sz w:val="20"/>
          <w:szCs w:val="24"/>
          <w:lang w:val="nl-NL"/>
        </w:rPr>
        <w:t xml:space="preserve">Stappen, F. Van, Brose, I., &amp; Schenkel, Y. (2011). </w:t>
      </w:r>
      <w:r w:rsidRPr="00B0696A">
        <w:rPr>
          <w:rFonts w:cs="Calibri"/>
          <w:noProof/>
          <w:sz w:val="20"/>
          <w:szCs w:val="24"/>
        </w:rPr>
        <w:t xml:space="preserve">Direct and indirect land use changes issues in European sustainability initiatives : State-of-the-art , open issues and future developments. </w:t>
      </w:r>
      <w:r w:rsidRPr="00B0696A">
        <w:rPr>
          <w:rFonts w:cs="Calibri"/>
          <w:i/>
          <w:iCs/>
          <w:noProof/>
          <w:sz w:val="20"/>
          <w:szCs w:val="24"/>
        </w:rPr>
        <w:t>Biomass and Bioenergy</w:t>
      </w:r>
      <w:r w:rsidRPr="00B0696A">
        <w:rPr>
          <w:rFonts w:cs="Calibri"/>
          <w:noProof/>
          <w:sz w:val="20"/>
          <w:szCs w:val="24"/>
        </w:rPr>
        <w:t xml:space="preserve">, </w:t>
      </w:r>
      <w:r w:rsidRPr="00B0696A">
        <w:rPr>
          <w:rFonts w:cs="Calibri"/>
          <w:i/>
          <w:iCs/>
          <w:noProof/>
          <w:sz w:val="20"/>
          <w:szCs w:val="24"/>
        </w:rPr>
        <w:t>35</w:t>
      </w:r>
      <w:r w:rsidRPr="00B0696A">
        <w:rPr>
          <w:rFonts w:cs="Calibri"/>
          <w:noProof/>
          <w:sz w:val="20"/>
          <w:szCs w:val="24"/>
        </w:rPr>
        <w:t>(12), 4824–4834. https://doi.org/10.1016/j.biombioe.2011.07.015</w:t>
      </w:r>
    </w:p>
    <w:p w14:paraId="72863889"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Tanzer, S. E., Posada, J., Geraedts, S., &amp; Ramírez, A. (2019). Lignocellulosic marine biofuel: Technoeconomic and environmental assessment for production in Brazil and Sweden. </w:t>
      </w:r>
      <w:r w:rsidRPr="00B0696A">
        <w:rPr>
          <w:rFonts w:cs="Calibri"/>
          <w:i/>
          <w:iCs/>
          <w:noProof/>
          <w:sz w:val="20"/>
          <w:szCs w:val="24"/>
        </w:rPr>
        <w:t>Journal of Cleaner Production</w:t>
      </w:r>
      <w:r w:rsidRPr="00B0696A">
        <w:rPr>
          <w:rFonts w:cs="Calibri"/>
          <w:noProof/>
          <w:sz w:val="20"/>
          <w:szCs w:val="24"/>
        </w:rPr>
        <w:t xml:space="preserve">, </w:t>
      </w:r>
      <w:r w:rsidRPr="00B0696A">
        <w:rPr>
          <w:rFonts w:cs="Calibri"/>
          <w:i/>
          <w:iCs/>
          <w:noProof/>
          <w:sz w:val="20"/>
          <w:szCs w:val="24"/>
        </w:rPr>
        <w:t>239</w:t>
      </w:r>
      <w:r w:rsidRPr="00B0696A">
        <w:rPr>
          <w:rFonts w:cs="Calibri"/>
          <w:noProof/>
          <w:sz w:val="20"/>
          <w:szCs w:val="24"/>
        </w:rPr>
        <w:t>, 117845. https://doi.org/10.1016/j.jclepro.2019.117845</w:t>
      </w:r>
    </w:p>
    <w:p w14:paraId="2233C7FF"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The Royal Society. (2019). </w:t>
      </w:r>
      <w:r w:rsidRPr="00B0696A">
        <w:rPr>
          <w:rFonts w:cs="Calibri"/>
          <w:i/>
          <w:iCs/>
          <w:noProof/>
          <w:sz w:val="20"/>
          <w:szCs w:val="24"/>
        </w:rPr>
        <w:t>Sustainable synthetic carbon based fuels for transport</w:t>
      </w:r>
      <w:r w:rsidRPr="00B0696A">
        <w:rPr>
          <w:rFonts w:cs="Calibri"/>
          <w:noProof/>
          <w:sz w:val="20"/>
          <w:szCs w:val="24"/>
        </w:rPr>
        <w:t>. https://royalsociety.org/topics-policy/projects/low-carbon-energy-programme/sustainable-synthetic-carbon-based-fuels-for-transport/</w:t>
      </w:r>
    </w:p>
    <w:p w14:paraId="378C4E97" w14:textId="77777777" w:rsidR="00B0696A" w:rsidRPr="00DC3405" w:rsidRDefault="00B0696A" w:rsidP="00B0696A">
      <w:pPr>
        <w:widowControl w:val="0"/>
        <w:autoSpaceDE w:val="0"/>
        <w:autoSpaceDN w:val="0"/>
        <w:adjustRightInd w:val="0"/>
        <w:spacing w:after="160"/>
        <w:ind w:left="480" w:hanging="480"/>
        <w:rPr>
          <w:rFonts w:cs="Calibri"/>
          <w:noProof/>
          <w:sz w:val="20"/>
          <w:szCs w:val="24"/>
          <w:lang w:val="da-DK"/>
        </w:rPr>
      </w:pPr>
      <w:r w:rsidRPr="00B0696A">
        <w:rPr>
          <w:rFonts w:cs="Calibri"/>
          <w:noProof/>
          <w:sz w:val="20"/>
          <w:szCs w:val="24"/>
        </w:rPr>
        <w:t xml:space="preserve">Thomas, R., Hursthouse, A., Mellor, P., Lord, R. A., &amp; Jo, E. (2021). </w:t>
      </w:r>
      <w:r w:rsidRPr="00B0696A">
        <w:rPr>
          <w:rFonts w:cs="Calibri"/>
          <w:i/>
          <w:iCs/>
          <w:noProof/>
          <w:sz w:val="20"/>
          <w:szCs w:val="24"/>
        </w:rPr>
        <w:t>Identifying non-agricultural marginal lands as a route to sustainable bioenergy provision - A review and holistic definition</w:t>
      </w:r>
      <w:r w:rsidRPr="00B0696A">
        <w:rPr>
          <w:rFonts w:cs="Calibri"/>
          <w:noProof/>
          <w:sz w:val="20"/>
          <w:szCs w:val="24"/>
        </w:rPr>
        <w:t xml:space="preserve">. </w:t>
      </w:r>
      <w:r w:rsidRPr="00DC3405">
        <w:rPr>
          <w:rFonts w:cs="Calibri"/>
          <w:i/>
          <w:iCs/>
          <w:noProof/>
          <w:sz w:val="20"/>
          <w:szCs w:val="24"/>
          <w:lang w:val="da-DK"/>
        </w:rPr>
        <w:t>135</w:t>
      </w:r>
      <w:r w:rsidRPr="00DC3405">
        <w:rPr>
          <w:rFonts w:cs="Calibri"/>
          <w:noProof/>
          <w:sz w:val="20"/>
          <w:szCs w:val="24"/>
          <w:lang w:val="da-DK"/>
        </w:rPr>
        <w:t>(August 2020). https://doi.org/10.1016/j.rser.2020.110220</w:t>
      </w:r>
    </w:p>
    <w:p w14:paraId="1CAFBF3D" w14:textId="77777777" w:rsidR="00B0696A" w:rsidRPr="00DC3405" w:rsidRDefault="00B0696A" w:rsidP="00B0696A">
      <w:pPr>
        <w:widowControl w:val="0"/>
        <w:autoSpaceDE w:val="0"/>
        <w:autoSpaceDN w:val="0"/>
        <w:adjustRightInd w:val="0"/>
        <w:spacing w:after="160"/>
        <w:ind w:left="480" w:hanging="480"/>
        <w:rPr>
          <w:rFonts w:cs="Calibri"/>
          <w:noProof/>
          <w:sz w:val="20"/>
          <w:szCs w:val="24"/>
          <w:lang w:val="da-DK"/>
        </w:rPr>
      </w:pPr>
      <w:r w:rsidRPr="00DC3405">
        <w:rPr>
          <w:rFonts w:cs="Calibri"/>
          <w:noProof/>
          <w:sz w:val="20"/>
          <w:szCs w:val="24"/>
          <w:lang w:val="da-DK"/>
        </w:rPr>
        <w:t xml:space="preserve">Uslu, A. (2019). </w:t>
      </w:r>
      <w:r w:rsidRPr="00DC3405">
        <w:rPr>
          <w:rFonts w:cs="Calibri"/>
          <w:i/>
          <w:iCs/>
          <w:noProof/>
          <w:sz w:val="20"/>
          <w:szCs w:val="24"/>
          <w:lang w:val="da-DK"/>
        </w:rPr>
        <w:t>Market analysis</w:t>
      </w:r>
      <w:r w:rsidRPr="00DC3405">
        <w:rPr>
          <w:rFonts w:cs="Calibri"/>
          <w:noProof/>
          <w:sz w:val="20"/>
          <w:szCs w:val="24"/>
          <w:lang w:val="da-DK"/>
        </w:rPr>
        <w:t>.</w:t>
      </w:r>
    </w:p>
    <w:p w14:paraId="1D484C79" w14:textId="77777777" w:rsidR="00B0696A" w:rsidRPr="00B0696A" w:rsidRDefault="00B0696A" w:rsidP="00B0696A">
      <w:pPr>
        <w:widowControl w:val="0"/>
        <w:autoSpaceDE w:val="0"/>
        <w:autoSpaceDN w:val="0"/>
        <w:adjustRightInd w:val="0"/>
        <w:spacing w:after="160"/>
        <w:ind w:left="480" w:hanging="480"/>
        <w:rPr>
          <w:rFonts w:cs="Calibri"/>
          <w:noProof/>
          <w:sz w:val="20"/>
        </w:rPr>
      </w:pPr>
      <w:r w:rsidRPr="00B0696A">
        <w:rPr>
          <w:rFonts w:cs="Calibri"/>
          <w:noProof/>
          <w:sz w:val="20"/>
          <w:szCs w:val="24"/>
        </w:rPr>
        <w:t xml:space="preserve">Yuanrong Zhou, N. P. (2020). The potential of liquid biofuels in reducing ship emissions | International Council on Clean Transportation. </w:t>
      </w:r>
      <w:r w:rsidRPr="00B0696A">
        <w:rPr>
          <w:rFonts w:cs="Calibri"/>
          <w:i/>
          <w:iCs/>
          <w:noProof/>
          <w:sz w:val="20"/>
          <w:szCs w:val="24"/>
        </w:rPr>
        <w:t>International Council on Clean Transportation</w:t>
      </w:r>
      <w:r w:rsidRPr="00B0696A">
        <w:rPr>
          <w:rFonts w:cs="Calibri"/>
          <w:noProof/>
          <w:sz w:val="20"/>
          <w:szCs w:val="24"/>
        </w:rPr>
        <w:t xml:space="preserve">, </w:t>
      </w:r>
      <w:r w:rsidRPr="00B0696A">
        <w:rPr>
          <w:rFonts w:cs="Calibri"/>
          <w:i/>
          <w:iCs/>
          <w:noProof/>
          <w:sz w:val="20"/>
          <w:szCs w:val="24"/>
        </w:rPr>
        <w:t>September</w:t>
      </w:r>
      <w:r w:rsidRPr="00B0696A">
        <w:rPr>
          <w:rFonts w:cs="Calibri"/>
          <w:noProof/>
          <w:sz w:val="20"/>
          <w:szCs w:val="24"/>
        </w:rPr>
        <w:t>. https://theicct.org/publications/marine-biofuels-sept2020</w:t>
      </w:r>
    </w:p>
    <w:p w14:paraId="225A406C" w14:textId="6269FE7A" w:rsidR="00032649" w:rsidRPr="0045629F" w:rsidRDefault="003B4A74" w:rsidP="0086254D">
      <w:pPr>
        <w:pStyle w:val="Heading1"/>
        <w:numPr>
          <w:ilvl w:val="0"/>
          <w:numId w:val="0"/>
        </w:numPr>
        <w:ind w:left="426" w:hanging="426"/>
      </w:pPr>
      <w:r>
        <w:lastRenderedPageBreak/>
        <w:fldChar w:fldCharType="end"/>
      </w:r>
      <w:bookmarkStart w:id="52" w:name="_Toc85627878"/>
      <w:r w:rsidR="004C14E2" w:rsidRPr="0045629F">
        <w:t>Acknowledgement</w:t>
      </w:r>
      <w:bookmarkEnd w:id="52"/>
    </w:p>
    <w:p w14:paraId="7B6621BC" w14:textId="7927F951" w:rsidR="004C14E2" w:rsidRPr="0034036F" w:rsidRDefault="004C14E2" w:rsidP="00EC0977">
      <w:pPr>
        <w:spacing w:before="240" w:after="240" w:line="276" w:lineRule="auto"/>
        <w:rPr>
          <w:sz w:val="22"/>
          <w:szCs w:val="22"/>
          <w:lang w:val="en-GB"/>
        </w:rPr>
      </w:pPr>
      <w:r w:rsidRPr="0034036F">
        <w:rPr>
          <w:sz w:val="22"/>
          <w:szCs w:val="22"/>
          <w:lang w:val="en-GB"/>
        </w:rPr>
        <w:t xml:space="preserve">The author(s) would like to thank the partners in the project for their valuable comments on previous drafts and for performing the review. </w:t>
      </w:r>
    </w:p>
    <w:p w14:paraId="43DDB77B" w14:textId="1FE79428" w:rsidR="004C14E2" w:rsidRDefault="004C14E2" w:rsidP="004C14E2">
      <w:pPr>
        <w:rPr>
          <w:b/>
          <w:szCs w:val="22"/>
          <w:lang w:val="en-GB"/>
        </w:rPr>
      </w:pPr>
      <w:r w:rsidRPr="0045629F">
        <w:rPr>
          <w:b/>
          <w:szCs w:val="22"/>
          <w:lang w:val="en-GB"/>
        </w:rPr>
        <w:t>Project partners:</w:t>
      </w:r>
    </w:p>
    <w:p w14:paraId="2BD4B0A4" w14:textId="77777777" w:rsidR="004C14E2" w:rsidRPr="0045629F" w:rsidRDefault="004C14E2" w:rsidP="004C14E2">
      <w:pPr>
        <w:rPr>
          <w:lang w:val="en-GB"/>
        </w:rPr>
      </w:pPr>
    </w:p>
    <w:tbl>
      <w:tblPr>
        <w:tblStyle w:val="GridTable1Light"/>
        <w:tblW w:w="9067" w:type="dxa"/>
        <w:tblLook w:val="06A0" w:firstRow="1" w:lastRow="0" w:firstColumn="1" w:lastColumn="0" w:noHBand="1" w:noVBand="1"/>
      </w:tblPr>
      <w:tblGrid>
        <w:gridCol w:w="705"/>
        <w:gridCol w:w="991"/>
        <w:gridCol w:w="7371"/>
      </w:tblGrid>
      <w:tr w:rsidR="00645867" w14:paraId="02A32ACD" w14:textId="77777777" w:rsidTr="5937A937">
        <w:trPr>
          <w:cnfStyle w:val="100000000000" w:firstRow="1" w:lastRow="0" w:firstColumn="0" w:lastColumn="0" w:oddVBand="0" w:evenVBand="0" w:oddHBand="0"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705" w:type="dxa"/>
            <w:tcBorders>
              <w:top w:val="single" w:sz="4" w:space="0" w:color="002244" w:themeColor="accent1"/>
              <w:left w:val="single" w:sz="4" w:space="0" w:color="002244" w:themeColor="accent1"/>
              <w:bottom w:val="single" w:sz="12" w:space="0" w:color="002244" w:themeColor="accent1"/>
              <w:right w:val="single" w:sz="4" w:space="0" w:color="002244" w:themeColor="accent1"/>
            </w:tcBorders>
            <w:shd w:val="clear" w:color="auto" w:fill="0075B0" w:themeFill="accent6"/>
            <w:hideMark/>
          </w:tcPr>
          <w:p w14:paraId="50F230BF" w14:textId="77777777" w:rsidR="00645867" w:rsidRDefault="00645867">
            <w:pPr>
              <w:jc w:val="left"/>
              <w:rPr>
                <w:b w:val="0"/>
                <w:bCs w:val="0"/>
                <w:color w:val="FFFFFF" w:themeColor="background1"/>
                <w:sz w:val="20"/>
                <w:lang w:val="en-GB"/>
              </w:rPr>
            </w:pPr>
            <w:r>
              <w:rPr>
                <w:color w:val="FFFFFF" w:themeColor="background1"/>
                <w:sz w:val="20"/>
                <w:lang w:val="en-GB"/>
              </w:rPr>
              <w:t>#</w:t>
            </w:r>
          </w:p>
        </w:tc>
        <w:tc>
          <w:tcPr>
            <w:tcW w:w="991" w:type="dxa"/>
            <w:tcBorders>
              <w:top w:val="single" w:sz="4" w:space="0" w:color="002244" w:themeColor="accent1"/>
              <w:left w:val="single" w:sz="4" w:space="0" w:color="002244" w:themeColor="accent1"/>
              <w:bottom w:val="single" w:sz="12" w:space="0" w:color="002244" w:themeColor="accent1"/>
              <w:right w:val="single" w:sz="4" w:space="0" w:color="002244" w:themeColor="accent1"/>
            </w:tcBorders>
            <w:shd w:val="clear" w:color="auto" w:fill="0075B0" w:themeFill="accent6"/>
            <w:hideMark/>
          </w:tcPr>
          <w:p w14:paraId="7644FFA0" w14:textId="77777777" w:rsidR="00645867" w:rsidRDefault="00645867">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Pr>
                <w:color w:val="FFFFFF" w:themeColor="background1"/>
                <w:sz w:val="20"/>
                <w:lang w:val="en-GB"/>
              </w:rPr>
              <w:t>Partner short name</w:t>
            </w:r>
          </w:p>
        </w:tc>
        <w:tc>
          <w:tcPr>
            <w:tcW w:w="7371" w:type="dxa"/>
            <w:tcBorders>
              <w:top w:val="single" w:sz="4" w:space="0" w:color="002244" w:themeColor="accent1"/>
              <w:left w:val="single" w:sz="4" w:space="0" w:color="002244" w:themeColor="accent1"/>
              <w:bottom w:val="single" w:sz="12" w:space="0" w:color="002244" w:themeColor="accent1"/>
              <w:right w:val="single" w:sz="4" w:space="0" w:color="002244" w:themeColor="accent1"/>
            </w:tcBorders>
            <w:shd w:val="clear" w:color="auto" w:fill="0075B0" w:themeFill="accent6"/>
            <w:hideMark/>
          </w:tcPr>
          <w:p w14:paraId="500FA113" w14:textId="77777777" w:rsidR="00645867" w:rsidRDefault="00645867">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Pr>
                <w:color w:val="FFFFFF" w:themeColor="background1"/>
                <w:sz w:val="20"/>
                <w:lang w:val="en-GB"/>
              </w:rPr>
              <w:t>Partner Full Name</w:t>
            </w:r>
          </w:p>
        </w:tc>
      </w:tr>
      <w:tr w:rsidR="00645867" w14:paraId="647EACC2" w14:textId="77777777" w:rsidTr="5937A937">
        <w:trPr>
          <w:trHeight w:val="308"/>
        </w:trPr>
        <w:tc>
          <w:tcPr>
            <w:cnfStyle w:val="001000000000" w:firstRow="0" w:lastRow="0" w:firstColumn="1" w:lastColumn="0" w:oddVBand="0" w:evenVBand="0" w:oddHBand="0" w:evenHBand="0" w:firstRowFirstColumn="0" w:firstRowLastColumn="0" w:lastRowFirstColumn="0" w:lastRowLastColumn="0"/>
            <w:tcW w:w="705" w:type="dxa"/>
            <w:tcBorders>
              <w:top w:val="single" w:sz="12" w:space="0" w:color="002244" w:themeColor="accent1"/>
              <w:left w:val="single" w:sz="4" w:space="0" w:color="002244" w:themeColor="accent1"/>
              <w:bottom w:val="single" w:sz="4" w:space="0" w:color="002244" w:themeColor="accent1"/>
              <w:right w:val="single" w:sz="4" w:space="0" w:color="002244" w:themeColor="accent1"/>
            </w:tcBorders>
            <w:hideMark/>
          </w:tcPr>
          <w:p w14:paraId="48ADA63B" w14:textId="77777777" w:rsidR="00645867" w:rsidRDefault="00645867">
            <w:pPr>
              <w:rPr>
                <w:sz w:val="20"/>
                <w:lang w:val="en-GB"/>
              </w:rPr>
            </w:pPr>
            <w:r>
              <w:rPr>
                <w:sz w:val="20"/>
                <w:lang w:val="en-GB" w:eastAsia="en-GB"/>
              </w:rPr>
              <w:t>1</w:t>
            </w:r>
          </w:p>
        </w:tc>
        <w:tc>
          <w:tcPr>
            <w:tcW w:w="991" w:type="dxa"/>
            <w:tcBorders>
              <w:top w:val="single" w:sz="12" w:space="0" w:color="002244" w:themeColor="accent1"/>
              <w:left w:val="single" w:sz="4" w:space="0" w:color="002244" w:themeColor="accent1"/>
              <w:bottom w:val="single" w:sz="4" w:space="0" w:color="002244" w:themeColor="accent1"/>
              <w:right w:val="single" w:sz="4" w:space="0" w:color="002244" w:themeColor="accent1"/>
            </w:tcBorders>
            <w:hideMark/>
          </w:tcPr>
          <w:p w14:paraId="48CF0246"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rPr>
            </w:pPr>
            <w:r>
              <w:rPr>
                <w:rFonts w:cs="Calibri"/>
                <w:color w:val="auto"/>
                <w:sz w:val="20"/>
                <w:lang w:val="en-GB"/>
              </w:rPr>
              <w:t>TUE</w:t>
            </w:r>
          </w:p>
        </w:tc>
        <w:tc>
          <w:tcPr>
            <w:tcW w:w="7371" w:type="dxa"/>
            <w:tcBorders>
              <w:top w:val="single" w:sz="12" w:space="0" w:color="002244" w:themeColor="accent1"/>
              <w:left w:val="single" w:sz="4" w:space="0" w:color="002244" w:themeColor="accent1"/>
              <w:bottom w:val="single" w:sz="4" w:space="0" w:color="002244" w:themeColor="accent1"/>
              <w:right w:val="single" w:sz="4" w:space="0" w:color="002244" w:themeColor="accent1"/>
            </w:tcBorders>
            <w:hideMark/>
          </w:tcPr>
          <w:p w14:paraId="489703EE"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rPr>
            </w:pPr>
            <w:proofErr w:type="spellStart"/>
            <w:r>
              <w:rPr>
                <w:color w:val="auto"/>
                <w:sz w:val="20"/>
                <w:lang w:val="en-GB"/>
              </w:rPr>
              <w:t>Technische</w:t>
            </w:r>
            <w:proofErr w:type="spellEnd"/>
            <w:r>
              <w:rPr>
                <w:color w:val="auto"/>
                <w:sz w:val="20"/>
                <w:lang w:val="en-GB"/>
              </w:rPr>
              <w:t> Universiteit Eindhoven</w:t>
            </w:r>
          </w:p>
        </w:tc>
      </w:tr>
      <w:tr w:rsidR="00645867" w14:paraId="6CB1189C" w14:textId="77777777" w:rsidTr="5937A937">
        <w:trPr>
          <w:trHeight w:val="289"/>
        </w:trPr>
        <w:tc>
          <w:tcPr>
            <w:cnfStyle w:val="001000000000" w:firstRow="0" w:lastRow="0" w:firstColumn="1" w:lastColumn="0" w:oddVBand="0" w:evenVBand="0" w:oddHBand="0" w:evenHBand="0" w:firstRowFirstColumn="0" w:firstRowLastColumn="0" w:lastRowFirstColumn="0" w:lastRowLastColumn="0"/>
            <w:tcW w:w="705" w:type="dxa"/>
            <w:tcBorders>
              <w:top w:val="single" w:sz="4" w:space="0" w:color="002244" w:themeColor="accent1"/>
              <w:left w:val="single" w:sz="4" w:space="0" w:color="002244" w:themeColor="accent1"/>
              <w:bottom w:val="single" w:sz="4" w:space="0" w:color="9D9D9D"/>
              <w:right w:val="single" w:sz="4" w:space="0" w:color="002244" w:themeColor="accent1"/>
            </w:tcBorders>
            <w:hideMark/>
          </w:tcPr>
          <w:p w14:paraId="6AB66C82" w14:textId="77777777" w:rsidR="00645867" w:rsidRDefault="00645867">
            <w:pPr>
              <w:rPr>
                <w:sz w:val="20"/>
                <w:lang w:val="en-GB"/>
              </w:rPr>
            </w:pPr>
            <w:r>
              <w:rPr>
                <w:sz w:val="20"/>
                <w:lang w:val="en-GB" w:eastAsia="en-GB"/>
              </w:rPr>
              <w:t>2</w:t>
            </w:r>
          </w:p>
        </w:tc>
        <w:tc>
          <w:tcPr>
            <w:tcW w:w="991" w:type="dxa"/>
            <w:tcBorders>
              <w:top w:val="single" w:sz="4" w:space="0" w:color="002244" w:themeColor="accent1"/>
              <w:left w:val="single" w:sz="4" w:space="0" w:color="002244" w:themeColor="accent1"/>
              <w:bottom w:val="single" w:sz="4" w:space="0" w:color="9D9D9D"/>
              <w:right w:val="single" w:sz="4" w:space="0" w:color="002244" w:themeColor="accent1"/>
            </w:tcBorders>
            <w:hideMark/>
          </w:tcPr>
          <w:p w14:paraId="736DB5DA"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rPr>
            </w:pPr>
            <w:r>
              <w:rPr>
                <w:rFonts w:cs="Calibri"/>
                <w:color w:val="auto"/>
                <w:sz w:val="20"/>
                <w:lang w:val="en-GB"/>
              </w:rPr>
              <w:t>VERT</w:t>
            </w:r>
          </w:p>
        </w:tc>
        <w:tc>
          <w:tcPr>
            <w:tcW w:w="7371" w:type="dxa"/>
            <w:tcBorders>
              <w:top w:val="single" w:sz="4" w:space="0" w:color="002244" w:themeColor="accent1"/>
              <w:left w:val="single" w:sz="4" w:space="0" w:color="002244" w:themeColor="accent1"/>
              <w:bottom w:val="single" w:sz="4" w:space="0" w:color="9D9D9D"/>
              <w:right w:val="single" w:sz="4" w:space="0" w:color="002244" w:themeColor="accent1"/>
            </w:tcBorders>
            <w:hideMark/>
          </w:tcPr>
          <w:p w14:paraId="52E66B59"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rPr>
            </w:pPr>
            <w:proofErr w:type="spellStart"/>
            <w:r>
              <w:rPr>
                <w:color w:val="auto"/>
                <w:sz w:val="20"/>
                <w:lang w:val="en-GB"/>
              </w:rPr>
              <w:t>Vertoro</w:t>
            </w:r>
            <w:proofErr w:type="spellEnd"/>
            <w:r>
              <w:rPr>
                <w:color w:val="auto"/>
                <w:sz w:val="20"/>
                <w:lang w:val="en-GB"/>
              </w:rPr>
              <w:t> BV</w:t>
            </w:r>
          </w:p>
        </w:tc>
      </w:tr>
      <w:tr w:rsidR="00645867" w14:paraId="78A6661C" w14:textId="77777777" w:rsidTr="5937A937">
        <w:trPr>
          <w:trHeight w:val="289"/>
        </w:trPr>
        <w:tc>
          <w:tcPr>
            <w:cnfStyle w:val="001000000000" w:firstRow="0" w:lastRow="0" w:firstColumn="1" w:lastColumn="0" w:oddVBand="0" w:evenVBand="0" w:oddHBand="0" w:evenHBand="0" w:firstRowFirstColumn="0" w:firstRowLastColumn="0" w:lastRowFirstColumn="0" w:lastRowLastColumn="0"/>
            <w:tcW w:w="705"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610A0C5C" w14:textId="77777777" w:rsidR="00645867" w:rsidRDefault="00645867">
            <w:pPr>
              <w:rPr>
                <w:sz w:val="20"/>
                <w:lang w:val="en-GB"/>
              </w:rPr>
            </w:pPr>
            <w:r>
              <w:rPr>
                <w:sz w:val="20"/>
                <w:lang w:val="en-GB" w:eastAsia="en-GB"/>
              </w:rPr>
              <w:t>3</w:t>
            </w:r>
          </w:p>
        </w:tc>
        <w:tc>
          <w:tcPr>
            <w:tcW w:w="99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598910A5"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rPr>
            </w:pPr>
            <w:r>
              <w:rPr>
                <w:rFonts w:cs="Calibri"/>
                <w:color w:val="auto"/>
                <w:sz w:val="20"/>
                <w:lang w:val="en-GB"/>
              </w:rPr>
              <w:t>T4F</w:t>
            </w:r>
          </w:p>
        </w:tc>
        <w:tc>
          <w:tcPr>
            <w:tcW w:w="737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7A506101"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rPr>
            </w:pPr>
            <w:r>
              <w:rPr>
                <w:color w:val="auto"/>
                <w:sz w:val="20"/>
                <w:lang w:val="en-GB"/>
              </w:rPr>
              <w:t>Tec4Fuels</w:t>
            </w:r>
          </w:p>
        </w:tc>
      </w:tr>
      <w:tr w:rsidR="00645867" w14:paraId="37CA43B8" w14:textId="77777777" w:rsidTr="5937A937">
        <w:trPr>
          <w:trHeight w:val="289"/>
        </w:trPr>
        <w:tc>
          <w:tcPr>
            <w:cnfStyle w:val="001000000000" w:firstRow="0" w:lastRow="0" w:firstColumn="1" w:lastColumn="0" w:oddVBand="0" w:evenVBand="0" w:oddHBand="0" w:evenHBand="0" w:firstRowFirstColumn="0" w:firstRowLastColumn="0" w:lastRowFirstColumn="0" w:lastRowLastColumn="0"/>
            <w:tcW w:w="705"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22A83F07" w14:textId="77777777" w:rsidR="00645867" w:rsidRDefault="00645867">
            <w:pPr>
              <w:rPr>
                <w:sz w:val="20"/>
                <w:lang w:val="en-GB"/>
              </w:rPr>
            </w:pPr>
            <w:r>
              <w:rPr>
                <w:sz w:val="20"/>
                <w:lang w:val="en-GB" w:eastAsia="en-GB"/>
              </w:rPr>
              <w:t>4</w:t>
            </w:r>
          </w:p>
        </w:tc>
        <w:tc>
          <w:tcPr>
            <w:tcW w:w="99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2B86B6F4"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rPr>
            </w:pPr>
            <w:r>
              <w:rPr>
                <w:rFonts w:cs="Calibri"/>
                <w:color w:val="auto"/>
                <w:sz w:val="20"/>
                <w:lang w:val="en-GB"/>
              </w:rPr>
              <w:t>BLOOM</w:t>
            </w:r>
          </w:p>
        </w:tc>
        <w:tc>
          <w:tcPr>
            <w:tcW w:w="737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6A256616"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rPr>
            </w:pPr>
            <w:r>
              <w:rPr>
                <w:rFonts w:cs="Calibri"/>
                <w:color w:val="auto"/>
                <w:sz w:val="20"/>
                <w:lang w:val="en-GB"/>
              </w:rPr>
              <w:t xml:space="preserve">Bloom </w:t>
            </w:r>
            <w:proofErr w:type="spellStart"/>
            <w:r>
              <w:rPr>
                <w:rFonts w:cs="Calibri"/>
                <w:color w:val="auto"/>
                <w:sz w:val="20"/>
                <w:lang w:val="en-GB"/>
              </w:rPr>
              <w:t>Biorenewables</w:t>
            </w:r>
            <w:proofErr w:type="spellEnd"/>
            <w:r>
              <w:rPr>
                <w:rFonts w:cs="Calibri"/>
                <w:color w:val="auto"/>
                <w:sz w:val="20"/>
                <w:lang w:val="en-GB"/>
              </w:rPr>
              <w:t xml:space="preserve"> Ltd</w:t>
            </w:r>
          </w:p>
        </w:tc>
      </w:tr>
      <w:tr w:rsidR="00645867" w14:paraId="6195ACD1" w14:textId="77777777" w:rsidTr="5937A937">
        <w:trPr>
          <w:trHeight w:val="289"/>
        </w:trPr>
        <w:tc>
          <w:tcPr>
            <w:cnfStyle w:val="001000000000" w:firstRow="0" w:lastRow="0" w:firstColumn="1" w:lastColumn="0" w:oddVBand="0" w:evenVBand="0" w:oddHBand="0" w:evenHBand="0" w:firstRowFirstColumn="0" w:firstRowLastColumn="0" w:lastRowFirstColumn="0" w:lastRowLastColumn="0"/>
            <w:tcW w:w="705"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6594A8A2" w14:textId="77777777" w:rsidR="00645867" w:rsidRDefault="00645867">
            <w:pPr>
              <w:rPr>
                <w:sz w:val="20"/>
                <w:lang w:val="en-GB"/>
              </w:rPr>
            </w:pPr>
            <w:r>
              <w:rPr>
                <w:sz w:val="20"/>
                <w:lang w:val="en-GB"/>
              </w:rPr>
              <w:t>5</w:t>
            </w:r>
          </w:p>
        </w:tc>
        <w:tc>
          <w:tcPr>
            <w:tcW w:w="99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131630F0"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rPr>
            </w:pPr>
            <w:r>
              <w:rPr>
                <w:rFonts w:cs="Calibri"/>
                <w:color w:val="auto"/>
                <w:sz w:val="20"/>
                <w:lang w:val="en-GB"/>
              </w:rPr>
              <w:t>UNR</w:t>
            </w:r>
          </w:p>
        </w:tc>
        <w:tc>
          <w:tcPr>
            <w:tcW w:w="737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556011BF"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rPr>
            </w:pPr>
            <w:r>
              <w:rPr>
                <w:rFonts w:cs="Calibri"/>
                <w:color w:val="auto"/>
                <w:sz w:val="20"/>
                <w:lang w:val="en-GB"/>
              </w:rPr>
              <w:t>Uniresearch B.V.</w:t>
            </w:r>
          </w:p>
        </w:tc>
      </w:tr>
      <w:tr w:rsidR="00645867" w14:paraId="1CEC6286" w14:textId="77777777" w:rsidTr="5937A937">
        <w:trPr>
          <w:trHeight w:val="289"/>
        </w:trPr>
        <w:tc>
          <w:tcPr>
            <w:cnfStyle w:val="001000000000" w:firstRow="0" w:lastRow="0" w:firstColumn="1" w:lastColumn="0" w:oddVBand="0" w:evenVBand="0" w:oddHBand="0" w:evenHBand="0" w:firstRowFirstColumn="0" w:firstRowLastColumn="0" w:lastRowFirstColumn="0" w:lastRowLastColumn="0"/>
            <w:tcW w:w="705"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4613C55D" w14:textId="77777777" w:rsidR="00645867" w:rsidRDefault="00645867">
            <w:pPr>
              <w:rPr>
                <w:sz w:val="20"/>
                <w:lang w:val="en-GB"/>
              </w:rPr>
            </w:pPr>
            <w:r>
              <w:rPr>
                <w:sz w:val="20"/>
                <w:lang w:val="en-GB"/>
              </w:rPr>
              <w:t>6</w:t>
            </w:r>
          </w:p>
        </w:tc>
        <w:tc>
          <w:tcPr>
            <w:tcW w:w="99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7F8748CA"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rPr>
            </w:pPr>
            <w:r>
              <w:rPr>
                <w:rFonts w:cs="Calibri"/>
                <w:color w:val="auto"/>
                <w:sz w:val="20"/>
                <w:lang w:val="en-GB"/>
              </w:rPr>
              <w:t>WinGD</w:t>
            </w:r>
          </w:p>
        </w:tc>
        <w:tc>
          <w:tcPr>
            <w:tcW w:w="737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04005C95"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rPr>
            </w:pPr>
            <w:r>
              <w:rPr>
                <w:color w:val="auto"/>
                <w:sz w:val="20"/>
                <w:lang w:val="en-GB"/>
              </w:rPr>
              <w:t>Winterthur Gas &amp; Diesel AG</w:t>
            </w:r>
          </w:p>
        </w:tc>
      </w:tr>
      <w:tr w:rsidR="00645867" w14:paraId="41823D1C" w14:textId="77777777" w:rsidTr="5937A937">
        <w:trPr>
          <w:trHeight w:val="289"/>
        </w:trPr>
        <w:tc>
          <w:tcPr>
            <w:cnfStyle w:val="001000000000" w:firstRow="0" w:lastRow="0" w:firstColumn="1" w:lastColumn="0" w:oddVBand="0" w:evenVBand="0" w:oddHBand="0" w:evenHBand="0" w:firstRowFirstColumn="0" w:firstRowLastColumn="0" w:lastRowFirstColumn="0" w:lastRowLastColumn="0"/>
            <w:tcW w:w="705"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338C7078" w14:textId="77777777" w:rsidR="00645867" w:rsidRDefault="00645867">
            <w:pPr>
              <w:rPr>
                <w:sz w:val="20"/>
                <w:lang w:val="en-GB"/>
              </w:rPr>
            </w:pPr>
            <w:r>
              <w:rPr>
                <w:sz w:val="20"/>
                <w:lang w:val="en-GB"/>
              </w:rPr>
              <w:t>7</w:t>
            </w:r>
          </w:p>
        </w:tc>
        <w:tc>
          <w:tcPr>
            <w:tcW w:w="99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tcPr>
          <w:p w14:paraId="2DC37181"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rPr>
            </w:pPr>
          </w:p>
        </w:tc>
        <w:tc>
          <w:tcPr>
            <w:tcW w:w="737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3DE62766"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rPr>
            </w:pPr>
            <w:r>
              <w:rPr>
                <w:color w:val="auto"/>
                <w:sz w:val="20"/>
                <w:lang w:val="en-GB"/>
              </w:rPr>
              <w:t xml:space="preserve"> (Formerly </w:t>
            </w:r>
            <w:proofErr w:type="spellStart"/>
            <w:r>
              <w:rPr>
                <w:color w:val="auto"/>
                <w:sz w:val="20"/>
                <w:lang w:val="en-GB"/>
              </w:rPr>
              <w:t>SeaNRG</w:t>
            </w:r>
            <w:proofErr w:type="spellEnd"/>
            <w:r>
              <w:rPr>
                <w:color w:val="auto"/>
                <w:sz w:val="20"/>
                <w:lang w:val="en-GB"/>
              </w:rPr>
              <w:t>, is now GOODFUELS #12)</w:t>
            </w:r>
          </w:p>
        </w:tc>
      </w:tr>
      <w:tr w:rsidR="00645867" w14:paraId="637096FF" w14:textId="77777777" w:rsidTr="5937A937">
        <w:trPr>
          <w:trHeight w:val="289"/>
        </w:trPr>
        <w:tc>
          <w:tcPr>
            <w:cnfStyle w:val="001000000000" w:firstRow="0" w:lastRow="0" w:firstColumn="1" w:lastColumn="0" w:oddVBand="0" w:evenVBand="0" w:oddHBand="0" w:evenHBand="0" w:firstRowFirstColumn="0" w:firstRowLastColumn="0" w:lastRowFirstColumn="0" w:lastRowLastColumn="0"/>
            <w:tcW w:w="705"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3C6F38D5" w14:textId="77777777" w:rsidR="00645867" w:rsidRDefault="00645867">
            <w:pPr>
              <w:rPr>
                <w:sz w:val="20"/>
                <w:lang w:val="en-GB"/>
              </w:rPr>
            </w:pPr>
            <w:r>
              <w:rPr>
                <w:sz w:val="20"/>
                <w:lang w:val="en-GB"/>
              </w:rPr>
              <w:t>8</w:t>
            </w:r>
          </w:p>
        </w:tc>
        <w:tc>
          <w:tcPr>
            <w:tcW w:w="99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11E41F2B"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rPr>
            </w:pPr>
            <w:r>
              <w:rPr>
                <w:rFonts w:cs="Calibri"/>
                <w:color w:val="auto"/>
                <w:sz w:val="20"/>
                <w:lang w:val="en-GB"/>
              </w:rPr>
              <w:t>TKMS</w:t>
            </w:r>
          </w:p>
        </w:tc>
        <w:tc>
          <w:tcPr>
            <w:tcW w:w="737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778C7BA6"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rPr>
            </w:pPr>
            <w:r>
              <w:rPr>
                <w:color w:val="auto"/>
                <w:sz w:val="20"/>
                <w:lang w:val="en-GB"/>
              </w:rPr>
              <w:t>Thyssenkrupp Marine Systems GMBH</w:t>
            </w:r>
          </w:p>
        </w:tc>
      </w:tr>
      <w:tr w:rsidR="00645867" w14:paraId="145CF6AD" w14:textId="77777777" w:rsidTr="5937A937">
        <w:trPr>
          <w:trHeight w:val="289"/>
        </w:trPr>
        <w:tc>
          <w:tcPr>
            <w:cnfStyle w:val="001000000000" w:firstRow="0" w:lastRow="0" w:firstColumn="1" w:lastColumn="0" w:oddVBand="0" w:evenVBand="0" w:oddHBand="0" w:evenHBand="0" w:firstRowFirstColumn="0" w:firstRowLastColumn="0" w:lastRowFirstColumn="0" w:lastRowLastColumn="0"/>
            <w:tcW w:w="705"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715DB30A" w14:textId="77777777" w:rsidR="00645867" w:rsidRDefault="00645867">
            <w:pPr>
              <w:rPr>
                <w:sz w:val="20"/>
                <w:lang w:val="en-GB"/>
              </w:rPr>
            </w:pPr>
            <w:r>
              <w:rPr>
                <w:sz w:val="20"/>
                <w:lang w:val="en-GB"/>
              </w:rPr>
              <w:t>9</w:t>
            </w:r>
          </w:p>
        </w:tc>
        <w:tc>
          <w:tcPr>
            <w:tcW w:w="99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32AA70E2"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rPr>
            </w:pPr>
            <w:r>
              <w:rPr>
                <w:rFonts w:cs="Calibri"/>
                <w:color w:val="auto"/>
                <w:sz w:val="20"/>
                <w:lang w:val="en-GB"/>
              </w:rPr>
              <w:t>OWI</w:t>
            </w:r>
          </w:p>
        </w:tc>
        <w:tc>
          <w:tcPr>
            <w:tcW w:w="737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4FB95775"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rPr>
            </w:pPr>
            <w:r>
              <w:rPr>
                <w:color w:val="auto"/>
                <w:sz w:val="20"/>
                <w:lang w:val="en-GB"/>
              </w:rPr>
              <w:t>OWI – Science for Fuels </w:t>
            </w:r>
            <w:proofErr w:type="spellStart"/>
            <w:r>
              <w:rPr>
                <w:color w:val="auto"/>
                <w:sz w:val="20"/>
                <w:lang w:val="en-GB"/>
              </w:rPr>
              <w:t>gGmbH</w:t>
            </w:r>
            <w:proofErr w:type="spellEnd"/>
          </w:p>
        </w:tc>
      </w:tr>
      <w:tr w:rsidR="00645867" w:rsidRPr="007D4A4F" w14:paraId="7342ABB3" w14:textId="77777777" w:rsidTr="5937A937">
        <w:trPr>
          <w:trHeight w:val="289"/>
        </w:trPr>
        <w:tc>
          <w:tcPr>
            <w:cnfStyle w:val="001000000000" w:firstRow="0" w:lastRow="0" w:firstColumn="1" w:lastColumn="0" w:oddVBand="0" w:evenVBand="0" w:oddHBand="0" w:evenHBand="0" w:firstRowFirstColumn="0" w:firstRowLastColumn="0" w:lastRowFirstColumn="0" w:lastRowLastColumn="0"/>
            <w:tcW w:w="705"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4D701626" w14:textId="77777777" w:rsidR="00645867" w:rsidRDefault="00645867">
            <w:pPr>
              <w:rPr>
                <w:sz w:val="20"/>
                <w:lang w:val="en-GB" w:eastAsia="en-GB"/>
              </w:rPr>
            </w:pPr>
            <w:r>
              <w:rPr>
                <w:sz w:val="20"/>
                <w:lang w:val="en-GB" w:eastAsia="en-GB"/>
              </w:rPr>
              <w:t>10</w:t>
            </w:r>
          </w:p>
        </w:tc>
        <w:tc>
          <w:tcPr>
            <w:tcW w:w="99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600E9EB2"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rPr>
            </w:pPr>
            <w:r>
              <w:rPr>
                <w:rFonts w:cs="Calibri"/>
                <w:color w:val="auto"/>
                <w:sz w:val="20"/>
                <w:lang w:val="en-GB" w:eastAsia="en-GB"/>
              </w:rPr>
              <w:t>CSIC</w:t>
            </w:r>
          </w:p>
        </w:tc>
        <w:tc>
          <w:tcPr>
            <w:tcW w:w="737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2BEB0C46" w14:textId="11CB7D77" w:rsidR="00645867" w:rsidRPr="002D131D" w:rsidRDefault="00645867">
            <w:pPr>
              <w:cnfStyle w:val="000000000000" w:firstRow="0" w:lastRow="0" w:firstColumn="0" w:lastColumn="0" w:oddVBand="0" w:evenVBand="0" w:oddHBand="0" w:evenHBand="0" w:firstRowFirstColumn="0" w:firstRowLastColumn="0" w:lastRowFirstColumn="0" w:lastRowLastColumn="0"/>
              <w:rPr>
                <w:sz w:val="20"/>
                <w:lang w:val="es-ES"/>
              </w:rPr>
            </w:pPr>
            <w:r w:rsidRPr="002D131D">
              <w:rPr>
                <w:color w:val="auto"/>
                <w:sz w:val="20"/>
                <w:lang w:val="es-ES"/>
              </w:rPr>
              <w:t>Consejo Superior De Investigaciones </w:t>
            </w:r>
            <w:r w:rsidR="002D131D" w:rsidRPr="002D131D">
              <w:rPr>
                <w:color w:val="auto"/>
                <w:sz w:val="20"/>
                <w:lang w:val="es-ES"/>
              </w:rPr>
              <w:t>Científicas</w:t>
            </w:r>
          </w:p>
        </w:tc>
      </w:tr>
      <w:tr w:rsidR="00645867" w14:paraId="63DADEA6" w14:textId="77777777" w:rsidTr="5937A937">
        <w:trPr>
          <w:trHeight w:val="289"/>
        </w:trPr>
        <w:tc>
          <w:tcPr>
            <w:cnfStyle w:val="001000000000" w:firstRow="0" w:lastRow="0" w:firstColumn="1" w:lastColumn="0" w:oddVBand="0" w:evenVBand="0" w:oddHBand="0" w:evenHBand="0" w:firstRowFirstColumn="0" w:firstRowLastColumn="0" w:lastRowFirstColumn="0" w:lastRowLastColumn="0"/>
            <w:tcW w:w="705"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5FC1DCCC" w14:textId="77777777" w:rsidR="00645867" w:rsidRDefault="00645867">
            <w:pPr>
              <w:rPr>
                <w:sz w:val="20"/>
                <w:lang w:val="en-GB" w:eastAsia="en-GB"/>
              </w:rPr>
            </w:pPr>
            <w:r>
              <w:rPr>
                <w:sz w:val="20"/>
                <w:lang w:val="en-GB" w:eastAsia="en-GB"/>
              </w:rPr>
              <w:t>11</w:t>
            </w:r>
          </w:p>
        </w:tc>
        <w:tc>
          <w:tcPr>
            <w:tcW w:w="99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2B40782B"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eastAsia="en-GB"/>
              </w:rPr>
            </w:pPr>
            <w:r>
              <w:rPr>
                <w:rFonts w:eastAsiaTheme="minorHAnsi" w:cs="Calibri"/>
                <w:color w:val="auto"/>
                <w:sz w:val="20"/>
                <w:lang w:val="nl-NL"/>
              </w:rPr>
              <w:t>VARO</w:t>
            </w:r>
          </w:p>
        </w:tc>
        <w:tc>
          <w:tcPr>
            <w:tcW w:w="737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634EDF56"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eastAsia="en-GB"/>
              </w:rPr>
            </w:pPr>
            <w:r>
              <w:rPr>
                <w:color w:val="auto"/>
                <w:sz w:val="20"/>
                <w:lang w:val="en-GB"/>
              </w:rPr>
              <w:t>Varo Energy Netherlands BV</w:t>
            </w:r>
          </w:p>
        </w:tc>
      </w:tr>
      <w:tr w:rsidR="00645867" w14:paraId="3EAAD165" w14:textId="77777777" w:rsidTr="5937A937">
        <w:trPr>
          <w:trHeight w:val="289"/>
        </w:trPr>
        <w:tc>
          <w:tcPr>
            <w:cnfStyle w:val="001000000000" w:firstRow="0" w:lastRow="0" w:firstColumn="1" w:lastColumn="0" w:oddVBand="0" w:evenVBand="0" w:oddHBand="0" w:evenHBand="0" w:firstRowFirstColumn="0" w:firstRowLastColumn="0" w:lastRowFirstColumn="0" w:lastRowLastColumn="0"/>
            <w:tcW w:w="705"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5E9C8289" w14:textId="77777777" w:rsidR="00645867" w:rsidRDefault="00645867">
            <w:pPr>
              <w:rPr>
                <w:sz w:val="20"/>
                <w:lang w:val="en-GB" w:eastAsia="en-GB"/>
              </w:rPr>
            </w:pPr>
            <w:r>
              <w:rPr>
                <w:sz w:val="20"/>
                <w:lang w:val="en-GB" w:eastAsia="en-GB"/>
              </w:rPr>
              <w:t>12</w:t>
            </w:r>
          </w:p>
        </w:tc>
        <w:tc>
          <w:tcPr>
            <w:tcW w:w="99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3548A1C1" w14:textId="77777777" w:rsidR="00645867" w:rsidRDefault="00645867">
            <w:pPr>
              <w:cnfStyle w:val="000000000000" w:firstRow="0" w:lastRow="0" w:firstColumn="0" w:lastColumn="0" w:oddVBand="0" w:evenVBand="0" w:oddHBand="0" w:evenHBand="0" w:firstRowFirstColumn="0" w:firstRowLastColumn="0" w:lastRowFirstColumn="0" w:lastRowLastColumn="0"/>
              <w:rPr>
                <w:rFonts w:eastAsiaTheme="minorHAnsi" w:cs="Calibri"/>
                <w:color w:val="auto"/>
                <w:sz w:val="20"/>
                <w:lang w:val="nl-NL"/>
              </w:rPr>
            </w:pPr>
            <w:r>
              <w:rPr>
                <w:rFonts w:eastAsiaTheme="minorHAnsi" w:cs="Calibri"/>
                <w:color w:val="auto"/>
                <w:sz w:val="20"/>
                <w:lang w:val="nl-NL"/>
              </w:rPr>
              <w:t>GOOD</w:t>
            </w:r>
          </w:p>
        </w:tc>
        <w:tc>
          <w:tcPr>
            <w:tcW w:w="737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3E7236BD" w14:textId="77777777" w:rsidR="00645867" w:rsidRDefault="00645867">
            <w:pPr>
              <w:cnfStyle w:val="000000000000" w:firstRow="0" w:lastRow="0" w:firstColumn="0" w:lastColumn="0" w:oddVBand="0" w:evenVBand="0" w:oddHBand="0" w:evenHBand="0" w:firstRowFirstColumn="0" w:firstRowLastColumn="0" w:lastRowFirstColumn="0" w:lastRowLastColumn="0"/>
              <w:rPr>
                <w:color w:val="auto"/>
                <w:sz w:val="20"/>
                <w:lang w:val="en-GB"/>
              </w:rPr>
            </w:pPr>
            <w:proofErr w:type="spellStart"/>
            <w:r>
              <w:rPr>
                <w:color w:val="auto"/>
                <w:sz w:val="20"/>
                <w:lang w:val="en-GB"/>
              </w:rPr>
              <w:t>GoodFuels</w:t>
            </w:r>
            <w:proofErr w:type="spellEnd"/>
            <w:r>
              <w:rPr>
                <w:color w:val="auto"/>
                <w:sz w:val="20"/>
                <w:lang w:val="en-GB"/>
              </w:rPr>
              <w:t xml:space="preserve"> B.V.</w:t>
            </w:r>
          </w:p>
        </w:tc>
      </w:tr>
    </w:tbl>
    <w:p w14:paraId="6BA7FC1F" w14:textId="77777777" w:rsidR="00D42D42" w:rsidRPr="0045629F" w:rsidRDefault="00D42D42" w:rsidP="004C14E2">
      <w:pPr>
        <w:rPr>
          <w:lang w:val="en-GB"/>
        </w:rPr>
      </w:pPr>
    </w:p>
    <w:p w14:paraId="70C59A38" w14:textId="1D3C032D" w:rsidR="00A363BD" w:rsidRDefault="00A363BD" w:rsidP="004C14E2">
      <w:pPr>
        <w:rPr>
          <w:lang w:val="en-GB"/>
        </w:rPr>
      </w:pPr>
    </w:p>
    <w:p w14:paraId="22528501" w14:textId="52C53EEB" w:rsidR="00EC0977" w:rsidRDefault="00EC0977" w:rsidP="004C14E2">
      <w:pPr>
        <w:rPr>
          <w:lang w:val="en-GB"/>
        </w:rPr>
      </w:pPr>
    </w:p>
    <w:p w14:paraId="740BA91D" w14:textId="7E63C560" w:rsidR="00EC0977" w:rsidRDefault="00EC0977" w:rsidP="004C14E2">
      <w:pPr>
        <w:rPr>
          <w:lang w:val="en-GB"/>
        </w:rPr>
      </w:pPr>
    </w:p>
    <w:p w14:paraId="54980037" w14:textId="664D200F" w:rsidR="00EC0977" w:rsidRDefault="00EC0977" w:rsidP="004C14E2">
      <w:pPr>
        <w:rPr>
          <w:lang w:val="en-GB"/>
        </w:rPr>
      </w:pPr>
    </w:p>
    <w:p w14:paraId="37D3D6BC" w14:textId="54E1CABB" w:rsidR="00EC0977" w:rsidRDefault="00EC0977" w:rsidP="004C14E2">
      <w:pPr>
        <w:rPr>
          <w:lang w:val="en-GB"/>
        </w:rPr>
      </w:pPr>
    </w:p>
    <w:p w14:paraId="752B3901" w14:textId="77777777" w:rsidR="00EC0977" w:rsidRPr="0045629F" w:rsidRDefault="00EC0977" w:rsidP="004C14E2">
      <w:pPr>
        <w:rPr>
          <w:lang w:val="en-GB"/>
        </w:rPr>
      </w:pPr>
    </w:p>
    <w:tbl>
      <w:tblPr>
        <w:tblpPr w:leftFromText="141" w:rightFromText="141" w:vertAnchor="text" w:horzAnchor="margin" w:tblpX="150" w:tblpY="142"/>
        <w:tblW w:w="8926" w:type="dxa"/>
        <w:tblCellMar>
          <w:left w:w="0" w:type="dxa"/>
          <w:right w:w="0" w:type="dxa"/>
        </w:tblCellMar>
        <w:tblLook w:val="04A0" w:firstRow="1" w:lastRow="0" w:firstColumn="1" w:lastColumn="0" w:noHBand="0" w:noVBand="1"/>
      </w:tblPr>
      <w:tblGrid>
        <w:gridCol w:w="1440"/>
        <w:gridCol w:w="7486"/>
      </w:tblGrid>
      <w:tr w:rsidR="004C14E2" w:rsidRPr="0045629F" w14:paraId="575583A3" w14:textId="77777777" w:rsidTr="00EC0977">
        <w:trPr>
          <w:trHeight w:val="559"/>
        </w:trPr>
        <w:tc>
          <w:tcPr>
            <w:tcW w:w="1440" w:type="dxa"/>
            <w:shd w:val="clear" w:color="auto" w:fill="auto"/>
            <w:tcMar>
              <w:top w:w="150" w:type="dxa"/>
              <w:left w:w="150" w:type="dxa"/>
              <w:bottom w:w="150" w:type="dxa"/>
              <w:right w:w="150" w:type="dxa"/>
            </w:tcMar>
            <w:vAlign w:val="center"/>
            <w:hideMark/>
          </w:tcPr>
          <w:p w14:paraId="1A68CA1F" w14:textId="77777777" w:rsidR="004C14E2" w:rsidRPr="0045629F" w:rsidRDefault="004C14E2" w:rsidP="00EC0977">
            <w:pPr>
              <w:spacing w:line="210" w:lineRule="atLeast"/>
              <w:jc w:val="left"/>
              <w:rPr>
                <w:rFonts w:eastAsia="Calibri"/>
                <w:color w:val="171F69"/>
                <w:sz w:val="17"/>
                <w:szCs w:val="17"/>
                <w:lang w:val="en-GB"/>
              </w:rPr>
            </w:pPr>
            <w:r w:rsidRPr="0045629F">
              <w:rPr>
                <w:noProof/>
                <w:sz w:val="20"/>
                <w:szCs w:val="10"/>
              </w:rPr>
              <w:drawing>
                <wp:inline distT="0" distB="0" distL="0" distR="0" wp14:anchorId="493F6323" wp14:editId="6E78C11B">
                  <wp:extent cx="722630" cy="485775"/>
                  <wp:effectExtent l="0" t="0" r="1270" b="9525"/>
                  <wp:docPr id="2"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inline>
              </w:drawing>
            </w:r>
          </w:p>
        </w:tc>
        <w:tc>
          <w:tcPr>
            <w:tcW w:w="7486" w:type="dxa"/>
            <w:shd w:val="clear" w:color="auto" w:fill="auto"/>
            <w:tcMar>
              <w:top w:w="150" w:type="dxa"/>
              <w:left w:w="150" w:type="dxa"/>
              <w:bottom w:w="150" w:type="dxa"/>
              <w:right w:w="150" w:type="dxa"/>
            </w:tcMar>
            <w:vAlign w:val="center"/>
            <w:hideMark/>
          </w:tcPr>
          <w:p w14:paraId="411ED81C" w14:textId="2B6C34BD" w:rsidR="004C14E2" w:rsidRPr="0034036F" w:rsidRDefault="0034036F" w:rsidP="00EC0977">
            <w:pPr>
              <w:jc w:val="left"/>
              <w:rPr>
                <w:color w:val="303030" w:themeColor="text1" w:themeTint="D9"/>
                <w:lang w:val="en-GB"/>
              </w:rPr>
            </w:pPr>
            <w:r w:rsidRPr="00D36423">
              <w:rPr>
                <w:i/>
                <w:iCs/>
                <w:color w:val="303030" w:themeColor="text1" w:themeTint="D9"/>
              </w:rPr>
              <w:t xml:space="preserve">This project has received funding from the European Union’s Horizon 2020 research and innovation </w:t>
            </w:r>
            <w:proofErr w:type="spellStart"/>
            <w:r w:rsidRPr="00D36423">
              <w:rPr>
                <w:i/>
                <w:iCs/>
                <w:color w:val="303030" w:themeColor="text1" w:themeTint="D9"/>
              </w:rPr>
              <w:t>programme</w:t>
            </w:r>
            <w:proofErr w:type="spellEnd"/>
            <w:r w:rsidRPr="00D36423">
              <w:rPr>
                <w:i/>
                <w:iCs/>
                <w:color w:val="303030" w:themeColor="text1" w:themeTint="D9"/>
              </w:rPr>
              <w:t xml:space="preserve"> under grant agreement No 883753</w:t>
            </w:r>
          </w:p>
        </w:tc>
      </w:tr>
    </w:tbl>
    <w:p w14:paraId="06A7D96A" w14:textId="7ABF332D" w:rsidR="004C14E2" w:rsidRPr="0045629F" w:rsidRDefault="004C14E2" w:rsidP="004C14E2">
      <w:pPr>
        <w:rPr>
          <w:lang w:val="en-GB"/>
        </w:rPr>
      </w:pPr>
    </w:p>
    <w:p w14:paraId="141B4075" w14:textId="74848CC3" w:rsidR="00710F7F" w:rsidRPr="0045629F" w:rsidRDefault="00710F7F" w:rsidP="004C14E2">
      <w:pPr>
        <w:rPr>
          <w:lang w:val="en-GB"/>
        </w:rPr>
      </w:pPr>
    </w:p>
    <w:p w14:paraId="1C1900E4" w14:textId="0643DB9C" w:rsidR="00710F7F" w:rsidRPr="0045629F" w:rsidRDefault="00710F7F" w:rsidP="004C14E2">
      <w:pPr>
        <w:rPr>
          <w:lang w:val="en-GB"/>
        </w:rPr>
      </w:pPr>
    </w:p>
    <w:p w14:paraId="744CACA9" w14:textId="3C88CA0D" w:rsidR="00710F7F" w:rsidRPr="0045629F" w:rsidRDefault="00710F7F" w:rsidP="004C14E2">
      <w:pPr>
        <w:rPr>
          <w:lang w:val="en-GB"/>
        </w:rPr>
      </w:pPr>
    </w:p>
    <w:p w14:paraId="66BC3BE6" w14:textId="5E52C4F6" w:rsidR="00710F7F" w:rsidRPr="0045629F" w:rsidRDefault="00710F7F" w:rsidP="004C14E2">
      <w:pPr>
        <w:rPr>
          <w:lang w:val="en-GB"/>
        </w:rPr>
      </w:pPr>
    </w:p>
    <w:p w14:paraId="285B0C7A" w14:textId="47FA6881" w:rsidR="00710F7F" w:rsidRPr="0045629F" w:rsidRDefault="00710F7F" w:rsidP="004C14E2">
      <w:pPr>
        <w:rPr>
          <w:lang w:val="en-GB"/>
        </w:rPr>
      </w:pPr>
    </w:p>
    <w:p w14:paraId="66B86FD8" w14:textId="4CA7B1BF" w:rsidR="00D353D5" w:rsidRPr="0045629F" w:rsidRDefault="00D353D5" w:rsidP="004C14E2">
      <w:pPr>
        <w:rPr>
          <w:lang w:val="en-GB"/>
        </w:rPr>
      </w:pPr>
    </w:p>
    <w:p w14:paraId="5C6494B8" w14:textId="4D821AB9" w:rsidR="00710F7F" w:rsidRPr="0045629F" w:rsidRDefault="00710F7F" w:rsidP="00DC3405">
      <w:pPr>
        <w:spacing w:after="160" w:line="259" w:lineRule="auto"/>
        <w:jc w:val="left"/>
        <w:rPr>
          <w:lang w:val="en-GB"/>
        </w:rPr>
      </w:pPr>
    </w:p>
    <w:sectPr w:rsidR="00710F7F" w:rsidRPr="0045629F" w:rsidSect="00095ECB">
      <w:headerReference w:type="default" r:id="rId24"/>
      <w:footerReference w:type="default" r:id="rId25"/>
      <w:footerReference w:type="first" r:id="rId26"/>
      <w:pgSz w:w="11906" w:h="16838"/>
      <w:pgMar w:top="1418" w:right="1134" w:bottom="1418"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231E7" w14:textId="77777777" w:rsidR="00182AD5" w:rsidRDefault="00182AD5" w:rsidP="00AF6EDB">
      <w:r>
        <w:separator/>
      </w:r>
    </w:p>
  </w:endnote>
  <w:endnote w:type="continuationSeparator" w:id="0">
    <w:p w14:paraId="011F4528" w14:textId="77777777" w:rsidR="00182AD5" w:rsidRDefault="00182AD5" w:rsidP="00AF6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A2AD8" w14:textId="46DD211E" w:rsidR="00182AD5" w:rsidRPr="00530FD4" w:rsidRDefault="00182AD5" w:rsidP="00095ECB">
    <w:pPr>
      <w:pStyle w:val="Footer"/>
      <w:tabs>
        <w:tab w:val="clear" w:pos="9072"/>
        <w:tab w:val="right" w:pos="9638"/>
      </w:tabs>
      <w:rPr>
        <w:rFonts w:cs="Calibri"/>
        <w:color w:val="2F2F2F" w:themeColor="background2" w:themeShade="BF"/>
        <w:sz w:val="18"/>
        <w:szCs w:val="18"/>
      </w:rPr>
    </w:pPr>
    <w:r w:rsidRPr="00530FD4">
      <w:rPr>
        <w:color w:val="2F2F2F" w:themeColor="background2" w:themeShade="BF"/>
      </w:rPr>
      <w:t>D</w:t>
    </w:r>
    <w:r>
      <w:rPr>
        <w:color w:val="2F2F2F" w:themeColor="background2" w:themeShade="BF"/>
      </w:rPr>
      <w:t xml:space="preserve">6.2 </w:t>
    </w:r>
    <w:r w:rsidRPr="00530FD4">
      <w:rPr>
        <w:color w:val="2F2F2F" w:themeColor="background2" w:themeShade="BF"/>
      </w:rPr>
      <w:t xml:space="preserve">– </w:t>
    </w:r>
    <w:r>
      <w:rPr>
        <w:color w:val="2F2F2F" w:themeColor="background2" w:themeShade="BF"/>
      </w:rPr>
      <w:t>Market Assessment</w:t>
    </w:r>
    <w:r w:rsidRPr="00530FD4">
      <w:rPr>
        <w:color w:val="2F2F2F" w:themeColor="background2" w:themeShade="BF"/>
      </w:rPr>
      <w:t xml:space="preserve"> – </w:t>
    </w:r>
    <w:r>
      <w:rPr>
        <w:color w:val="2F2F2F" w:themeColor="background2" w:themeShade="BF"/>
      </w:rPr>
      <w:t>CO</w:t>
    </w:r>
    <w:r>
      <w:rPr>
        <w:color w:val="2F2F2F" w:themeColor="background2" w:themeShade="BF"/>
      </w:rPr>
      <w:tab/>
    </w:r>
    <w:r>
      <w:rPr>
        <w:color w:val="2F2F2F" w:themeColor="background2" w:themeShade="BF"/>
      </w:rPr>
      <w:tab/>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Pr>
        <w:rFonts w:cs="Calibri"/>
        <w:noProof/>
        <w:color w:val="2F2F2F" w:themeColor="background2" w:themeShade="BF"/>
        <w:sz w:val="18"/>
        <w:szCs w:val="18"/>
      </w:rPr>
      <w:t>20</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Pr>
        <w:rFonts w:cs="Calibri"/>
        <w:noProof/>
        <w:color w:val="2F2F2F" w:themeColor="background2" w:themeShade="BF"/>
        <w:sz w:val="18"/>
        <w:szCs w:val="18"/>
      </w:rPr>
      <w:t>38</w:t>
    </w:r>
    <w:r w:rsidRPr="00530FD4">
      <w:rPr>
        <w:rFonts w:cs="Calibri"/>
        <w:color w:val="2F2F2F" w:themeColor="background2" w:themeShade="B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C5CEA" w14:textId="77777777" w:rsidR="00182AD5" w:rsidRDefault="00182AD5" w:rsidP="007A4C09">
    <w:pPr>
      <w:jc w:val="left"/>
      <w:rPr>
        <w:i/>
        <w:iCs/>
      </w:rPr>
    </w:pPr>
  </w:p>
  <w:p w14:paraId="01F54B89" w14:textId="77777777" w:rsidR="00182AD5" w:rsidRDefault="00182AD5" w:rsidP="007A4C09">
    <w:pPr>
      <w:jc w:val="left"/>
      <w:rPr>
        <w:i/>
        <w:iCs/>
      </w:rPr>
    </w:pPr>
    <w:r w:rsidRPr="002821F1">
      <w:rPr>
        <w:i/>
        <w:iCs/>
        <w:noProof/>
        <w:color w:val="303030" w:themeColor="text1" w:themeTint="D9"/>
      </w:rPr>
      <w:drawing>
        <wp:anchor distT="0" distB="0" distL="114300" distR="114300" simplePos="0" relativeHeight="251683840" behindDoc="1" locked="0" layoutInCell="1" allowOverlap="1" wp14:anchorId="7DF27CC3" wp14:editId="5AA93E39">
          <wp:simplePos x="0" y="0"/>
          <wp:positionH relativeFrom="margin">
            <wp:posOffset>0</wp:posOffset>
          </wp:positionH>
          <wp:positionV relativeFrom="paragraph">
            <wp:posOffset>102235</wp:posOffset>
          </wp:positionV>
          <wp:extent cx="609600" cy="457200"/>
          <wp:effectExtent l="0" t="0" r="0" b="0"/>
          <wp:wrapTight wrapText="bothSides">
            <wp:wrapPolygon edited="0">
              <wp:start x="0" y="0"/>
              <wp:lineTo x="0" y="20700"/>
              <wp:lineTo x="20925" y="20700"/>
              <wp:lineTo x="20925" y="0"/>
              <wp:lineTo x="0" y="0"/>
            </wp:wrapPolygon>
          </wp:wrapTight>
          <wp:docPr id="5" name="Picture 11" descr="http://elastic.studioh2o.nl/image.php/userdata/image/ec_1.gif?width=150&amp;height=150&amp;image=/userdata/image/ec_1.gif">
            <a:extLst xmlns:a="http://schemas.openxmlformats.org/drawingml/2006/main">
              <a:ext uri="{FF2B5EF4-FFF2-40B4-BE49-F238E27FC236}">
                <a16:creationId xmlns:a16="http://schemas.microsoft.com/office/drawing/2014/main" id="{323BD298-D795-4995-9582-278327A86B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http://elastic.studioh2o.nl/image.php/userdata/image/ec_1.gif?width=150&amp;height=150&amp;image=/userdata/image/ec_1.gif">
                    <a:extLst>
                      <a:ext uri="{FF2B5EF4-FFF2-40B4-BE49-F238E27FC236}">
                        <a16:creationId xmlns:a16="http://schemas.microsoft.com/office/drawing/2014/main" id="{323BD298-D795-4995-9582-278327A86B3F}"/>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9600" cy="457200"/>
                  </a:xfrm>
                  <a:prstGeom prst="rect">
                    <a:avLst/>
                  </a:prstGeom>
                  <a:noFill/>
                  <a:ln w="9525">
                    <a:noFill/>
                    <a:miter lim="800000"/>
                    <a:headEnd/>
                    <a:tailEnd/>
                  </a:ln>
                </pic:spPr>
              </pic:pic>
            </a:graphicData>
          </a:graphic>
        </wp:anchor>
      </w:drawing>
    </w:r>
  </w:p>
  <w:p w14:paraId="3A5F8808" w14:textId="77777777" w:rsidR="00182AD5" w:rsidRPr="002821F1" w:rsidRDefault="00182AD5" w:rsidP="007A4C09">
    <w:pPr>
      <w:jc w:val="left"/>
      <w:rPr>
        <w:color w:val="303030" w:themeColor="text1" w:themeTint="D9"/>
        <w:lang w:val="en-GB"/>
      </w:rPr>
    </w:pPr>
    <w:bookmarkStart w:id="53" w:name="_Hlk27465704"/>
    <w:r w:rsidRPr="00D36423">
      <w:rPr>
        <w:i/>
        <w:iCs/>
        <w:color w:val="303030" w:themeColor="text1" w:themeTint="D9"/>
      </w:rPr>
      <w:t xml:space="preserve">This project has received funding from the European Union’s Horizon 2020 research and innovation </w:t>
    </w:r>
    <w:proofErr w:type="spellStart"/>
    <w:r w:rsidRPr="00D36423">
      <w:rPr>
        <w:i/>
        <w:iCs/>
        <w:color w:val="303030" w:themeColor="text1" w:themeTint="D9"/>
      </w:rPr>
      <w:t>programme</w:t>
    </w:r>
    <w:proofErr w:type="spellEnd"/>
    <w:r w:rsidRPr="00D36423">
      <w:rPr>
        <w:i/>
        <w:iCs/>
        <w:color w:val="303030" w:themeColor="text1" w:themeTint="D9"/>
      </w:rPr>
      <w:t xml:space="preserve"> under grant agreement No 883753</w:t>
    </w:r>
  </w:p>
  <w:bookmarkEnd w:id="53"/>
  <w:p w14:paraId="574A5BF9" w14:textId="4C2150FA" w:rsidR="00182AD5" w:rsidRPr="007A4C09" w:rsidRDefault="00182AD5" w:rsidP="007A4C09">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5629C" w14:textId="77777777" w:rsidR="00182AD5" w:rsidRDefault="00182AD5" w:rsidP="00AF6EDB">
      <w:bookmarkStart w:id="0" w:name="_Hlk42782855"/>
      <w:bookmarkEnd w:id="0"/>
      <w:r>
        <w:separator/>
      </w:r>
    </w:p>
  </w:footnote>
  <w:footnote w:type="continuationSeparator" w:id="0">
    <w:p w14:paraId="066DCE2C" w14:textId="77777777" w:rsidR="00182AD5" w:rsidRDefault="00182AD5" w:rsidP="00AF6E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B4EED" w14:textId="3758E29D" w:rsidR="00182AD5" w:rsidRPr="00E646DE" w:rsidRDefault="00182AD5" w:rsidP="00E646DE">
    <w:pPr>
      <w:pStyle w:val="Footer"/>
      <w:rPr>
        <w:color w:val="303030" w:themeColor="text1" w:themeTint="D9"/>
      </w:rPr>
    </w:pPr>
    <w:r w:rsidRPr="00B524B5">
      <w:rPr>
        <w:noProof/>
        <w:color w:val="181818" w:themeColor="text1" w:themeTint="F2"/>
      </w:rPr>
      <w:drawing>
        <wp:anchor distT="0" distB="0" distL="114300" distR="114300" simplePos="0" relativeHeight="251657216" behindDoc="0" locked="0" layoutInCell="1" allowOverlap="1" wp14:anchorId="67FA6E22" wp14:editId="51B48458">
          <wp:simplePos x="0" y="0"/>
          <wp:positionH relativeFrom="column">
            <wp:posOffset>4937760</wp:posOffset>
          </wp:positionH>
          <wp:positionV relativeFrom="paragraph">
            <wp:posOffset>-269240</wp:posOffset>
          </wp:positionV>
          <wp:extent cx="1472565" cy="662940"/>
          <wp:effectExtent l="0" t="0" r="0" b="3810"/>
          <wp:wrapThrough wrapText="bothSides">
            <wp:wrapPolygon edited="0">
              <wp:start x="0" y="0"/>
              <wp:lineTo x="0" y="21103"/>
              <wp:lineTo x="21237" y="21103"/>
              <wp:lineTo x="2123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24B5">
      <w:rPr>
        <w:color w:val="181818" w:themeColor="text1" w:themeTint="F2"/>
      </w:rPr>
      <w:t>GA No. 883753</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C4F92"/>
    <w:multiLevelType w:val="hybridMultilevel"/>
    <w:tmpl w:val="9F6C8B7A"/>
    <w:lvl w:ilvl="0" w:tplc="4F2016E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626BF"/>
    <w:multiLevelType w:val="hybridMultilevel"/>
    <w:tmpl w:val="555E6620"/>
    <w:lvl w:ilvl="0" w:tplc="75B8AF66">
      <w:start w:val="1"/>
      <w:numFmt w:val="decimal"/>
      <w:lvlText w:val="%1."/>
      <w:lvlJc w:val="left"/>
      <w:pPr>
        <w:ind w:left="360" w:hanging="360"/>
      </w:pPr>
      <w:rPr>
        <w:rFonts w:hint="default"/>
        <w:b/>
        <w:bCs/>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FD3410F"/>
    <w:multiLevelType w:val="hybridMultilevel"/>
    <w:tmpl w:val="709CB2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021775"/>
    <w:multiLevelType w:val="hybridMultilevel"/>
    <w:tmpl w:val="A3EAB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755AFE"/>
    <w:multiLevelType w:val="hybridMultilevel"/>
    <w:tmpl w:val="2F9AB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CA45CB"/>
    <w:multiLevelType w:val="hybridMultilevel"/>
    <w:tmpl w:val="A0A68384"/>
    <w:lvl w:ilvl="0" w:tplc="EB5A7930">
      <w:start w:val="1"/>
      <w:numFmt w:val="bullet"/>
      <w:lvlText w:val="-"/>
      <w:lvlJc w:val="left"/>
      <w:pPr>
        <w:ind w:left="720" w:hanging="360"/>
      </w:pPr>
      <w:rPr>
        <w:rFonts w:ascii="Calibri" w:hAnsi="Calibri" w:hint="default"/>
      </w:rPr>
    </w:lvl>
    <w:lvl w:ilvl="1" w:tplc="9B441FAC">
      <w:start w:val="1"/>
      <w:numFmt w:val="bullet"/>
      <w:lvlText w:val="o"/>
      <w:lvlJc w:val="left"/>
      <w:pPr>
        <w:ind w:left="1440" w:hanging="360"/>
      </w:pPr>
      <w:rPr>
        <w:rFonts w:ascii="Courier New" w:hAnsi="Courier New" w:hint="default"/>
      </w:rPr>
    </w:lvl>
    <w:lvl w:ilvl="2" w:tplc="766EB99A">
      <w:start w:val="1"/>
      <w:numFmt w:val="bullet"/>
      <w:lvlText w:val=""/>
      <w:lvlJc w:val="left"/>
      <w:pPr>
        <w:ind w:left="2160" w:hanging="360"/>
      </w:pPr>
      <w:rPr>
        <w:rFonts w:ascii="Wingdings" w:hAnsi="Wingdings" w:hint="default"/>
      </w:rPr>
    </w:lvl>
    <w:lvl w:ilvl="3" w:tplc="ED9AF38C">
      <w:start w:val="1"/>
      <w:numFmt w:val="bullet"/>
      <w:lvlText w:val=""/>
      <w:lvlJc w:val="left"/>
      <w:pPr>
        <w:ind w:left="2880" w:hanging="360"/>
      </w:pPr>
      <w:rPr>
        <w:rFonts w:ascii="Symbol" w:hAnsi="Symbol" w:hint="default"/>
      </w:rPr>
    </w:lvl>
    <w:lvl w:ilvl="4" w:tplc="023E43B4">
      <w:start w:val="1"/>
      <w:numFmt w:val="bullet"/>
      <w:lvlText w:val="o"/>
      <w:lvlJc w:val="left"/>
      <w:pPr>
        <w:ind w:left="3600" w:hanging="360"/>
      </w:pPr>
      <w:rPr>
        <w:rFonts w:ascii="Courier New" w:hAnsi="Courier New" w:hint="default"/>
      </w:rPr>
    </w:lvl>
    <w:lvl w:ilvl="5" w:tplc="C33A3BFC">
      <w:start w:val="1"/>
      <w:numFmt w:val="bullet"/>
      <w:lvlText w:val=""/>
      <w:lvlJc w:val="left"/>
      <w:pPr>
        <w:ind w:left="4320" w:hanging="360"/>
      </w:pPr>
      <w:rPr>
        <w:rFonts w:ascii="Wingdings" w:hAnsi="Wingdings" w:hint="default"/>
      </w:rPr>
    </w:lvl>
    <w:lvl w:ilvl="6" w:tplc="93FCC23A">
      <w:start w:val="1"/>
      <w:numFmt w:val="bullet"/>
      <w:lvlText w:val=""/>
      <w:lvlJc w:val="left"/>
      <w:pPr>
        <w:ind w:left="5040" w:hanging="360"/>
      </w:pPr>
      <w:rPr>
        <w:rFonts w:ascii="Symbol" w:hAnsi="Symbol" w:hint="default"/>
      </w:rPr>
    </w:lvl>
    <w:lvl w:ilvl="7" w:tplc="BCFA3B5E">
      <w:start w:val="1"/>
      <w:numFmt w:val="bullet"/>
      <w:lvlText w:val="o"/>
      <w:lvlJc w:val="left"/>
      <w:pPr>
        <w:ind w:left="5760" w:hanging="360"/>
      </w:pPr>
      <w:rPr>
        <w:rFonts w:ascii="Courier New" w:hAnsi="Courier New" w:hint="default"/>
      </w:rPr>
    </w:lvl>
    <w:lvl w:ilvl="8" w:tplc="E722C26C">
      <w:start w:val="1"/>
      <w:numFmt w:val="bullet"/>
      <w:lvlText w:val=""/>
      <w:lvlJc w:val="left"/>
      <w:pPr>
        <w:ind w:left="6480" w:hanging="360"/>
      </w:pPr>
      <w:rPr>
        <w:rFonts w:ascii="Wingdings" w:hAnsi="Wingdings" w:hint="default"/>
      </w:rPr>
    </w:lvl>
  </w:abstractNum>
  <w:abstractNum w:abstractNumId="6" w15:restartNumberingAfterBreak="0">
    <w:nsid w:val="4D824B37"/>
    <w:multiLevelType w:val="hybridMultilevel"/>
    <w:tmpl w:val="885A80CA"/>
    <w:lvl w:ilvl="0" w:tplc="62B2A6BE">
      <w:start w:val="1"/>
      <w:numFmt w:val="decimal"/>
      <w:lvlText w:val="%1."/>
      <w:lvlJc w:val="left"/>
      <w:pPr>
        <w:ind w:left="1080" w:hanging="360"/>
      </w:pPr>
    </w:lvl>
    <w:lvl w:ilvl="1" w:tplc="3A121508">
      <w:start w:val="1"/>
      <w:numFmt w:val="lowerLetter"/>
      <w:lvlText w:val="%2."/>
      <w:lvlJc w:val="left"/>
      <w:pPr>
        <w:ind w:left="1800" w:hanging="360"/>
      </w:pPr>
    </w:lvl>
    <w:lvl w:ilvl="2" w:tplc="32A4399C">
      <w:start w:val="1"/>
      <w:numFmt w:val="lowerRoman"/>
      <w:lvlText w:val="%3."/>
      <w:lvlJc w:val="right"/>
      <w:pPr>
        <w:ind w:left="2520" w:hanging="180"/>
      </w:pPr>
    </w:lvl>
    <w:lvl w:ilvl="3" w:tplc="8FE6F2D4">
      <w:start w:val="1"/>
      <w:numFmt w:val="decimal"/>
      <w:lvlText w:val="%4."/>
      <w:lvlJc w:val="left"/>
      <w:pPr>
        <w:ind w:left="3240" w:hanging="360"/>
      </w:pPr>
    </w:lvl>
    <w:lvl w:ilvl="4" w:tplc="5EB83A66">
      <w:start w:val="1"/>
      <w:numFmt w:val="lowerLetter"/>
      <w:lvlText w:val="%5."/>
      <w:lvlJc w:val="left"/>
      <w:pPr>
        <w:ind w:left="3960" w:hanging="360"/>
      </w:pPr>
    </w:lvl>
    <w:lvl w:ilvl="5" w:tplc="E19A4B5A">
      <w:start w:val="1"/>
      <w:numFmt w:val="lowerRoman"/>
      <w:lvlText w:val="%6."/>
      <w:lvlJc w:val="right"/>
      <w:pPr>
        <w:ind w:left="4680" w:hanging="180"/>
      </w:pPr>
    </w:lvl>
    <w:lvl w:ilvl="6" w:tplc="351E0702">
      <w:start w:val="1"/>
      <w:numFmt w:val="decimal"/>
      <w:lvlText w:val="%7."/>
      <w:lvlJc w:val="left"/>
      <w:pPr>
        <w:ind w:left="5400" w:hanging="360"/>
      </w:pPr>
    </w:lvl>
    <w:lvl w:ilvl="7" w:tplc="270AEE74">
      <w:start w:val="1"/>
      <w:numFmt w:val="lowerLetter"/>
      <w:lvlText w:val="%8."/>
      <w:lvlJc w:val="left"/>
      <w:pPr>
        <w:ind w:left="6120" w:hanging="360"/>
      </w:pPr>
    </w:lvl>
    <w:lvl w:ilvl="8" w:tplc="6F768114">
      <w:start w:val="1"/>
      <w:numFmt w:val="lowerRoman"/>
      <w:lvlText w:val="%9."/>
      <w:lvlJc w:val="right"/>
      <w:pPr>
        <w:ind w:left="6840" w:hanging="180"/>
      </w:pPr>
    </w:lvl>
  </w:abstractNum>
  <w:abstractNum w:abstractNumId="7" w15:restartNumberingAfterBreak="0">
    <w:nsid w:val="4E6A7D73"/>
    <w:multiLevelType w:val="hybridMultilevel"/>
    <w:tmpl w:val="DB143FAE"/>
    <w:lvl w:ilvl="0" w:tplc="7868B3C2">
      <w:numFmt w:val="none"/>
      <w:lvlText w:val=""/>
      <w:lvlJc w:val="left"/>
      <w:pPr>
        <w:tabs>
          <w:tab w:val="num" w:pos="360"/>
        </w:tabs>
      </w:pPr>
    </w:lvl>
    <w:lvl w:ilvl="1" w:tplc="B8CCF05A">
      <w:start w:val="1"/>
      <w:numFmt w:val="lowerLetter"/>
      <w:lvlText w:val="%2."/>
      <w:lvlJc w:val="left"/>
      <w:pPr>
        <w:ind w:left="1440" w:hanging="360"/>
      </w:pPr>
    </w:lvl>
    <w:lvl w:ilvl="2" w:tplc="5DEEDFDE">
      <w:start w:val="1"/>
      <w:numFmt w:val="lowerRoman"/>
      <w:lvlText w:val="%3."/>
      <w:lvlJc w:val="right"/>
      <w:pPr>
        <w:ind w:left="2160" w:hanging="180"/>
      </w:pPr>
    </w:lvl>
    <w:lvl w:ilvl="3" w:tplc="DC0C7C3C">
      <w:start w:val="1"/>
      <w:numFmt w:val="decimal"/>
      <w:lvlText w:val="%4."/>
      <w:lvlJc w:val="left"/>
      <w:pPr>
        <w:ind w:left="2880" w:hanging="360"/>
      </w:pPr>
    </w:lvl>
    <w:lvl w:ilvl="4" w:tplc="8F4E0E5C">
      <w:start w:val="1"/>
      <w:numFmt w:val="lowerLetter"/>
      <w:lvlText w:val="%5."/>
      <w:lvlJc w:val="left"/>
      <w:pPr>
        <w:ind w:left="3600" w:hanging="360"/>
      </w:pPr>
    </w:lvl>
    <w:lvl w:ilvl="5" w:tplc="34AAC556">
      <w:start w:val="1"/>
      <w:numFmt w:val="lowerRoman"/>
      <w:lvlText w:val="%6."/>
      <w:lvlJc w:val="right"/>
      <w:pPr>
        <w:ind w:left="4320" w:hanging="180"/>
      </w:pPr>
    </w:lvl>
    <w:lvl w:ilvl="6" w:tplc="183C284E">
      <w:start w:val="1"/>
      <w:numFmt w:val="decimal"/>
      <w:lvlText w:val="%7."/>
      <w:lvlJc w:val="left"/>
      <w:pPr>
        <w:ind w:left="5040" w:hanging="360"/>
      </w:pPr>
    </w:lvl>
    <w:lvl w:ilvl="7" w:tplc="B3C6250C">
      <w:start w:val="1"/>
      <w:numFmt w:val="lowerLetter"/>
      <w:lvlText w:val="%8."/>
      <w:lvlJc w:val="left"/>
      <w:pPr>
        <w:ind w:left="5760" w:hanging="360"/>
      </w:pPr>
    </w:lvl>
    <w:lvl w:ilvl="8" w:tplc="8ACE796C">
      <w:start w:val="1"/>
      <w:numFmt w:val="lowerRoman"/>
      <w:lvlText w:val="%9."/>
      <w:lvlJc w:val="right"/>
      <w:pPr>
        <w:ind w:left="6480" w:hanging="180"/>
      </w:pPr>
    </w:lvl>
  </w:abstractNum>
  <w:abstractNum w:abstractNumId="8" w15:restartNumberingAfterBreak="0">
    <w:nsid w:val="51307164"/>
    <w:multiLevelType w:val="hybridMultilevel"/>
    <w:tmpl w:val="CBE6D1D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4AB7062"/>
    <w:multiLevelType w:val="multilevel"/>
    <w:tmpl w:val="2896705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63EF0792"/>
    <w:multiLevelType w:val="multilevel"/>
    <w:tmpl w:val="3F282D7E"/>
    <w:lvl w:ilvl="0">
      <w:start w:val="1"/>
      <w:numFmt w:val="decimal"/>
      <w:pStyle w:val="Heading1"/>
      <w:lvlText w:val="%1"/>
      <w:lvlJc w:val="left"/>
      <w:pPr>
        <w:ind w:left="727" w:hanging="431"/>
      </w:pPr>
      <w:rPr>
        <w:color w:val="002244"/>
      </w:rPr>
    </w:lvl>
    <w:lvl w:ilvl="1">
      <w:start w:val="1"/>
      <w:numFmt w:val="decimal"/>
      <w:pStyle w:val="Heading2"/>
      <w:lvlText w:val="%1.%2"/>
      <w:lvlJc w:val="left"/>
      <w:pPr>
        <w:ind w:left="444" w:hanging="431"/>
      </w:pPr>
      <w:rPr>
        <w:color w:val="0075B0"/>
      </w:rPr>
    </w:lvl>
    <w:lvl w:ilvl="2">
      <w:start w:val="1"/>
      <w:numFmt w:val="decimal"/>
      <w:pStyle w:val="Heading3"/>
      <w:lvlText w:val="%1.%2.%3"/>
      <w:lvlJc w:val="left"/>
      <w:pPr>
        <w:ind w:left="1511" w:hanging="431"/>
      </w:pPr>
      <w:rPr>
        <w:color w:val="0075B0"/>
      </w:rPr>
    </w:lvl>
    <w:lvl w:ilvl="3">
      <w:start w:val="1"/>
      <w:numFmt w:val="decimal"/>
      <w:pStyle w:val="Heading4"/>
      <w:lvlText w:val="%1.%2.%3.%4"/>
      <w:lvlJc w:val="left"/>
      <w:pPr>
        <w:ind w:left="444" w:hanging="431"/>
      </w:pPr>
    </w:lvl>
    <w:lvl w:ilvl="4">
      <w:start w:val="1"/>
      <w:numFmt w:val="decimal"/>
      <w:pStyle w:val="Heading5"/>
      <w:lvlText w:val="%1.%2.%3.%4.%5"/>
      <w:lvlJc w:val="left"/>
      <w:pPr>
        <w:ind w:left="444" w:hanging="431"/>
      </w:pPr>
    </w:lvl>
    <w:lvl w:ilvl="5">
      <w:start w:val="1"/>
      <w:numFmt w:val="decimal"/>
      <w:pStyle w:val="Heading6"/>
      <w:lvlText w:val="%1.%2.%3.%4.%5.%6"/>
      <w:lvlJc w:val="left"/>
      <w:pPr>
        <w:ind w:left="444" w:hanging="431"/>
      </w:pPr>
    </w:lvl>
    <w:lvl w:ilvl="6">
      <w:start w:val="1"/>
      <w:numFmt w:val="decimal"/>
      <w:lvlText w:val="%1.%2.%3.%4.%5.%6.%7"/>
      <w:lvlJc w:val="left"/>
      <w:pPr>
        <w:ind w:left="444" w:hanging="431"/>
      </w:pPr>
    </w:lvl>
    <w:lvl w:ilvl="7">
      <w:start w:val="1"/>
      <w:numFmt w:val="decimal"/>
      <w:lvlText w:val="%1.%2.%3.%4.%5.%6.%7.%8"/>
      <w:lvlJc w:val="left"/>
      <w:pPr>
        <w:ind w:left="444" w:hanging="431"/>
      </w:pPr>
    </w:lvl>
    <w:lvl w:ilvl="8">
      <w:start w:val="1"/>
      <w:numFmt w:val="decimal"/>
      <w:lvlText w:val="%1.%2.%3.%4.%5.%6.%7.%8.%9"/>
      <w:lvlJc w:val="left"/>
      <w:pPr>
        <w:ind w:left="444" w:hanging="431"/>
      </w:pPr>
    </w:lvl>
  </w:abstractNum>
  <w:abstractNum w:abstractNumId="11" w15:restartNumberingAfterBreak="0">
    <w:nsid w:val="64F00AD9"/>
    <w:multiLevelType w:val="hybridMultilevel"/>
    <w:tmpl w:val="F7F2A48E"/>
    <w:lvl w:ilvl="0" w:tplc="4F2016E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7113D3E"/>
    <w:multiLevelType w:val="hybridMultilevel"/>
    <w:tmpl w:val="6D025AA0"/>
    <w:lvl w:ilvl="0" w:tplc="FFFFFFFF">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ED7430F"/>
    <w:multiLevelType w:val="hybridMultilevel"/>
    <w:tmpl w:val="3D0C4CD6"/>
    <w:lvl w:ilvl="0" w:tplc="69F69F2E">
      <w:start w:val="130"/>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8"/>
  </w:num>
  <w:num w:numId="5">
    <w:abstractNumId w:val="9"/>
  </w:num>
  <w:num w:numId="6">
    <w:abstractNumId w:val="10"/>
  </w:num>
  <w:num w:numId="7">
    <w:abstractNumId w:val="1"/>
  </w:num>
  <w:num w:numId="8">
    <w:abstractNumId w:val="4"/>
  </w:num>
  <w:num w:numId="9">
    <w:abstractNumId w:val="0"/>
  </w:num>
  <w:num w:numId="10">
    <w:abstractNumId w:val="11"/>
  </w:num>
  <w:num w:numId="11">
    <w:abstractNumId w:val="12"/>
  </w:num>
  <w:num w:numId="12">
    <w:abstractNumId w:val="10"/>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3"/>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cxNDcwtzAyNTWytDBS0lEKTi0uzszPAykwrAUAu2VZMiwAAAA="/>
  </w:docVars>
  <w:rsids>
    <w:rsidRoot w:val="0093640B"/>
    <w:rsid w:val="00000A29"/>
    <w:rsid w:val="0000120D"/>
    <w:rsid w:val="00001DE7"/>
    <w:rsid w:val="00004694"/>
    <w:rsid w:val="000067B3"/>
    <w:rsid w:val="00007050"/>
    <w:rsid w:val="0000757F"/>
    <w:rsid w:val="00012A70"/>
    <w:rsid w:val="00012BF4"/>
    <w:rsid w:val="00013041"/>
    <w:rsid w:val="00013D65"/>
    <w:rsid w:val="000170FF"/>
    <w:rsid w:val="00017D36"/>
    <w:rsid w:val="00020333"/>
    <w:rsid w:val="000205AF"/>
    <w:rsid w:val="00023DC2"/>
    <w:rsid w:val="00031F0B"/>
    <w:rsid w:val="00032649"/>
    <w:rsid w:val="00033047"/>
    <w:rsid w:val="000336AA"/>
    <w:rsid w:val="0003492A"/>
    <w:rsid w:val="00034A0A"/>
    <w:rsid w:val="00036667"/>
    <w:rsid w:val="00037058"/>
    <w:rsid w:val="000378E4"/>
    <w:rsid w:val="00037B04"/>
    <w:rsid w:val="00037DA9"/>
    <w:rsid w:val="00041AEA"/>
    <w:rsid w:val="00042270"/>
    <w:rsid w:val="00044EB3"/>
    <w:rsid w:val="00045982"/>
    <w:rsid w:val="000505E6"/>
    <w:rsid w:val="00050650"/>
    <w:rsid w:val="0005204F"/>
    <w:rsid w:val="00056EF1"/>
    <w:rsid w:val="0005FE0B"/>
    <w:rsid w:val="0006055E"/>
    <w:rsid w:val="00061ED1"/>
    <w:rsid w:val="0006215C"/>
    <w:rsid w:val="00063760"/>
    <w:rsid w:val="00065026"/>
    <w:rsid w:val="0006573F"/>
    <w:rsid w:val="0006589A"/>
    <w:rsid w:val="00070184"/>
    <w:rsid w:val="000733B1"/>
    <w:rsid w:val="00073CF6"/>
    <w:rsid w:val="00073D86"/>
    <w:rsid w:val="00073F25"/>
    <w:rsid w:val="00074443"/>
    <w:rsid w:val="00074D66"/>
    <w:rsid w:val="00074FBC"/>
    <w:rsid w:val="00075C14"/>
    <w:rsid w:val="000808D9"/>
    <w:rsid w:val="000841E2"/>
    <w:rsid w:val="00091493"/>
    <w:rsid w:val="00091678"/>
    <w:rsid w:val="00092038"/>
    <w:rsid w:val="000924CE"/>
    <w:rsid w:val="00092EB5"/>
    <w:rsid w:val="00093632"/>
    <w:rsid w:val="00095524"/>
    <w:rsid w:val="00095ECB"/>
    <w:rsid w:val="00096512"/>
    <w:rsid w:val="000966E5"/>
    <w:rsid w:val="000A128B"/>
    <w:rsid w:val="000A5C5F"/>
    <w:rsid w:val="000A6122"/>
    <w:rsid w:val="000A6226"/>
    <w:rsid w:val="000A688B"/>
    <w:rsid w:val="000A729C"/>
    <w:rsid w:val="000A72A2"/>
    <w:rsid w:val="000B2E7F"/>
    <w:rsid w:val="000B393A"/>
    <w:rsid w:val="000B40B6"/>
    <w:rsid w:val="000B46FF"/>
    <w:rsid w:val="000B4F44"/>
    <w:rsid w:val="000B56C1"/>
    <w:rsid w:val="000B6A1F"/>
    <w:rsid w:val="000C1930"/>
    <w:rsid w:val="000C2D0B"/>
    <w:rsid w:val="000C4706"/>
    <w:rsid w:val="000C6781"/>
    <w:rsid w:val="000C6BD3"/>
    <w:rsid w:val="000D093D"/>
    <w:rsid w:val="000D0B84"/>
    <w:rsid w:val="000D1B57"/>
    <w:rsid w:val="000D319F"/>
    <w:rsid w:val="000D4C23"/>
    <w:rsid w:val="000D7D19"/>
    <w:rsid w:val="000E166E"/>
    <w:rsid w:val="000E1923"/>
    <w:rsid w:val="000E35B6"/>
    <w:rsid w:val="000E539E"/>
    <w:rsid w:val="000E56EE"/>
    <w:rsid w:val="000F0990"/>
    <w:rsid w:val="000F2ADF"/>
    <w:rsid w:val="000F2BDB"/>
    <w:rsid w:val="000F4A5B"/>
    <w:rsid w:val="000F77DD"/>
    <w:rsid w:val="001008E6"/>
    <w:rsid w:val="001065BD"/>
    <w:rsid w:val="00106A9B"/>
    <w:rsid w:val="00106F23"/>
    <w:rsid w:val="001110D7"/>
    <w:rsid w:val="00111D02"/>
    <w:rsid w:val="001135A2"/>
    <w:rsid w:val="0011416A"/>
    <w:rsid w:val="0011532E"/>
    <w:rsid w:val="00115433"/>
    <w:rsid w:val="00115841"/>
    <w:rsid w:val="001168F0"/>
    <w:rsid w:val="00121EAE"/>
    <w:rsid w:val="00131432"/>
    <w:rsid w:val="00131E03"/>
    <w:rsid w:val="001341C3"/>
    <w:rsid w:val="00135465"/>
    <w:rsid w:val="00136F65"/>
    <w:rsid w:val="00137154"/>
    <w:rsid w:val="00140821"/>
    <w:rsid w:val="001417A6"/>
    <w:rsid w:val="00143C14"/>
    <w:rsid w:val="001449EB"/>
    <w:rsid w:val="00146BF7"/>
    <w:rsid w:val="001517EB"/>
    <w:rsid w:val="00151A87"/>
    <w:rsid w:val="00152413"/>
    <w:rsid w:val="001534E1"/>
    <w:rsid w:val="001542BF"/>
    <w:rsid w:val="001552AF"/>
    <w:rsid w:val="001552F1"/>
    <w:rsid w:val="00156753"/>
    <w:rsid w:val="0015719B"/>
    <w:rsid w:val="001574DF"/>
    <w:rsid w:val="0015791B"/>
    <w:rsid w:val="00160DC6"/>
    <w:rsid w:val="001624E8"/>
    <w:rsid w:val="00164DD5"/>
    <w:rsid w:val="00164F88"/>
    <w:rsid w:val="00165FFA"/>
    <w:rsid w:val="00166C12"/>
    <w:rsid w:val="00172BB8"/>
    <w:rsid w:val="00181F4B"/>
    <w:rsid w:val="001824B0"/>
    <w:rsid w:val="00182583"/>
    <w:rsid w:val="00182601"/>
    <w:rsid w:val="00182AD5"/>
    <w:rsid w:val="00182E78"/>
    <w:rsid w:val="00184277"/>
    <w:rsid w:val="0018446B"/>
    <w:rsid w:val="00184EBA"/>
    <w:rsid w:val="0018643C"/>
    <w:rsid w:val="001908AE"/>
    <w:rsid w:val="0019357C"/>
    <w:rsid w:val="0019547B"/>
    <w:rsid w:val="00196C3B"/>
    <w:rsid w:val="001A05CB"/>
    <w:rsid w:val="001A23BA"/>
    <w:rsid w:val="001A33C3"/>
    <w:rsid w:val="001A5454"/>
    <w:rsid w:val="001A6FAE"/>
    <w:rsid w:val="001A6FD6"/>
    <w:rsid w:val="001A7DB9"/>
    <w:rsid w:val="001B1935"/>
    <w:rsid w:val="001B3050"/>
    <w:rsid w:val="001B3C27"/>
    <w:rsid w:val="001B711A"/>
    <w:rsid w:val="001B7BE0"/>
    <w:rsid w:val="001BB8ED"/>
    <w:rsid w:val="001C01FE"/>
    <w:rsid w:val="001C6F85"/>
    <w:rsid w:val="001C7BD7"/>
    <w:rsid w:val="001D2647"/>
    <w:rsid w:val="001D2DD5"/>
    <w:rsid w:val="001D4DD0"/>
    <w:rsid w:val="001D5822"/>
    <w:rsid w:val="001D5FD8"/>
    <w:rsid w:val="001E0893"/>
    <w:rsid w:val="001E0EAB"/>
    <w:rsid w:val="001E179D"/>
    <w:rsid w:val="001E32AF"/>
    <w:rsid w:val="001E71C5"/>
    <w:rsid w:val="001F4496"/>
    <w:rsid w:val="001F51CD"/>
    <w:rsid w:val="001F7AFF"/>
    <w:rsid w:val="002001F7"/>
    <w:rsid w:val="00200380"/>
    <w:rsid w:val="0020069D"/>
    <w:rsid w:val="00200B2B"/>
    <w:rsid w:val="002015DD"/>
    <w:rsid w:val="00204851"/>
    <w:rsid w:val="00213D1A"/>
    <w:rsid w:val="00215704"/>
    <w:rsid w:val="002161B6"/>
    <w:rsid w:val="002165E2"/>
    <w:rsid w:val="002174B6"/>
    <w:rsid w:val="00221F59"/>
    <w:rsid w:val="00223739"/>
    <w:rsid w:val="0022473B"/>
    <w:rsid w:val="00224C60"/>
    <w:rsid w:val="00226D9C"/>
    <w:rsid w:val="00233B02"/>
    <w:rsid w:val="002362A0"/>
    <w:rsid w:val="00236E60"/>
    <w:rsid w:val="00237FBC"/>
    <w:rsid w:val="002405DB"/>
    <w:rsid w:val="002412FC"/>
    <w:rsid w:val="002433E0"/>
    <w:rsid w:val="002445F6"/>
    <w:rsid w:val="00244B79"/>
    <w:rsid w:val="0024718A"/>
    <w:rsid w:val="00251036"/>
    <w:rsid w:val="00253BF1"/>
    <w:rsid w:val="00255BF0"/>
    <w:rsid w:val="00260E94"/>
    <w:rsid w:val="00261412"/>
    <w:rsid w:val="00261E05"/>
    <w:rsid w:val="002626D5"/>
    <w:rsid w:val="0026326A"/>
    <w:rsid w:val="0026511E"/>
    <w:rsid w:val="002679C9"/>
    <w:rsid w:val="00272780"/>
    <w:rsid w:val="00274C43"/>
    <w:rsid w:val="00274F0D"/>
    <w:rsid w:val="0027596C"/>
    <w:rsid w:val="00277726"/>
    <w:rsid w:val="0028142C"/>
    <w:rsid w:val="002821F1"/>
    <w:rsid w:val="00282551"/>
    <w:rsid w:val="00287BA4"/>
    <w:rsid w:val="002908EC"/>
    <w:rsid w:val="00295F62"/>
    <w:rsid w:val="002961F6"/>
    <w:rsid w:val="00296271"/>
    <w:rsid w:val="00297246"/>
    <w:rsid w:val="00297B5D"/>
    <w:rsid w:val="002A0A07"/>
    <w:rsid w:val="002A1BA0"/>
    <w:rsid w:val="002A2257"/>
    <w:rsid w:val="002A3813"/>
    <w:rsid w:val="002A4864"/>
    <w:rsid w:val="002A5ADC"/>
    <w:rsid w:val="002A5FAF"/>
    <w:rsid w:val="002A6960"/>
    <w:rsid w:val="002B00C0"/>
    <w:rsid w:val="002B02F7"/>
    <w:rsid w:val="002B3D1A"/>
    <w:rsid w:val="002B49CB"/>
    <w:rsid w:val="002B5A63"/>
    <w:rsid w:val="002C0DA4"/>
    <w:rsid w:val="002C1CDD"/>
    <w:rsid w:val="002C591F"/>
    <w:rsid w:val="002D0318"/>
    <w:rsid w:val="002D0534"/>
    <w:rsid w:val="002D1131"/>
    <w:rsid w:val="002D131D"/>
    <w:rsid w:val="002D2C40"/>
    <w:rsid w:val="002D541D"/>
    <w:rsid w:val="002D6984"/>
    <w:rsid w:val="002E0EBC"/>
    <w:rsid w:val="002E2B36"/>
    <w:rsid w:val="002E4890"/>
    <w:rsid w:val="002E5057"/>
    <w:rsid w:val="002E78F9"/>
    <w:rsid w:val="002EA22A"/>
    <w:rsid w:val="002F001F"/>
    <w:rsid w:val="002F1723"/>
    <w:rsid w:val="002F2E21"/>
    <w:rsid w:val="002F528B"/>
    <w:rsid w:val="002F5C33"/>
    <w:rsid w:val="002F5D9F"/>
    <w:rsid w:val="002F60AD"/>
    <w:rsid w:val="002F73A3"/>
    <w:rsid w:val="002F760E"/>
    <w:rsid w:val="002F7E75"/>
    <w:rsid w:val="0030082F"/>
    <w:rsid w:val="003008C1"/>
    <w:rsid w:val="00301D15"/>
    <w:rsid w:val="00301F56"/>
    <w:rsid w:val="0030361A"/>
    <w:rsid w:val="003055BB"/>
    <w:rsid w:val="003066F9"/>
    <w:rsid w:val="00306967"/>
    <w:rsid w:val="00311698"/>
    <w:rsid w:val="0031380E"/>
    <w:rsid w:val="00315401"/>
    <w:rsid w:val="003171AF"/>
    <w:rsid w:val="00320083"/>
    <w:rsid w:val="003216CE"/>
    <w:rsid w:val="003226E3"/>
    <w:rsid w:val="0032316F"/>
    <w:rsid w:val="00323461"/>
    <w:rsid w:val="00324C57"/>
    <w:rsid w:val="00327122"/>
    <w:rsid w:val="00331EFA"/>
    <w:rsid w:val="00334617"/>
    <w:rsid w:val="0033563B"/>
    <w:rsid w:val="00336DB9"/>
    <w:rsid w:val="0034036F"/>
    <w:rsid w:val="00340A14"/>
    <w:rsid w:val="0034170A"/>
    <w:rsid w:val="00342B64"/>
    <w:rsid w:val="0034319B"/>
    <w:rsid w:val="00347B73"/>
    <w:rsid w:val="003500DA"/>
    <w:rsid w:val="00351318"/>
    <w:rsid w:val="00352671"/>
    <w:rsid w:val="00352F47"/>
    <w:rsid w:val="00357301"/>
    <w:rsid w:val="00364987"/>
    <w:rsid w:val="003655C3"/>
    <w:rsid w:val="00365985"/>
    <w:rsid w:val="00365E05"/>
    <w:rsid w:val="003667F9"/>
    <w:rsid w:val="003706AB"/>
    <w:rsid w:val="00370CF1"/>
    <w:rsid w:val="0037144D"/>
    <w:rsid w:val="00372792"/>
    <w:rsid w:val="00373BE4"/>
    <w:rsid w:val="00374C57"/>
    <w:rsid w:val="00375E04"/>
    <w:rsid w:val="003842FD"/>
    <w:rsid w:val="003869C4"/>
    <w:rsid w:val="003870A1"/>
    <w:rsid w:val="0039237F"/>
    <w:rsid w:val="0039263A"/>
    <w:rsid w:val="00393684"/>
    <w:rsid w:val="0039418C"/>
    <w:rsid w:val="00394CCB"/>
    <w:rsid w:val="003960CD"/>
    <w:rsid w:val="0039618E"/>
    <w:rsid w:val="00396378"/>
    <w:rsid w:val="00396AC7"/>
    <w:rsid w:val="00396E12"/>
    <w:rsid w:val="00397733"/>
    <w:rsid w:val="003A125E"/>
    <w:rsid w:val="003A21E5"/>
    <w:rsid w:val="003A2D2A"/>
    <w:rsid w:val="003A2F75"/>
    <w:rsid w:val="003A3931"/>
    <w:rsid w:val="003A3EB0"/>
    <w:rsid w:val="003A404B"/>
    <w:rsid w:val="003A4A25"/>
    <w:rsid w:val="003A6712"/>
    <w:rsid w:val="003A78CE"/>
    <w:rsid w:val="003B3E67"/>
    <w:rsid w:val="003B4A74"/>
    <w:rsid w:val="003B59FC"/>
    <w:rsid w:val="003B69A6"/>
    <w:rsid w:val="003B6E80"/>
    <w:rsid w:val="003C01AE"/>
    <w:rsid w:val="003C08FF"/>
    <w:rsid w:val="003C0D25"/>
    <w:rsid w:val="003C20A0"/>
    <w:rsid w:val="003C2E7D"/>
    <w:rsid w:val="003C2F0D"/>
    <w:rsid w:val="003C5F36"/>
    <w:rsid w:val="003D0C09"/>
    <w:rsid w:val="003D21C6"/>
    <w:rsid w:val="003D3C72"/>
    <w:rsid w:val="003D4521"/>
    <w:rsid w:val="003D5DE1"/>
    <w:rsid w:val="003D5F09"/>
    <w:rsid w:val="003E00F6"/>
    <w:rsid w:val="003E03DC"/>
    <w:rsid w:val="003E0693"/>
    <w:rsid w:val="003E17EA"/>
    <w:rsid w:val="003E20A1"/>
    <w:rsid w:val="003E3488"/>
    <w:rsid w:val="003E4861"/>
    <w:rsid w:val="003E531E"/>
    <w:rsid w:val="003E54BC"/>
    <w:rsid w:val="003E7AAC"/>
    <w:rsid w:val="003E7D8B"/>
    <w:rsid w:val="003F0947"/>
    <w:rsid w:val="003F1488"/>
    <w:rsid w:val="003F16EA"/>
    <w:rsid w:val="003F3946"/>
    <w:rsid w:val="003F6460"/>
    <w:rsid w:val="003F6BC5"/>
    <w:rsid w:val="0040065C"/>
    <w:rsid w:val="00400C75"/>
    <w:rsid w:val="00402078"/>
    <w:rsid w:val="0040379B"/>
    <w:rsid w:val="004048A8"/>
    <w:rsid w:val="004055F3"/>
    <w:rsid w:val="004064D3"/>
    <w:rsid w:val="004073E2"/>
    <w:rsid w:val="004123AF"/>
    <w:rsid w:val="00414443"/>
    <w:rsid w:val="00414C54"/>
    <w:rsid w:val="00414F43"/>
    <w:rsid w:val="00416CBA"/>
    <w:rsid w:val="00420F25"/>
    <w:rsid w:val="004216E0"/>
    <w:rsid w:val="00425CCC"/>
    <w:rsid w:val="00426573"/>
    <w:rsid w:val="004306D6"/>
    <w:rsid w:val="00433288"/>
    <w:rsid w:val="00433F18"/>
    <w:rsid w:val="0043415A"/>
    <w:rsid w:val="00434631"/>
    <w:rsid w:val="00435509"/>
    <w:rsid w:val="00435758"/>
    <w:rsid w:val="00435C76"/>
    <w:rsid w:val="004373E0"/>
    <w:rsid w:val="0043799B"/>
    <w:rsid w:val="00437C33"/>
    <w:rsid w:val="00443C5F"/>
    <w:rsid w:val="004450A2"/>
    <w:rsid w:val="0044535B"/>
    <w:rsid w:val="004453B9"/>
    <w:rsid w:val="00450406"/>
    <w:rsid w:val="00451C87"/>
    <w:rsid w:val="00452B7B"/>
    <w:rsid w:val="0045629F"/>
    <w:rsid w:val="00460032"/>
    <w:rsid w:val="004643B9"/>
    <w:rsid w:val="00473805"/>
    <w:rsid w:val="00474105"/>
    <w:rsid w:val="0047453C"/>
    <w:rsid w:val="00476B01"/>
    <w:rsid w:val="00476C39"/>
    <w:rsid w:val="00477468"/>
    <w:rsid w:val="004774A4"/>
    <w:rsid w:val="00482636"/>
    <w:rsid w:val="00482E50"/>
    <w:rsid w:val="004834E2"/>
    <w:rsid w:val="00486410"/>
    <w:rsid w:val="00486E07"/>
    <w:rsid w:val="00487622"/>
    <w:rsid w:val="004907BD"/>
    <w:rsid w:val="00491B9B"/>
    <w:rsid w:val="00492572"/>
    <w:rsid w:val="004933B0"/>
    <w:rsid w:val="004934BA"/>
    <w:rsid w:val="004958E8"/>
    <w:rsid w:val="004A4F22"/>
    <w:rsid w:val="004B1348"/>
    <w:rsid w:val="004B39A6"/>
    <w:rsid w:val="004B5BAB"/>
    <w:rsid w:val="004B5E01"/>
    <w:rsid w:val="004B6159"/>
    <w:rsid w:val="004B81B7"/>
    <w:rsid w:val="004C0AD6"/>
    <w:rsid w:val="004C14E2"/>
    <w:rsid w:val="004C2A72"/>
    <w:rsid w:val="004C57FE"/>
    <w:rsid w:val="004C6EB7"/>
    <w:rsid w:val="004D4CE4"/>
    <w:rsid w:val="004D5B22"/>
    <w:rsid w:val="004D6533"/>
    <w:rsid w:val="004D7265"/>
    <w:rsid w:val="004E3CED"/>
    <w:rsid w:val="004E47B6"/>
    <w:rsid w:val="004E5873"/>
    <w:rsid w:val="004E5A2B"/>
    <w:rsid w:val="004E5C3D"/>
    <w:rsid w:val="004F2BC6"/>
    <w:rsid w:val="004F66B3"/>
    <w:rsid w:val="004F7508"/>
    <w:rsid w:val="00500078"/>
    <w:rsid w:val="005007D3"/>
    <w:rsid w:val="0050439D"/>
    <w:rsid w:val="00506D77"/>
    <w:rsid w:val="0051145B"/>
    <w:rsid w:val="0051273D"/>
    <w:rsid w:val="00512A9B"/>
    <w:rsid w:val="0051793C"/>
    <w:rsid w:val="005202D0"/>
    <w:rsid w:val="00523991"/>
    <w:rsid w:val="00523C7A"/>
    <w:rsid w:val="005260B5"/>
    <w:rsid w:val="00530FD4"/>
    <w:rsid w:val="00533B84"/>
    <w:rsid w:val="00534528"/>
    <w:rsid w:val="00534DA6"/>
    <w:rsid w:val="00535E88"/>
    <w:rsid w:val="005370BB"/>
    <w:rsid w:val="00537EEB"/>
    <w:rsid w:val="005422A7"/>
    <w:rsid w:val="00542E96"/>
    <w:rsid w:val="005435AF"/>
    <w:rsid w:val="00543777"/>
    <w:rsid w:val="0054596A"/>
    <w:rsid w:val="00545D1B"/>
    <w:rsid w:val="005460F0"/>
    <w:rsid w:val="00546171"/>
    <w:rsid w:val="00547654"/>
    <w:rsid w:val="005525CB"/>
    <w:rsid w:val="00553B46"/>
    <w:rsid w:val="00553C3C"/>
    <w:rsid w:val="00559408"/>
    <w:rsid w:val="00561068"/>
    <w:rsid w:val="0056168F"/>
    <w:rsid w:val="00561BDA"/>
    <w:rsid w:val="00562E59"/>
    <w:rsid w:val="005712EC"/>
    <w:rsid w:val="0057262F"/>
    <w:rsid w:val="00572DB8"/>
    <w:rsid w:val="00573EDB"/>
    <w:rsid w:val="00574D49"/>
    <w:rsid w:val="005764AB"/>
    <w:rsid w:val="00577F13"/>
    <w:rsid w:val="005807A1"/>
    <w:rsid w:val="00581868"/>
    <w:rsid w:val="00583F55"/>
    <w:rsid w:val="00584D96"/>
    <w:rsid w:val="00584E12"/>
    <w:rsid w:val="00585DEE"/>
    <w:rsid w:val="0058663D"/>
    <w:rsid w:val="00590100"/>
    <w:rsid w:val="00590AAA"/>
    <w:rsid w:val="00590C5F"/>
    <w:rsid w:val="00591747"/>
    <w:rsid w:val="00591C74"/>
    <w:rsid w:val="00592210"/>
    <w:rsid w:val="00592721"/>
    <w:rsid w:val="00597B64"/>
    <w:rsid w:val="005A24D1"/>
    <w:rsid w:val="005A2C5B"/>
    <w:rsid w:val="005A3669"/>
    <w:rsid w:val="005A3A79"/>
    <w:rsid w:val="005A5DC1"/>
    <w:rsid w:val="005A60F0"/>
    <w:rsid w:val="005A6766"/>
    <w:rsid w:val="005A6BFC"/>
    <w:rsid w:val="005A7931"/>
    <w:rsid w:val="005A7A1F"/>
    <w:rsid w:val="005A7A2C"/>
    <w:rsid w:val="005B382E"/>
    <w:rsid w:val="005B4BC3"/>
    <w:rsid w:val="005C36F8"/>
    <w:rsid w:val="005C5220"/>
    <w:rsid w:val="005D0FC1"/>
    <w:rsid w:val="005D3EAA"/>
    <w:rsid w:val="005D45BB"/>
    <w:rsid w:val="005D4798"/>
    <w:rsid w:val="005D5634"/>
    <w:rsid w:val="005D5B93"/>
    <w:rsid w:val="005D6854"/>
    <w:rsid w:val="005D7FBC"/>
    <w:rsid w:val="005E0093"/>
    <w:rsid w:val="005E1FE5"/>
    <w:rsid w:val="005E294E"/>
    <w:rsid w:val="005E4564"/>
    <w:rsid w:val="005E586D"/>
    <w:rsid w:val="005F04A1"/>
    <w:rsid w:val="005F107D"/>
    <w:rsid w:val="005F4385"/>
    <w:rsid w:val="005F508E"/>
    <w:rsid w:val="005F6405"/>
    <w:rsid w:val="005F6E4F"/>
    <w:rsid w:val="00602387"/>
    <w:rsid w:val="006047EB"/>
    <w:rsid w:val="00605250"/>
    <w:rsid w:val="0060636D"/>
    <w:rsid w:val="00606DF0"/>
    <w:rsid w:val="00607FA0"/>
    <w:rsid w:val="00607FF1"/>
    <w:rsid w:val="00611C6F"/>
    <w:rsid w:val="006137E9"/>
    <w:rsid w:val="00613CE3"/>
    <w:rsid w:val="0061477A"/>
    <w:rsid w:val="0061EAE4"/>
    <w:rsid w:val="0062045F"/>
    <w:rsid w:val="006224F9"/>
    <w:rsid w:val="00622CF8"/>
    <w:rsid w:val="006245CD"/>
    <w:rsid w:val="006311F4"/>
    <w:rsid w:val="006312E6"/>
    <w:rsid w:val="00634998"/>
    <w:rsid w:val="00634D7F"/>
    <w:rsid w:val="00635632"/>
    <w:rsid w:val="006357D7"/>
    <w:rsid w:val="00636727"/>
    <w:rsid w:val="00637B59"/>
    <w:rsid w:val="00637DD6"/>
    <w:rsid w:val="00640721"/>
    <w:rsid w:val="0064127C"/>
    <w:rsid w:val="00642C02"/>
    <w:rsid w:val="00643BE2"/>
    <w:rsid w:val="00644793"/>
    <w:rsid w:val="00645867"/>
    <w:rsid w:val="006459D8"/>
    <w:rsid w:val="00645D6D"/>
    <w:rsid w:val="006468A3"/>
    <w:rsid w:val="00650B23"/>
    <w:rsid w:val="0065136E"/>
    <w:rsid w:val="0065365F"/>
    <w:rsid w:val="00655761"/>
    <w:rsid w:val="006569ED"/>
    <w:rsid w:val="00657DB7"/>
    <w:rsid w:val="00660F37"/>
    <w:rsid w:val="00663E00"/>
    <w:rsid w:val="0066402D"/>
    <w:rsid w:val="0066578C"/>
    <w:rsid w:val="00665AC2"/>
    <w:rsid w:val="00667846"/>
    <w:rsid w:val="00671FF9"/>
    <w:rsid w:val="00672453"/>
    <w:rsid w:val="006732B2"/>
    <w:rsid w:val="0067376F"/>
    <w:rsid w:val="00673908"/>
    <w:rsid w:val="0067430A"/>
    <w:rsid w:val="0067451E"/>
    <w:rsid w:val="006776E9"/>
    <w:rsid w:val="0068051A"/>
    <w:rsid w:val="00681472"/>
    <w:rsid w:val="00681948"/>
    <w:rsid w:val="00681C49"/>
    <w:rsid w:val="006852EF"/>
    <w:rsid w:val="0068583B"/>
    <w:rsid w:val="0068794A"/>
    <w:rsid w:val="006928C2"/>
    <w:rsid w:val="006937CD"/>
    <w:rsid w:val="00694B02"/>
    <w:rsid w:val="00697070"/>
    <w:rsid w:val="006A05E9"/>
    <w:rsid w:val="006A21C8"/>
    <w:rsid w:val="006A5BF0"/>
    <w:rsid w:val="006A72D0"/>
    <w:rsid w:val="006B02AF"/>
    <w:rsid w:val="006B02F8"/>
    <w:rsid w:val="006B3FE0"/>
    <w:rsid w:val="006B4541"/>
    <w:rsid w:val="006B4F51"/>
    <w:rsid w:val="006B5B33"/>
    <w:rsid w:val="006B68CE"/>
    <w:rsid w:val="006B6994"/>
    <w:rsid w:val="006B6B24"/>
    <w:rsid w:val="006B6F0D"/>
    <w:rsid w:val="006B7DF1"/>
    <w:rsid w:val="006C24DC"/>
    <w:rsid w:val="006C3CC7"/>
    <w:rsid w:val="006C622D"/>
    <w:rsid w:val="006C7288"/>
    <w:rsid w:val="006C794C"/>
    <w:rsid w:val="006C7BD1"/>
    <w:rsid w:val="006D4736"/>
    <w:rsid w:val="006E03FB"/>
    <w:rsid w:val="006E0704"/>
    <w:rsid w:val="006E0E14"/>
    <w:rsid w:val="006E0F81"/>
    <w:rsid w:val="006E3784"/>
    <w:rsid w:val="006E3D75"/>
    <w:rsid w:val="006E3F77"/>
    <w:rsid w:val="006E6B77"/>
    <w:rsid w:val="006E744E"/>
    <w:rsid w:val="006F03B3"/>
    <w:rsid w:val="006F2997"/>
    <w:rsid w:val="006F332D"/>
    <w:rsid w:val="006F342F"/>
    <w:rsid w:val="006F3560"/>
    <w:rsid w:val="006F36D3"/>
    <w:rsid w:val="006F38DB"/>
    <w:rsid w:val="006F570C"/>
    <w:rsid w:val="007035F8"/>
    <w:rsid w:val="00703BB7"/>
    <w:rsid w:val="00704DA8"/>
    <w:rsid w:val="007101AF"/>
    <w:rsid w:val="007104AD"/>
    <w:rsid w:val="00710F7F"/>
    <w:rsid w:val="00713C20"/>
    <w:rsid w:val="007152E6"/>
    <w:rsid w:val="00716141"/>
    <w:rsid w:val="00717603"/>
    <w:rsid w:val="00717E9A"/>
    <w:rsid w:val="00720985"/>
    <w:rsid w:val="007258A1"/>
    <w:rsid w:val="00725D15"/>
    <w:rsid w:val="00727034"/>
    <w:rsid w:val="007279A1"/>
    <w:rsid w:val="00730A38"/>
    <w:rsid w:val="007342A7"/>
    <w:rsid w:val="007345D4"/>
    <w:rsid w:val="00734EF5"/>
    <w:rsid w:val="007352F9"/>
    <w:rsid w:val="00736076"/>
    <w:rsid w:val="00740382"/>
    <w:rsid w:val="007425C2"/>
    <w:rsid w:val="00743D61"/>
    <w:rsid w:val="00744B51"/>
    <w:rsid w:val="0075226F"/>
    <w:rsid w:val="00753C7C"/>
    <w:rsid w:val="00757129"/>
    <w:rsid w:val="00761BBD"/>
    <w:rsid w:val="007659BF"/>
    <w:rsid w:val="00766981"/>
    <w:rsid w:val="00766A25"/>
    <w:rsid w:val="00766C30"/>
    <w:rsid w:val="00772DBC"/>
    <w:rsid w:val="00774389"/>
    <w:rsid w:val="007744AB"/>
    <w:rsid w:val="007751FB"/>
    <w:rsid w:val="00775A0F"/>
    <w:rsid w:val="007767DC"/>
    <w:rsid w:val="0078056B"/>
    <w:rsid w:val="0078088C"/>
    <w:rsid w:val="0078281B"/>
    <w:rsid w:val="00783503"/>
    <w:rsid w:val="00786F74"/>
    <w:rsid w:val="0078727D"/>
    <w:rsid w:val="007902D4"/>
    <w:rsid w:val="00792BEC"/>
    <w:rsid w:val="0079372A"/>
    <w:rsid w:val="00793B4C"/>
    <w:rsid w:val="00794EDD"/>
    <w:rsid w:val="00796C7C"/>
    <w:rsid w:val="00797148"/>
    <w:rsid w:val="007A0851"/>
    <w:rsid w:val="007A355B"/>
    <w:rsid w:val="007A35DB"/>
    <w:rsid w:val="007A48C3"/>
    <w:rsid w:val="007A4C09"/>
    <w:rsid w:val="007A56EA"/>
    <w:rsid w:val="007A5E42"/>
    <w:rsid w:val="007A6596"/>
    <w:rsid w:val="007A71C9"/>
    <w:rsid w:val="007A762A"/>
    <w:rsid w:val="007AC946"/>
    <w:rsid w:val="007B15E2"/>
    <w:rsid w:val="007B19E0"/>
    <w:rsid w:val="007B1C17"/>
    <w:rsid w:val="007B3D3C"/>
    <w:rsid w:val="007B44CD"/>
    <w:rsid w:val="007B4B4D"/>
    <w:rsid w:val="007B4F4D"/>
    <w:rsid w:val="007B5BF4"/>
    <w:rsid w:val="007C0F3E"/>
    <w:rsid w:val="007C11BA"/>
    <w:rsid w:val="007C44F9"/>
    <w:rsid w:val="007C7194"/>
    <w:rsid w:val="007D014B"/>
    <w:rsid w:val="007D04E3"/>
    <w:rsid w:val="007D4A4F"/>
    <w:rsid w:val="007D6385"/>
    <w:rsid w:val="007E0446"/>
    <w:rsid w:val="007E0A3E"/>
    <w:rsid w:val="007E36EE"/>
    <w:rsid w:val="007E37EB"/>
    <w:rsid w:val="007E4A0F"/>
    <w:rsid w:val="007E58F0"/>
    <w:rsid w:val="007E7278"/>
    <w:rsid w:val="007F0264"/>
    <w:rsid w:val="007F0302"/>
    <w:rsid w:val="007F05D6"/>
    <w:rsid w:val="007F0A29"/>
    <w:rsid w:val="007F14C7"/>
    <w:rsid w:val="007F5D1D"/>
    <w:rsid w:val="007F7821"/>
    <w:rsid w:val="00800848"/>
    <w:rsid w:val="00800CAC"/>
    <w:rsid w:val="008027AE"/>
    <w:rsid w:val="008070BB"/>
    <w:rsid w:val="00807B11"/>
    <w:rsid w:val="00810DED"/>
    <w:rsid w:val="00811AD7"/>
    <w:rsid w:val="00813688"/>
    <w:rsid w:val="008142A9"/>
    <w:rsid w:val="00814EE1"/>
    <w:rsid w:val="00816FB2"/>
    <w:rsid w:val="00820805"/>
    <w:rsid w:val="00820B51"/>
    <w:rsid w:val="00822320"/>
    <w:rsid w:val="00822F32"/>
    <w:rsid w:val="008230C0"/>
    <w:rsid w:val="0082349F"/>
    <w:rsid w:val="00823CCD"/>
    <w:rsid w:val="00832D38"/>
    <w:rsid w:val="00835085"/>
    <w:rsid w:val="008405D8"/>
    <w:rsid w:val="00840D22"/>
    <w:rsid w:val="00841EE8"/>
    <w:rsid w:val="008435E6"/>
    <w:rsid w:val="008438ED"/>
    <w:rsid w:val="00843B16"/>
    <w:rsid w:val="008469FD"/>
    <w:rsid w:val="0084761F"/>
    <w:rsid w:val="0085072E"/>
    <w:rsid w:val="00850CA2"/>
    <w:rsid w:val="0085137F"/>
    <w:rsid w:val="00855362"/>
    <w:rsid w:val="00855644"/>
    <w:rsid w:val="008560D5"/>
    <w:rsid w:val="008602FB"/>
    <w:rsid w:val="00860423"/>
    <w:rsid w:val="0086254D"/>
    <w:rsid w:val="00862D32"/>
    <w:rsid w:val="00867E85"/>
    <w:rsid w:val="00870736"/>
    <w:rsid w:val="00870890"/>
    <w:rsid w:val="00871769"/>
    <w:rsid w:val="008737B9"/>
    <w:rsid w:val="00873D13"/>
    <w:rsid w:val="00874F83"/>
    <w:rsid w:val="008826E9"/>
    <w:rsid w:val="00882970"/>
    <w:rsid w:val="008830FF"/>
    <w:rsid w:val="00883C67"/>
    <w:rsid w:val="00884BDE"/>
    <w:rsid w:val="008903DA"/>
    <w:rsid w:val="00893014"/>
    <w:rsid w:val="00894099"/>
    <w:rsid w:val="008940B3"/>
    <w:rsid w:val="00897725"/>
    <w:rsid w:val="008A07D4"/>
    <w:rsid w:val="008A0DFD"/>
    <w:rsid w:val="008A1518"/>
    <w:rsid w:val="008A1580"/>
    <w:rsid w:val="008A2200"/>
    <w:rsid w:val="008A30D2"/>
    <w:rsid w:val="008A5AB7"/>
    <w:rsid w:val="008B3EEE"/>
    <w:rsid w:val="008B66AF"/>
    <w:rsid w:val="008B6A2F"/>
    <w:rsid w:val="008C59E4"/>
    <w:rsid w:val="008D0A4A"/>
    <w:rsid w:val="008D1746"/>
    <w:rsid w:val="008D3584"/>
    <w:rsid w:val="008D46BF"/>
    <w:rsid w:val="008D4804"/>
    <w:rsid w:val="008D480E"/>
    <w:rsid w:val="008D543C"/>
    <w:rsid w:val="008D63D0"/>
    <w:rsid w:val="008D6C57"/>
    <w:rsid w:val="008E1BF8"/>
    <w:rsid w:val="008E3076"/>
    <w:rsid w:val="008E36D9"/>
    <w:rsid w:val="008E63C7"/>
    <w:rsid w:val="008E6C0F"/>
    <w:rsid w:val="008F10BC"/>
    <w:rsid w:val="008F1FE8"/>
    <w:rsid w:val="008F2676"/>
    <w:rsid w:val="008F3164"/>
    <w:rsid w:val="008F3AE6"/>
    <w:rsid w:val="008F4B3E"/>
    <w:rsid w:val="008F4F1A"/>
    <w:rsid w:val="008F6319"/>
    <w:rsid w:val="008F7E36"/>
    <w:rsid w:val="00900D52"/>
    <w:rsid w:val="009031D4"/>
    <w:rsid w:val="0090353C"/>
    <w:rsid w:val="00905FA5"/>
    <w:rsid w:val="0090605B"/>
    <w:rsid w:val="00911091"/>
    <w:rsid w:val="00914A15"/>
    <w:rsid w:val="00916415"/>
    <w:rsid w:val="0091719F"/>
    <w:rsid w:val="00917F1B"/>
    <w:rsid w:val="00924435"/>
    <w:rsid w:val="00926819"/>
    <w:rsid w:val="00926FAA"/>
    <w:rsid w:val="009275AC"/>
    <w:rsid w:val="00933EA7"/>
    <w:rsid w:val="0093640B"/>
    <w:rsid w:val="00936FB0"/>
    <w:rsid w:val="009404A9"/>
    <w:rsid w:val="00941137"/>
    <w:rsid w:val="009416C9"/>
    <w:rsid w:val="00943136"/>
    <w:rsid w:val="00943179"/>
    <w:rsid w:val="00944A6A"/>
    <w:rsid w:val="00945B67"/>
    <w:rsid w:val="00947267"/>
    <w:rsid w:val="00947ABE"/>
    <w:rsid w:val="009541F7"/>
    <w:rsid w:val="00954A50"/>
    <w:rsid w:val="00954F40"/>
    <w:rsid w:val="0095684A"/>
    <w:rsid w:val="00960D35"/>
    <w:rsid w:val="00962A6E"/>
    <w:rsid w:val="00962E46"/>
    <w:rsid w:val="00963F36"/>
    <w:rsid w:val="0096409F"/>
    <w:rsid w:val="009651B8"/>
    <w:rsid w:val="009652B5"/>
    <w:rsid w:val="00965960"/>
    <w:rsid w:val="00965FA1"/>
    <w:rsid w:val="00970A56"/>
    <w:rsid w:val="00971909"/>
    <w:rsid w:val="00975D79"/>
    <w:rsid w:val="0098273D"/>
    <w:rsid w:val="00983230"/>
    <w:rsid w:val="009843C0"/>
    <w:rsid w:val="00987396"/>
    <w:rsid w:val="009875C6"/>
    <w:rsid w:val="00987645"/>
    <w:rsid w:val="00990C66"/>
    <w:rsid w:val="00994550"/>
    <w:rsid w:val="00995612"/>
    <w:rsid w:val="00995D0D"/>
    <w:rsid w:val="009969CA"/>
    <w:rsid w:val="00996DD4"/>
    <w:rsid w:val="00997134"/>
    <w:rsid w:val="009A00E0"/>
    <w:rsid w:val="009A0677"/>
    <w:rsid w:val="009A4938"/>
    <w:rsid w:val="009A4A2C"/>
    <w:rsid w:val="009A577B"/>
    <w:rsid w:val="009A5E4B"/>
    <w:rsid w:val="009A62B2"/>
    <w:rsid w:val="009A67FD"/>
    <w:rsid w:val="009A6D7A"/>
    <w:rsid w:val="009B102F"/>
    <w:rsid w:val="009B1D39"/>
    <w:rsid w:val="009B3A1C"/>
    <w:rsid w:val="009B3EDE"/>
    <w:rsid w:val="009B4880"/>
    <w:rsid w:val="009B6923"/>
    <w:rsid w:val="009C14CE"/>
    <w:rsid w:val="009C1C87"/>
    <w:rsid w:val="009C1FC8"/>
    <w:rsid w:val="009C2AA5"/>
    <w:rsid w:val="009C5D07"/>
    <w:rsid w:val="009C66F7"/>
    <w:rsid w:val="009C6F92"/>
    <w:rsid w:val="009D0C05"/>
    <w:rsid w:val="009D1633"/>
    <w:rsid w:val="009D4BA5"/>
    <w:rsid w:val="009D6A43"/>
    <w:rsid w:val="009D7351"/>
    <w:rsid w:val="009E3767"/>
    <w:rsid w:val="009E392F"/>
    <w:rsid w:val="009E3D26"/>
    <w:rsid w:val="009E587F"/>
    <w:rsid w:val="009F0AF9"/>
    <w:rsid w:val="009F1716"/>
    <w:rsid w:val="009F4643"/>
    <w:rsid w:val="009F5417"/>
    <w:rsid w:val="009F7EC4"/>
    <w:rsid w:val="00A00171"/>
    <w:rsid w:val="00A006B3"/>
    <w:rsid w:val="00A00808"/>
    <w:rsid w:val="00A02602"/>
    <w:rsid w:val="00A10084"/>
    <w:rsid w:val="00A101D8"/>
    <w:rsid w:val="00A11736"/>
    <w:rsid w:val="00A229E5"/>
    <w:rsid w:val="00A24536"/>
    <w:rsid w:val="00A2470A"/>
    <w:rsid w:val="00A2498B"/>
    <w:rsid w:val="00A258FA"/>
    <w:rsid w:val="00A2642E"/>
    <w:rsid w:val="00A30857"/>
    <w:rsid w:val="00A3142F"/>
    <w:rsid w:val="00A33772"/>
    <w:rsid w:val="00A3464B"/>
    <w:rsid w:val="00A34BEB"/>
    <w:rsid w:val="00A35B38"/>
    <w:rsid w:val="00A362C4"/>
    <w:rsid w:val="00A363BD"/>
    <w:rsid w:val="00A369AF"/>
    <w:rsid w:val="00A36FDC"/>
    <w:rsid w:val="00A41A2A"/>
    <w:rsid w:val="00A445C6"/>
    <w:rsid w:val="00A45E46"/>
    <w:rsid w:val="00A462E7"/>
    <w:rsid w:val="00A4799E"/>
    <w:rsid w:val="00A52BD1"/>
    <w:rsid w:val="00A566AD"/>
    <w:rsid w:val="00A5724A"/>
    <w:rsid w:val="00A573B2"/>
    <w:rsid w:val="00A5754A"/>
    <w:rsid w:val="00A60342"/>
    <w:rsid w:val="00A62242"/>
    <w:rsid w:val="00A6402B"/>
    <w:rsid w:val="00A64988"/>
    <w:rsid w:val="00A65172"/>
    <w:rsid w:val="00A65BCC"/>
    <w:rsid w:val="00A661E9"/>
    <w:rsid w:val="00A703A0"/>
    <w:rsid w:val="00A70565"/>
    <w:rsid w:val="00A724D2"/>
    <w:rsid w:val="00A755DD"/>
    <w:rsid w:val="00A811CD"/>
    <w:rsid w:val="00A81698"/>
    <w:rsid w:val="00A838F8"/>
    <w:rsid w:val="00A85AEF"/>
    <w:rsid w:val="00A86B6E"/>
    <w:rsid w:val="00A92320"/>
    <w:rsid w:val="00A92754"/>
    <w:rsid w:val="00A934B6"/>
    <w:rsid w:val="00A939A0"/>
    <w:rsid w:val="00A95942"/>
    <w:rsid w:val="00A95DB2"/>
    <w:rsid w:val="00A96B21"/>
    <w:rsid w:val="00AA043B"/>
    <w:rsid w:val="00AA06D2"/>
    <w:rsid w:val="00AA110C"/>
    <w:rsid w:val="00AA160E"/>
    <w:rsid w:val="00AA1F99"/>
    <w:rsid w:val="00AA2867"/>
    <w:rsid w:val="00AA320B"/>
    <w:rsid w:val="00AA3B57"/>
    <w:rsid w:val="00AA5D56"/>
    <w:rsid w:val="00AA6063"/>
    <w:rsid w:val="00AA7CE9"/>
    <w:rsid w:val="00AA7F72"/>
    <w:rsid w:val="00AB0D15"/>
    <w:rsid w:val="00AB23D1"/>
    <w:rsid w:val="00AB34CC"/>
    <w:rsid w:val="00AB3894"/>
    <w:rsid w:val="00AB6899"/>
    <w:rsid w:val="00AB6ACE"/>
    <w:rsid w:val="00AB7E5D"/>
    <w:rsid w:val="00AB7E60"/>
    <w:rsid w:val="00AC0145"/>
    <w:rsid w:val="00AC0D03"/>
    <w:rsid w:val="00AC0DD7"/>
    <w:rsid w:val="00AC1D87"/>
    <w:rsid w:val="00AC2851"/>
    <w:rsid w:val="00AC35CC"/>
    <w:rsid w:val="00AC5121"/>
    <w:rsid w:val="00AC5254"/>
    <w:rsid w:val="00AC5781"/>
    <w:rsid w:val="00AC5BEE"/>
    <w:rsid w:val="00AD1ED7"/>
    <w:rsid w:val="00AD1F8B"/>
    <w:rsid w:val="00AD21C8"/>
    <w:rsid w:val="00AD30A7"/>
    <w:rsid w:val="00AD3902"/>
    <w:rsid w:val="00AD52AB"/>
    <w:rsid w:val="00AD5EEC"/>
    <w:rsid w:val="00AD7450"/>
    <w:rsid w:val="00AD827F"/>
    <w:rsid w:val="00AE1B06"/>
    <w:rsid w:val="00AE30D9"/>
    <w:rsid w:val="00AE34BA"/>
    <w:rsid w:val="00AF0B9C"/>
    <w:rsid w:val="00AF14F9"/>
    <w:rsid w:val="00AF269A"/>
    <w:rsid w:val="00AF3ED0"/>
    <w:rsid w:val="00AF5204"/>
    <w:rsid w:val="00AF6646"/>
    <w:rsid w:val="00AF68FD"/>
    <w:rsid w:val="00AF6D46"/>
    <w:rsid w:val="00AF6EDB"/>
    <w:rsid w:val="00B00646"/>
    <w:rsid w:val="00B01C5A"/>
    <w:rsid w:val="00B0696A"/>
    <w:rsid w:val="00B0A0DC"/>
    <w:rsid w:val="00B10EE0"/>
    <w:rsid w:val="00B10FA9"/>
    <w:rsid w:val="00B12768"/>
    <w:rsid w:val="00B14BB9"/>
    <w:rsid w:val="00B151C0"/>
    <w:rsid w:val="00B159B4"/>
    <w:rsid w:val="00B2063F"/>
    <w:rsid w:val="00B225F8"/>
    <w:rsid w:val="00B24E7C"/>
    <w:rsid w:val="00B25E41"/>
    <w:rsid w:val="00B2773A"/>
    <w:rsid w:val="00B27CD1"/>
    <w:rsid w:val="00B3030C"/>
    <w:rsid w:val="00B30734"/>
    <w:rsid w:val="00B328A9"/>
    <w:rsid w:val="00B3418A"/>
    <w:rsid w:val="00B34C4C"/>
    <w:rsid w:val="00B3515B"/>
    <w:rsid w:val="00B37A32"/>
    <w:rsid w:val="00B407D2"/>
    <w:rsid w:val="00B41DE0"/>
    <w:rsid w:val="00B4242E"/>
    <w:rsid w:val="00B42739"/>
    <w:rsid w:val="00B42D82"/>
    <w:rsid w:val="00B452D8"/>
    <w:rsid w:val="00B46092"/>
    <w:rsid w:val="00B47AD3"/>
    <w:rsid w:val="00B513D9"/>
    <w:rsid w:val="00B524B5"/>
    <w:rsid w:val="00B52B47"/>
    <w:rsid w:val="00B53EA3"/>
    <w:rsid w:val="00B55ADC"/>
    <w:rsid w:val="00B55C12"/>
    <w:rsid w:val="00B6068B"/>
    <w:rsid w:val="00B60A7B"/>
    <w:rsid w:val="00B61C98"/>
    <w:rsid w:val="00B6331F"/>
    <w:rsid w:val="00B6649F"/>
    <w:rsid w:val="00B70B4F"/>
    <w:rsid w:val="00B70F9E"/>
    <w:rsid w:val="00B74EC8"/>
    <w:rsid w:val="00B74FD9"/>
    <w:rsid w:val="00B76241"/>
    <w:rsid w:val="00B7687D"/>
    <w:rsid w:val="00B82A19"/>
    <w:rsid w:val="00B849AB"/>
    <w:rsid w:val="00B84F2A"/>
    <w:rsid w:val="00B877D7"/>
    <w:rsid w:val="00B90462"/>
    <w:rsid w:val="00B916C4"/>
    <w:rsid w:val="00B927E4"/>
    <w:rsid w:val="00B93976"/>
    <w:rsid w:val="00BA0BDC"/>
    <w:rsid w:val="00BA1BCD"/>
    <w:rsid w:val="00BA1CDE"/>
    <w:rsid w:val="00BA21C3"/>
    <w:rsid w:val="00BA28AF"/>
    <w:rsid w:val="00BA4A18"/>
    <w:rsid w:val="00BA6128"/>
    <w:rsid w:val="00BA669D"/>
    <w:rsid w:val="00BA7818"/>
    <w:rsid w:val="00BB1839"/>
    <w:rsid w:val="00BB2179"/>
    <w:rsid w:val="00BB55C7"/>
    <w:rsid w:val="00BB684C"/>
    <w:rsid w:val="00BB6E8E"/>
    <w:rsid w:val="00BC65D1"/>
    <w:rsid w:val="00BD0627"/>
    <w:rsid w:val="00BD3A02"/>
    <w:rsid w:val="00BD56BD"/>
    <w:rsid w:val="00BD56C6"/>
    <w:rsid w:val="00BD5A11"/>
    <w:rsid w:val="00BD5A63"/>
    <w:rsid w:val="00BD6542"/>
    <w:rsid w:val="00BE139D"/>
    <w:rsid w:val="00BE405D"/>
    <w:rsid w:val="00BE4A35"/>
    <w:rsid w:val="00BE6512"/>
    <w:rsid w:val="00BE6D6A"/>
    <w:rsid w:val="00BE6DDD"/>
    <w:rsid w:val="00BF14F8"/>
    <w:rsid w:val="00BF1C94"/>
    <w:rsid w:val="00BF287B"/>
    <w:rsid w:val="00BF2D47"/>
    <w:rsid w:val="00BF2FA3"/>
    <w:rsid w:val="00BF31CD"/>
    <w:rsid w:val="00BF40CA"/>
    <w:rsid w:val="00BF4637"/>
    <w:rsid w:val="00BF4E3D"/>
    <w:rsid w:val="00BF4F6D"/>
    <w:rsid w:val="00BF51FF"/>
    <w:rsid w:val="00BF5548"/>
    <w:rsid w:val="00BF55F2"/>
    <w:rsid w:val="00C020A1"/>
    <w:rsid w:val="00C03861"/>
    <w:rsid w:val="00C0391E"/>
    <w:rsid w:val="00C07FF4"/>
    <w:rsid w:val="00C1103C"/>
    <w:rsid w:val="00C1182B"/>
    <w:rsid w:val="00C11B1C"/>
    <w:rsid w:val="00C11CBA"/>
    <w:rsid w:val="00C12A08"/>
    <w:rsid w:val="00C17FF9"/>
    <w:rsid w:val="00C1CC46"/>
    <w:rsid w:val="00C2384B"/>
    <w:rsid w:val="00C249D5"/>
    <w:rsid w:val="00C24CC4"/>
    <w:rsid w:val="00C253A4"/>
    <w:rsid w:val="00C2541A"/>
    <w:rsid w:val="00C25721"/>
    <w:rsid w:val="00C26A38"/>
    <w:rsid w:val="00C30922"/>
    <w:rsid w:val="00C30C09"/>
    <w:rsid w:val="00C3122B"/>
    <w:rsid w:val="00C31319"/>
    <w:rsid w:val="00C31BE4"/>
    <w:rsid w:val="00C31D66"/>
    <w:rsid w:val="00C33899"/>
    <w:rsid w:val="00C342FD"/>
    <w:rsid w:val="00C420D5"/>
    <w:rsid w:val="00C4271A"/>
    <w:rsid w:val="00C44342"/>
    <w:rsid w:val="00C45FEB"/>
    <w:rsid w:val="00C46354"/>
    <w:rsid w:val="00C47312"/>
    <w:rsid w:val="00C52F1D"/>
    <w:rsid w:val="00C5314B"/>
    <w:rsid w:val="00C53804"/>
    <w:rsid w:val="00C539E9"/>
    <w:rsid w:val="00C60FAE"/>
    <w:rsid w:val="00C61D3E"/>
    <w:rsid w:val="00C6257A"/>
    <w:rsid w:val="00C659F1"/>
    <w:rsid w:val="00C66DA5"/>
    <w:rsid w:val="00C678B0"/>
    <w:rsid w:val="00C67C39"/>
    <w:rsid w:val="00C7101E"/>
    <w:rsid w:val="00C71889"/>
    <w:rsid w:val="00C71AD5"/>
    <w:rsid w:val="00C7292F"/>
    <w:rsid w:val="00C72DA0"/>
    <w:rsid w:val="00C7350D"/>
    <w:rsid w:val="00C73A24"/>
    <w:rsid w:val="00C73E4C"/>
    <w:rsid w:val="00C751E2"/>
    <w:rsid w:val="00C84065"/>
    <w:rsid w:val="00C865D0"/>
    <w:rsid w:val="00C87968"/>
    <w:rsid w:val="00C907F3"/>
    <w:rsid w:val="00C9297A"/>
    <w:rsid w:val="00C932ED"/>
    <w:rsid w:val="00C943E0"/>
    <w:rsid w:val="00C94532"/>
    <w:rsid w:val="00C94A63"/>
    <w:rsid w:val="00C94D70"/>
    <w:rsid w:val="00C952EB"/>
    <w:rsid w:val="00C96E00"/>
    <w:rsid w:val="00C97BFB"/>
    <w:rsid w:val="00CA29F1"/>
    <w:rsid w:val="00CA44CA"/>
    <w:rsid w:val="00CB08C3"/>
    <w:rsid w:val="00CB0C3A"/>
    <w:rsid w:val="00CB0C54"/>
    <w:rsid w:val="00CB3D73"/>
    <w:rsid w:val="00CB3DCD"/>
    <w:rsid w:val="00CB41C2"/>
    <w:rsid w:val="00CB5085"/>
    <w:rsid w:val="00CC33DF"/>
    <w:rsid w:val="00CC4EE6"/>
    <w:rsid w:val="00CC737D"/>
    <w:rsid w:val="00CD0386"/>
    <w:rsid w:val="00CD1015"/>
    <w:rsid w:val="00CD3A84"/>
    <w:rsid w:val="00CD4923"/>
    <w:rsid w:val="00CE0C77"/>
    <w:rsid w:val="00CE0DB6"/>
    <w:rsid w:val="00CE1416"/>
    <w:rsid w:val="00CE169A"/>
    <w:rsid w:val="00CE1B9B"/>
    <w:rsid w:val="00CE431C"/>
    <w:rsid w:val="00CE546A"/>
    <w:rsid w:val="00CE5DA8"/>
    <w:rsid w:val="00CE7BBD"/>
    <w:rsid w:val="00CF09F7"/>
    <w:rsid w:val="00CF0CA7"/>
    <w:rsid w:val="00CF21B0"/>
    <w:rsid w:val="00CF341E"/>
    <w:rsid w:val="00CF3800"/>
    <w:rsid w:val="00CF57E9"/>
    <w:rsid w:val="00CF5D33"/>
    <w:rsid w:val="00CF6B10"/>
    <w:rsid w:val="00CF7B93"/>
    <w:rsid w:val="00D03016"/>
    <w:rsid w:val="00D0363C"/>
    <w:rsid w:val="00D04411"/>
    <w:rsid w:val="00D044BB"/>
    <w:rsid w:val="00D10E5F"/>
    <w:rsid w:val="00D119A6"/>
    <w:rsid w:val="00D12428"/>
    <w:rsid w:val="00D13538"/>
    <w:rsid w:val="00D153E6"/>
    <w:rsid w:val="00D16898"/>
    <w:rsid w:val="00D16A2F"/>
    <w:rsid w:val="00D2116A"/>
    <w:rsid w:val="00D259E3"/>
    <w:rsid w:val="00D25B19"/>
    <w:rsid w:val="00D26AF2"/>
    <w:rsid w:val="00D27197"/>
    <w:rsid w:val="00D339B9"/>
    <w:rsid w:val="00D34E10"/>
    <w:rsid w:val="00D353D5"/>
    <w:rsid w:val="00D357B4"/>
    <w:rsid w:val="00D35FDB"/>
    <w:rsid w:val="00D36423"/>
    <w:rsid w:val="00D36470"/>
    <w:rsid w:val="00D36CAA"/>
    <w:rsid w:val="00D3702F"/>
    <w:rsid w:val="00D377B1"/>
    <w:rsid w:val="00D37B05"/>
    <w:rsid w:val="00D4069D"/>
    <w:rsid w:val="00D40FE5"/>
    <w:rsid w:val="00D411B8"/>
    <w:rsid w:val="00D413C0"/>
    <w:rsid w:val="00D41E0B"/>
    <w:rsid w:val="00D42D42"/>
    <w:rsid w:val="00D470BF"/>
    <w:rsid w:val="00D508B1"/>
    <w:rsid w:val="00D5102A"/>
    <w:rsid w:val="00D51087"/>
    <w:rsid w:val="00D533AC"/>
    <w:rsid w:val="00D536F8"/>
    <w:rsid w:val="00D54A2C"/>
    <w:rsid w:val="00D55FDB"/>
    <w:rsid w:val="00D56666"/>
    <w:rsid w:val="00D56862"/>
    <w:rsid w:val="00D56982"/>
    <w:rsid w:val="00D62160"/>
    <w:rsid w:val="00D63679"/>
    <w:rsid w:val="00D6557E"/>
    <w:rsid w:val="00D65D44"/>
    <w:rsid w:val="00D66652"/>
    <w:rsid w:val="00D707AB"/>
    <w:rsid w:val="00D72716"/>
    <w:rsid w:val="00D740E8"/>
    <w:rsid w:val="00D75C4A"/>
    <w:rsid w:val="00D75EC8"/>
    <w:rsid w:val="00D76356"/>
    <w:rsid w:val="00D76E48"/>
    <w:rsid w:val="00D77FA1"/>
    <w:rsid w:val="00D8002E"/>
    <w:rsid w:val="00D82B7C"/>
    <w:rsid w:val="00D83171"/>
    <w:rsid w:val="00D832F6"/>
    <w:rsid w:val="00D84E01"/>
    <w:rsid w:val="00D852D9"/>
    <w:rsid w:val="00D86787"/>
    <w:rsid w:val="00D875ED"/>
    <w:rsid w:val="00D913CB"/>
    <w:rsid w:val="00D9190A"/>
    <w:rsid w:val="00D92975"/>
    <w:rsid w:val="00D95481"/>
    <w:rsid w:val="00D9690F"/>
    <w:rsid w:val="00D96C42"/>
    <w:rsid w:val="00DA0F6B"/>
    <w:rsid w:val="00DA1114"/>
    <w:rsid w:val="00DA1B81"/>
    <w:rsid w:val="00DA2AEF"/>
    <w:rsid w:val="00DA2B00"/>
    <w:rsid w:val="00DA4322"/>
    <w:rsid w:val="00DA4726"/>
    <w:rsid w:val="00DA5B25"/>
    <w:rsid w:val="00DA6750"/>
    <w:rsid w:val="00DA707A"/>
    <w:rsid w:val="00DA70D5"/>
    <w:rsid w:val="00DA728D"/>
    <w:rsid w:val="00DB10B1"/>
    <w:rsid w:val="00DB1766"/>
    <w:rsid w:val="00DB2249"/>
    <w:rsid w:val="00DB3696"/>
    <w:rsid w:val="00DB37B3"/>
    <w:rsid w:val="00DB4F87"/>
    <w:rsid w:val="00DB525E"/>
    <w:rsid w:val="00DB6498"/>
    <w:rsid w:val="00DB7091"/>
    <w:rsid w:val="00DB7C38"/>
    <w:rsid w:val="00DC33DC"/>
    <w:rsid w:val="00DC3405"/>
    <w:rsid w:val="00DC4B5A"/>
    <w:rsid w:val="00DD0377"/>
    <w:rsid w:val="00DD22E2"/>
    <w:rsid w:val="00DD309C"/>
    <w:rsid w:val="00DD31B7"/>
    <w:rsid w:val="00DD4272"/>
    <w:rsid w:val="00DD5C73"/>
    <w:rsid w:val="00DD73DF"/>
    <w:rsid w:val="00DD7CBA"/>
    <w:rsid w:val="00DE102B"/>
    <w:rsid w:val="00DE1882"/>
    <w:rsid w:val="00DE31E8"/>
    <w:rsid w:val="00DE4E35"/>
    <w:rsid w:val="00DE6D44"/>
    <w:rsid w:val="00DE7A60"/>
    <w:rsid w:val="00DF381C"/>
    <w:rsid w:val="00DF3F0E"/>
    <w:rsid w:val="00DF540F"/>
    <w:rsid w:val="00DF5CAD"/>
    <w:rsid w:val="00DF6794"/>
    <w:rsid w:val="00DF6B1C"/>
    <w:rsid w:val="00DF7CBC"/>
    <w:rsid w:val="00E01478"/>
    <w:rsid w:val="00E031A7"/>
    <w:rsid w:val="00E04CB4"/>
    <w:rsid w:val="00E05878"/>
    <w:rsid w:val="00E071AB"/>
    <w:rsid w:val="00E07BD0"/>
    <w:rsid w:val="00E11705"/>
    <w:rsid w:val="00E12D87"/>
    <w:rsid w:val="00E14042"/>
    <w:rsid w:val="00E14108"/>
    <w:rsid w:val="00E14C73"/>
    <w:rsid w:val="00E159E4"/>
    <w:rsid w:val="00E15FFE"/>
    <w:rsid w:val="00E2099B"/>
    <w:rsid w:val="00E2229D"/>
    <w:rsid w:val="00E2319C"/>
    <w:rsid w:val="00E24A7E"/>
    <w:rsid w:val="00E24E04"/>
    <w:rsid w:val="00E300B0"/>
    <w:rsid w:val="00E30218"/>
    <w:rsid w:val="00E31F0F"/>
    <w:rsid w:val="00E34495"/>
    <w:rsid w:val="00E355CE"/>
    <w:rsid w:val="00E37C84"/>
    <w:rsid w:val="00E40784"/>
    <w:rsid w:val="00E41D89"/>
    <w:rsid w:val="00E42C76"/>
    <w:rsid w:val="00E4439E"/>
    <w:rsid w:val="00E45BE0"/>
    <w:rsid w:val="00E50E06"/>
    <w:rsid w:val="00E546CC"/>
    <w:rsid w:val="00E54BBD"/>
    <w:rsid w:val="00E554EE"/>
    <w:rsid w:val="00E577C0"/>
    <w:rsid w:val="00E62BB4"/>
    <w:rsid w:val="00E63052"/>
    <w:rsid w:val="00E64032"/>
    <w:rsid w:val="00E6432A"/>
    <w:rsid w:val="00E646DE"/>
    <w:rsid w:val="00E65064"/>
    <w:rsid w:val="00E677E0"/>
    <w:rsid w:val="00E677E4"/>
    <w:rsid w:val="00E70FDB"/>
    <w:rsid w:val="00E71140"/>
    <w:rsid w:val="00E7120E"/>
    <w:rsid w:val="00E73340"/>
    <w:rsid w:val="00E740F8"/>
    <w:rsid w:val="00E7656F"/>
    <w:rsid w:val="00E77A01"/>
    <w:rsid w:val="00E804E9"/>
    <w:rsid w:val="00E83428"/>
    <w:rsid w:val="00E83B32"/>
    <w:rsid w:val="00E84E70"/>
    <w:rsid w:val="00E85AC8"/>
    <w:rsid w:val="00E91C43"/>
    <w:rsid w:val="00E91CE5"/>
    <w:rsid w:val="00E928C7"/>
    <w:rsid w:val="00E97462"/>
    <w:rsid w:val="00EA03EC"/>
    <w:rsid w:val="00EA1C89"/>
    <w:rsid w:val="00EA2735"/>
    <w:rsid w:val="00EA4121"/>
    <w:rsid w:val="00EA4AC9"/>
    <w:rsid w:val="00EA524A"/>
    <w:rsid w:val="00EA55C8"/>
    <w:rsid w:val="00EA5EF1"/>
    <w:rsid w:val="00EA690D"/>
    <w:rsid w:val="00EA6B85"/>
    <w:rsid w:val="00EB074A"/>
    <w:rsid w:val="00EB2215"/>
    <w:rsid w:val="00EB2619"/>
    <w:rsid w:val="00EB27F1"/>
    <w:rsid w:val="00EB715E"/>
    <w:rsid w:val="00EC0343"/>
    <w:rsid w:val="00EC0977"/>
    <w:rsid w:val="00EC09D6"/>
    <w:rsid w:val="00EC27FC"/>
    <w:rsid w:val="00EC301A"/>
    <w:rsid w:val="00EC3F5A"/>
    <w:rsid w:val="00EC4E10"/>
    <w:rsid w:val="00EC607B"/>
    <w:rsid w:val="00EC6405"/>
    <w:rsid w:val="00EC6938"/>
    <w:rsid w:val="00EC6F11"/>
    <w:rsid w:val="00ED0F54"/>
    <w:rsid w:val="00ED15E4"/>
    <w:rsid w:val="00ED192B"/>
    <w:rsid w:val="00ED1C06"/>
    <w:rsid w:val="00ED3426"/>
    <w:rsid w:val="00ED5EBC"/>
    <w:rsid w:val="00ED614F"/>
    <w:rsid w:val="00ED64F9"/>
    <w:rsid w:val="00ED7115"/>
    <w:rsid w:val="00EDF983"/>
    <w:rsid w:val="00EE1594"/>
    <w:rsid w:val="00EE3EC7"/>
    <w:rsid w:val="00EE483E"/>
    <w:rsid w:val="00EE6FFC"/>
    <w:rsid w:val="00EF56D6"/>
    <w:rsid w:val="00EF5911"/>
    <w:rsid w:val="00EF63FE"/>
    <w:rsid w:val="00EF99C3"/>
    <w:rsid w:val="00F0229B"/>
    <w:rsid w:val="00F02E26"/>
    <w:rsid w:val="00F046F4"/>
    <w:rsid w:val="00F04821"/>
    <w:rsid w:val="00F05AD7"/>
    <w:rsid w:val="00F06D9C"/>
    <w:rsid w:val="00F130DE"/>
    <w:rsid w:val="00F1369C"/>
    <w:rsid w:val="00F224ED"/>
    <w:rsid w:val="00F22544"/>
    <w:rsid w:val="00F2653B"/>
    <w:rsid w:val="00F325B0"/>
    <w:rsid w:val="00F33AB7"/>
    <w:rsid w:val="00F36E82"/>
    <w:rsid w:val="00F37B1E"/>
    <w:rsid w:val="00F41672"/>
    <w:rsid w:val="00F47FE8"/>
    <w:rsid w:val="00F51403"/>
    <w:rsid w:val="00F56FF6"/>
    <w:rsid w:val="00F57978"/>
    <w:rsid w:val="00F616D7"/>
    <w:rsid w:val="00F70AF7"/>
    <w:rsid w:val="00F72E4D"/>
    <w:rsid w:val="00F809CB"/>
    <w:rsid w:val="00F81E10"/>
    <w:rsid w:val="00F82080"/>
    <w:rsid w:val="00F8262C"/>
    <w:rsid w:val="00F82656"/>
    <w:rsid w:val="00F82B1E"/>
    <w:rsid w:val="00F82CDE"/>
    <w:rsid w:val="00F846E7"/>
    <w:rsid w:val="00F84AA8"/>
    <w:rsid w:val="00F87665"/>
    <w:rsid w:val="00F911DE"/>
    <w:rsid w:val="00F928DB"/>
    <w:rsid w:val="00F931B6"/>
    <w:rsid w:val="00F979B0"/>
    <w:rsid w:val="00FA10D5"/>
    <w:rsid w:val="00FA18B8"/>
    <w:rsid w:val="00FA19A8"/>
    <w:rsid w:val="00FA2133"/>
    <w:rsid w:val="00FA3DB1"/>
    <w:rsid w:val="00FA4F70"/>
    <w:rsid w:val="00FA6B76"/>
    <w:rsid w:val="00FA7664"/>
    <w:rsid w:val="00FB13F3"/>
    <w:rsid w:val="00FB20B3"/>
    <w:rsid w:val="00FB23C1"/>
    <w:rsid w:val="00FB486E"/>
    <w:rsid w:val="00FB546B"/>
    <w:rsid w:val="00FB6156"/>
    <w:rsid w:val="00FC02B3"/>
    <w:rsid w:val="00FC02FE"/>
    <w:rsid w:val="00FC4958"/>
    <w:rsid w:val="00FC4A4E"/>
    <w:rsid w:val="00FC797D"/>
    <w:rsid w:val="00FC7DD1"/>
    <w:rsid w:val="00FD2B42"/>
    <w:rsid w:val="00FD3517"/>
    <w:rsid w:val="00FD52BF"/>
    <w:rsid w:val="00FD6683"/>
    <w:rsid w:val="00FD7079"/>
    <w:rsid w:val="00FE199B"/>
    <w:rsid w:val="00FE37AF"/>
    <w:rsid w:val="00FE4215"/>
    <w:rsid w:val="00FE4BFC"/>
    <w:rsid w:val="00FEBB3D"/>
    <w:rsid w:val="00FF0AFC"/>
    <w:rsid w:val="00FF14DE"/>
    <w:rsid w:val="00FF1F38"/>
    <w:rsid w:val="00FF3D7E"/>
    <w:rsid w:val="00FF6150"/>
    <w:rsid w:val="00FF65D9"/>
    <w:rsid w:val="00FF6F95"/>
    <w:rsid w:val="00FF7630"/>
    <w:rsid w:val="00FF7AAA"/>
    <w:rsid w:val="0107FCD6"/>
    <w:rsid w:val="0114E9EB"/>
    <w:rsid w:val="01151642"/>
    <w:rsid w:val="012A3FCC"/>
    <w:rsid w:val="0140ACCC"/>
    <w:rsid w:val="014340D2"/>
    <w:rsid w:val="014D1895"/>
    <w:rsid w:val="0150773B"/>
    <w:rsid w:val="01630D40"/>
    <w:rsid w:val="017F5150"/>
    <w:rsid w:val="01800F30"/>
    <w:rsid w:val="0188D81C"/>
    <w:rsid w:val="018E61D3"/>
    <w:rsid w:val="0191EBAF"/>
    <w:rsid w:val="01964E3C"/>
    <w:rsid w:val="01965CC0"/>
    <w:rsid w:val="01990876"/>
    <w:rsid w:val="019EFB9B"/>
    <w:rsid w:val="01A024B9"/>
    <w:rsid w:val="01B62AF2"/>
    <w:rsid w:val="01C5D94B"/>
    <w:rsid w:val="01C77E2E"/>
    <w:rsid w:val="01CD0D8D"/>
    <w:rsid w:val="01D74FFB"/>
    <w:rsid w:val="01E3683B"/>
    <w:rsid w:val="01E590D3"/>
    <w:rsid w:val="01F08893"/>
    <w:rsid w:val="0208BC7E"/>
    <w:rsid w:val="0215BA13"/>
    <w:rsid w:val="02182504"/>
    <w:rsid w:val="022669FE"/>
    <w:rsid w:val="02324E0A"/>
    <w:rsid w:val="023FB861"/>
    <w:rsid w:val="0242C329"/>
    <w:rsid w:val="0244E872"/>
    <w:rsid w:val="024B0944"/>
    <w:rsid w:val="0254A51D"/>
    <w:rsid w:val="025D696B"/>
    <w:rsid w:val="0265BB3A"/>
    <w:rsid w:val="02754EF3"/>
    <w:rsid w:val="02769A0C"/>
    <w:rsid w:val="029203A8"/>
    <w:rsid w:val="0299DB1C"/>
    <w:rsid w:val="02A7E831"/>
    <w:rsid w:val="02A80A2D"/>
    <w:rsid w:val="02B5AB00"/>
    <w:rsid w:val="02BC9049"/>
    <w:rsid w:val="02C79AA6"/>
    <w:rsid w:val="02CB2329"/>
    <w:rsid w:val="02CE8FCB"/>
    <w:rsid w:val="02D0D2C2"/>
    <w:rsid w:val="02D1BA6D"/>
    <w:rsid w:val="02D5D4DC"/>
    <w:rsid w:val="02D778BD"/>
    <w:rsid w:val="02DAC64A"/>
    <w:rsid w:val="02DAEBCB"/>
    <w:rsid w:val="02DCA38F"/>
    <w:rsid w:val="02E36301"/>
    <w:rsid w:val="02EBB14B"/>
    <w:rsid w:val="03018CFE"/>
    <w:rsid w:val="0302E6D7"/>
    <w:rsid w:val="03036CBB"/>
    <w:rsid w:val="03039D07"/>
    <w:rsid w:val="0304BD13"/>
    <w:rsid w:val="0308F75F"/>
    <w:rsid w:val="0322EC32"/>
    <w:rsid w:val="0342D2DE"/>
    <w:rsid w:val="0349FE4A"/>
    <w:rsid w:val="034AB748"/>
    <w:rsid w:val="034F358D"/>
    <w:rsid w:val="035901C6"/>
    <w:rsid w:val="035DA243"/>
    <w:rsid w:val="038229CA"/>
    <w:rsid w:val="0382AA05"/>
    <w:rsid w:val="038EC36B"/>
    <w:rsid w:val="03967885"/>
    <w:rsid w:val="0397291E"/>
    <w:rsid w:val="039894CE"/>
    <w:rsid w:val="03AC385B"/>
    <w:rsid w:val="03AE917C"/>
    <w:rsid w:val="03B09269"/>
    <w:rsid w:val="03B6F896"/>
    <w:rsid w:val="03C3ECFF"/>
    <w:rsid w:val="03C4A1AD"/>
    <w:rsid w:val="03C6C138"/>
    <w:rsid w:val="03C844E6"/>
    <w:rsid w:val="03C8CE8C"/>
    <w:rsid w:val="03CAD075"/>
    <w:rsid w:val="03D335C6"/>
    <w:rsid w:val="03E3DBA6"/>
    <w:rsid w:val="03E8AEDC"/>
    <w:rsid w:val="03EF8E47"/>
    <w:rsid w:val="03F310EB"/>
    <w:rsid w:val="03FD6715"/>
    <w:rsid w:val="0403E997"/>
    <w:rsid w:val="040D9D37"/>
    <w:rsid w:val="04308E7A"/>
    <w:rsid w:val="0442AE8B"/>
    <w:rsid w:val="0443B892"/>
    <w:rsid w:val="0445CEF7"/>
    <w:rsid w:val="044CDC60"/>
    <w:rsid w:val="0453FC8C"/>
    <w:rsid w:val="04703E6A"/>
    <w:rsid w:val="0478C07E"/>
    <w:rsid w:val="0487870C"/>
    <w:rsid w:val="049A93F0"/>
    <w:rsid w:val="049CECAA"/>
    <w:rsid w:val="049EEE62"/>
    <w:rsid w:val="04A092CC"/>
    <w:rsid w:val="04A9905F"/>
    <w:rsid w:val="04C0083E"/>
    <w:rsid w:val="04C00F58"/>
    <w:rsid w:val="04C85485"/>
    <w:rsid w:val="04D3F208"/>
    <w:rsid w:val="04F018E5"/>
    <w:rsid w:val="04F13027"/>
    <w:rsid w:val="04F46666"/>
    <w:rsid w:val="04F54E8E"/>
    <w:rsid w:val="04FACF0A"/>
    <w:rsid w:val="04FB8246"/>
    <w:rsid w:val="050D8EC3"/>
    <w:rsid w:val="0514AAA3"/>
    <w:rsid w:val="05157B12"/>
    <w:rsid w:val="051CE30A"/>
    <w:rsid w:val="051F2C1B"/>
    <w:rsid w:val="052524A9"/>
    <w:rsid w:val="052A21D6"/>
    <w:rsid w:val="052B7305"/>
    <w:rsid w:val="0532077F"/>
    <w:rsid w:val="053C2E4E"/>
    <w:rsid w:val="0564430F"/>
    <w:rsid w:val="05644B01"/>
    <w:rsid w:val="056C4D2F"/>
    <w:rsid w:val="05813700"/>
    <w:rsid w:val="0583D05B"/>
    <w:rsid w:val="05853F81"/>
    <w:rsid w:val="0591A1A1"/>
    <w:rsid w:val="05A68BAA"/>
    <w:rsid w:val="05AB7D3A"/>
    <w:rsid w:val="05B902E3"/>
    <w:rsid w:val="05BA8940"/>
    <w:rsid w:val="05BB9299"/>
    <w:rsid w:val="05CFF7FA"/>
    <w:rsid w:val="05D13E6C"/>
    <w:rsid w:val="05EFC854"/>
    <w:rsid w:val="05F3196D"/>
    <w:rsid w:val="05FA1695"/>
    <w:rsid w:val="060560F3"/>
    <w:rsid w:val="0608A6F7"/>
    <w:rsid w:val="0610DF70"/>
    <w:rsid w:val="06173069"/>
    <w:rsid w:val="061AF290"/>
    <w:rsid w:val="061BB85A"/>
    <w:rsid w:val="062C51C5"/>
    <w:rsid w:val="0633784C"/>
    <w:rsid w:val="063ED9CB"/>
    <w:rsid w:val="063FE0B1"/>
    <w:rsid w:val="064927BE"/>
    <w:rsid w:val="064D56F0"/>
    <w:rsid w:val="065E1061"/>
    <w:rsid w:val="06683212"/>
    <w:rsid w:val="0670780D"/>
    <w:rsid w:val="06731530"/>
    <w:rsid w:val="067CD33F"/>
    <w:rsid w:val="0681C6F4"/>
    <w:rsid w:val="0682A1CA"/>
    <w:rsid w:val="068CA8D7"/>
    <w:rsid w:val="0696E64C"/>
    <w:rsid w:val="069BA89B"/>
    <w:rsid w:val="06A22143"/>
    <w:rsid w:val="06AD68C1"/>
    <w:rsid w:val="06C61BD3"/>
    <w:rsid w:val="06D44FC7"/>
    <w:rsid w:val="06ECE042"/>
    <w:rsid w:val="06F8DF4A"/>
    <w:rsid w:val="06FF3BE2"/>
    <w:rsid w:val="07038CB6"/>
    <w:rsid w:val="070BD393"/>
    <w:rsid w:val="071C68ED"/>
    <w:rsid w:val="071EF526"/>
    <w:rsid w:val="072BFB2A"/>
    <w:rsid w:val="072C159C"/>
    <w:rsid w:val="073C46F5"/>
    <w:rsid w:val="073CFB7C"/>
    <w:rsid w:val="073DC7CD"/>
    <w:rsid w:val="07474D9B"/>
    <w:rsid w:val="0759F12B"/>
    <w:rsid w:val="075E15FD"/>
    <w:rsid w:val="076B8AF6"/>
    <w:rsid w:val="076BDFA5"/>
    <w:rsid w:val="076FB65D"/>
    <w:rsid w:val="077CD413"/>
    <w:rsid w:val="07A582B7"/>
    <w:rsid w:val="07A88EDF"/>
    <w:rsid w:val="07B26339"/>
    <w:rsid w:val="07B4712F"/>
    <w:rsid w:val="07B61D04"/>
    <w:rsid w:val="07BB9B8B"/>
    <w:rsid w:val="07C6C974"/>
    <w:rsid w:val="07D539A9"/>
    <w:rsid w:val="07D82ACD"/>
    <w:rsid w:val="07DB3AB7"/>
    <w:rsid w:val="07DBABA3"/>
    <w:rsid w:val="07F02BB6"/>
    <w:rsid w:val="07F138A3"/>
    <w:rsid w:val="07F28C68"/>
    <w:rsid w:val="081C1FB0"/>
    <w:rsid w:val="082B4C2C"/>
    <w:rsid w:val="08410017"/>
    <w:rsid w:val="084D7821"/>
    <w:rsid w:val="0856C0A7"/>
    <w:rsid w:val="085F0F81"/>
    <w:rsid w:val="0877E7C5"/>
    <w:rsid w:val="087D9CEA"/>
    <w:rsid w:val="08859DC8"/>
    <w:rsid w:val="088A69B9"/>
    <w:rsid w:val="089815AB"/>
    <w:rsid w:val="0898E46E"/>
    <w:rsid w:val="089B3095"/>
    <w:rsid w:val="08A0192C"/>
    <w:rsid w:val="08A2FFAF"/>
    <w:rsid w:val="08A64EC5"/>
    <w:rsid w:val="08AEA32E"/>
    <w:rsid w:val="08AF64C8"/>
    <w:rsid w:val="08CCDE2B"/>
    <w:rsid w:val="08DD154F"/>
    <w:rsid w:val="08E78DA6"/>
    <w:rsid w:val="08E96D98"/>
    <w:rsid w:val="08FA71EB"/>
    <w:rsid w:val="08FD1F0A"/>
    <w:rsid w:val="091CD3A3"/>
    <w:rsid w:val="09313E1B"/>
    <w:rsid w:val="093EF26F"/>
    <w:rsid w:val="0944AB2D"/>
    <w:rsid w:val="09565137"/>
    <w:rsid w:val="0957DA36"/>
    <w:rsid w:val="0971F8B8"/>
    <w:rsid w:val="0973AE6F"/>
    <w:rsid w:val="0974B4AF"/>
    <w:rsid w:val="0980F4C0"/>
    <w:rsid w:val="098B2115"/>
    <w:rsid w:val="09A37D19"/>
    <w:rsid w:val="09A42A12"/>
    <w:rsid w:val="09B3A356"/>
    <w:rsid w:val="09B55EB1"/>
    <w:rsid w:val="09CB18BC"/>
    <w:rsid w:val="09EAE9F0"/>
    <w:rsid w:val="09EBED6D"/>
    <w:rsid w:val="09EEE739"/>
    <w:rsid w:val="09F257A6"/>
    <w:rsid w:val="09F4A593"/>
    <w:rsid w:val="0A03F9CA"/>
    <w:rsid w:val="0A0EEECE"/>
    <w:rsid w:val="0A1DAB49"/>
    <w:rsid w:val="0A25D721"/>
    <w:rsid w:val="0A30EBCD"/>
    <w:rsid w:val="0A321BF5"/>
    <w:rsid w:val="0A3D86E9"/>
    <w:rsid w:val="0A4B3529"/>
    <w:rsid w:val="0A4C3577"/>
    <w:rsid w:val="0A51E9C1"/>
    <w:rsid w:val="0A53CD12"/>
    <w:rsid w:val="0A5C5C45"/>
    <w:rsid w:val="0A673259"/>
    <w:rsid w:val="0A709C12"/>
    <w:rsid w:val="0A7CCD09"/>
    <w:rsid w:val="0A7FF474"/>
    <w:rsid w:val="0A840A8C"/>
    <w:rsid w:val="0A8B5337"/>
    <w:rsid w:val="0A92EB3B"/>
    <w:rsid w:val="0AA57F3C"/>
    <w:rsid w:val="0AB3F2A3"/>
    <w:rsid w:val="0AB73768"/>
    <w:rsid w:val="0AE28D66"/>
    <w:rsid w:val="0AED347C"/>
    <w:rsid w:val="0AF0E56F"/>
    <w:rsid w:val="0B0542B8"/>
    <w:rsid w:val="0B06C6C2"/>
    <w:rsid w:val="0B0A626B"/>
    <w:rsid w:val="0B1BCC0B"/>
    <w:rsid w:val="0B1C51FB"/>
    <w:rsid w:val="0B280162"/>
    <w:rsid w:val="0B3846CE"/>
    <w:rsid w:val="0B4E206D"/>
    <w:rsid w:val="0B4F0741"/>
    <w:rsid w:val="0B5DCFC0"/>
    <w:rsid w:val="0B6D38F4"/>
    <w:rsid w:val="0B890991"/>
    <w:rsid w:val="0B8E36AF"/>
    <w:rsid w:val="0B94F711"/>
    <w:rsid w:val="0B99F792"/>
    <w:rsid w:val="0B9DA3BA"/>
    <w:rsid w:val="0BAC7C27"/>
    <w:rsid w:val="0BACE6A1"/>
    <w:rsid w:val="0BB86068"/>
    <w:rsid w:val="0BC3263D"/>
    <w:rsid w:val="0BC571B3"/>
    <w:rsid w:val="0BD7B9EE"/>
    <w:rsid w:val="0BE7F9C2"/>
    <w:rsid w:val="0BE91AA4"/>
    <w:rsid w:val="0BF2DBC6"/>
    <w:rsid w:val="0BF3B196"/>
    <w:rsid w:val="0BF93C80"/>
    <w:rsid w:val="0C047EED"/>
    <w:rsid w:val="0C0F7048"/>
    <w:rsid w:val="0C159B1C"/>
    <w:rsid w:val="0C294DAF"/>
    <w:rsid w:val="0C456F32"/>
    <w:rsid w:val="0C5754D2"/>
    <w:rsid w:val="0C5A3D89"/>
    <w:rsid w:val="0C65ACDE"/>
    <w:rsid w:val="0C68A5B4"/>
    <w:rsid w:val="0C6A17E9"/>
    <w:rsid w:val="0C775B9A"/>
    <w:rsid w:val="0C81A3C9"/>
    <w:rsid w:val="0C81DAC4"/>
    <w:rsid w:val="0C85DD4E"/>
    <w:rsid w:val="0C8A6DF5"/>
    <w:rsid w:val="0C9D943B"/>
    <w:rsid w:val="0CAA2562"/>
    <w:rsid w:val="0CAF7001"/>
    <w:rsid w:val="0CB215E8"/>
    <w:rsid w:val="0CB6C6DE"/>
    <w:rsid w:val="0CBDA4E7"/>
    <w:rsid w:val="0CCF2B11"/>
    <w:rsid w:val="0CD9948E"/>
    <w:rsid w:val="0CE5A389"/>
    <w:rsid w:val="0CE5A548"/>
    <w:rsid w:val="0CE7EB89"/>
    <w:rsid w:val="0CEC1949"/>
    <w:rsid w:val="0CF55954"/>
    <w:rsid w:val="0D033B8F"/>
    <w:rsid w:val="0D0C11BE"/>
    <w:rsid w:val="0D20E944"/>
    <w:rsid w:val="0D23D228"/>
    <w:rsid w:val="0D28E95B"/>
    <w:rsid w:val="0D3DD536"/>
    <w:rsid w:val="0D3DF785"/>
    <w:rsid w:val="0D500EB4"/>
    <w:rsid w:val="0D50BE88"/>
    <w:rsid w:val="0D5EF69E"/>
    <w:rsid w:val="0D7FDC00"/>
    <w:rsid w:val="0D816265"/>
    <w:rsid w:val="0D95529D"/>
    <w:rsid w:val="0DAD5EA3"/>
    <w:rsid w:val="0DB024FF"/>
    <w:rsid w:val="0DC19F41"/>
    <w:rsid w:val="0DC414C8"/>
    <w:rsid w:val="0DD23606"/>
    <w:rsid w:val="0DDB9E35"/>
    <w:rsid w:val="0DECA11C"/>
    <w:rsid w:val="0DFB1B72"/>
    <w:rsid w:val="0DFB420D"/>
    <w:rsid w:val="0E05E84A"/>
    <w:rsid w:val="0E091B9D"/>
    <w:rsid w:val="0E0B16F6"/>
    <w:rsid w:val="0E169B47"/>
    <w:rsid w:val="0E1D4A82"/>
    <w:rsid w:val="0E21ADAF"/>
    <w:rsid w:val="0E4655E7"/>
    <w:rsid w:val="0E51D936"/>
    <w:rsid w:val="0E523C37"/>
    <w:rsid w:val="0E5538E4"/>
    <w:rsid w:val="0E572D5C"/>
    <w:rsid w:val="0E6875D6"/>
    <w:rsid w:val="0E6E7D45"/>
    <w:rsid w:val="0E76BEE7"/>
    <w:rsid w:val="0E8BE8CC"/>
    <w:rsid w:val="0E8CD8D9"/>
    <w:rsid w:val="0E9664E5"/>
    <w:rsid w:val="0E9F1F1F"/>
    <w:rsid w:val="0E9F33B3"/>
    <w:rsid w:val="0EAF53C6"/>
    <w:rsid w:val="0EB4C161"/>
    <w:rsid w:val="0EBEEF65"/>
    <w:rsid w:val="0ED3159B"/>
    <w:rsid w:val="0ED4D891"/>
    <w:rsid w:val="0ED87A90"/>
    <w:rsid w:val="0EDE5DCB"/>
    <w:rsid w:val="0EEAC3DD"/>
    <w:rsid w:val="0EEF2DCD"/>
    <w:rsid w:val="0EFB744E"/>
    <w:rsid w:val="0F03A809"/>
    <w:rsid w:val="0F0D60C4"/>
    <w:rsid w:val="0F0F50BD"/>
    <w:rsid w:val="0F30D0AA"/>
    <w:rsid w:val="0F37149F"/>
    <w:rsid w:val="0F430B9D"/>
    <w:rsid w:val="0F494C82"/>
    <w:rsid w:val="0F525228"/>
    <w:rsid w:val="0F5593E7"/>
    <w:rsid w:val="0F56992E"/>
    <w:rsid w:val="0F67AC78"/>
    <w:rsid w:val="0F6AB179"/>
    <w:rsid w:val="0F75BCCB"/>
    <w:rsid w:val="0F7A4727"/>
    <w:rsid w:val="0F80C5A7"/>
    <w:rsid w:val="0F8EACF3"/>
    <w:rsid w:val="0F8FE80C"/>
    <w:rsid w:val="0FA153C1"/>
    <w:rsid w:val="0FA2D46D"/>
    <w:rsid w:val="0FA98621"/>
    <w:rsid w:val="0FBB1576"/>
    <w:rsid w:val="0FBC46CA"/>
    <w:rsid w:val="0FBD751E"/>
    <w:rsid w:val="0FBEEA6D"/>
    <w:rsid w:val="0FC06797"/>
    <w:rsid w:val="0FD8B3DB"/>
    <w:rsid w:val="0FDF9605"/>
    <w:rsid w:val="0FF08AC6"/>
    <w:rsid w:val="1009CC7F"/>
    <w:rsid w:val="101D460A"/>
    <w:rsid w:val="10368829"/>
    <w:rsid w:val="1037CACD"/>
    <w:rsid w:val="10383DA8"/>
    <w:rsid w:val="10489EC2"/>
    <w:rsid w:val="104BD45A"/>
    <w:rsid w:val="104D4894"/>
    <w:rsid w:val="10571E42"/>
    <w:rsid w:val="1067DFA8"/>
    <w:rsid w:val="106A2524"/>
    <w:rsid w:val="106AC49E"/>
    <w:rsid w:val="106F8672"/>
    <w:rsid w:val="107ABDEB"/>
    <w:rsid w:val="109496C3"/>
    <w:rsid w:val="1094A63D"/>
    <w:rsid w:val="109656E5"/>
    <w:rsid w:val="1096AA4B"/>
    <w:rsid w:val="10C136D8"/>
    <w:rsid w:val="10C55C77"/>
    <w:rsid w:val="10CCD0E4"/>
    <w:rsid w:val="10D10162"/>
    <w:rsid w:val="10D39616"/>
    <w:rsid w:val="10D59C11"/>
    <w:rsid w:val="10DBFF80"/>
    <w:rsid w:val="10DCD163"/>
    <w:rsid w:val="10E3F49F"/>
    <w:rsid w:val="10EEF310"/>
    <w:rsid w:val="10FBB58A"/>
    <w:rsid w:val="1105CB31"/>
    <w:rsid w:val="11183AA0"/>
    <w:rsid w:val="1125933B"/>
    <w:rsid w:val="1126BFEC"/>
    <w:rsid w:val="112E1D33"/>
    <w:rsid w:val="11317E4D"/>
    <w:rsid w:val="11400296"/>
    <w:rsid w:val="1142BB65"/>
    <w:rsid w:val="114AB3B4"/>
    <w:rsid w:val="115134B3"/>
    <w:rsid w:val="11526884"/>
    <w:rsid w:val="1159F18C"/>
    <w:rsid w:val="1180FFA4"/>
    <w:rsid w:val="118622B5"/>
    <w:rsid w:val="1188FC6C"/>
    <w:rsid w:val="1191FB97"/>
    <w:rsid w:val="11A02D70"/>
    <w:rsid w:val="11CF52E6"/>
    <w:rsid w:val="11F904E8"/>
    <w:rsid w:val="11FDF4FF"/>
    <w:rsid w:val="120B0C3F"/>
    <w:rsid w:val="1212E24F"/>
    <w:rsid w:val="12175F18"/>
    <w:rsid w:val="1237965F"/>
    <w:rsid w:val="12393985"/>
    <w:rsid w:val="12462DEE"/>
    <w:rsid w:val="124AE974"/>
    <w:rsid w:val="124C8B18"/>
    <w:rsid w:val="1252E173"/>
    <w:rsid w:val="126A5CEC"/>
    <w:rsid w:val="126B8FF0"/>
    <w:rsid w:val="12713DA0"/>
    <w:rsid w:val="1282E462"/>
    <w:rsid w:val="1290CD4C"/>
    <w:rsid w:val="129485FB"/>
    <w:rsid w:val="1297EF91"/>
    <w:rsid w:val="129D9D9C"/>
    <w:rsid w:val="12B55FAD"/>
    <w:rsid w:val="12B5F079"/>
    <w:rsid w:val="12C8FAF3"/>
    <w:rsid w:val="12CDF479"/>
    <w:rsid w:val="12EB43BF"/>
    <w:rsid w:val="12F0DB7A"/>
    <w:rsid w:val="130022AD"/>
    <w:rsid w:val="1301B0B2"/>
    <w:rsid w:val="1305DD1B"/>
    <w:rsid w:val="130FC49B"/>
    <w:rsid w:val="13208DDD"/>
    <w:rsid w:val="132329F2"/>
    <w:rsid w:val="1324D0A1"/>
    <w:rsid w:val="13310DE9"/>
    <w:rsid w:val="134F2C45"/>
    <w:rsid w:val="13544EB1"/>
    <w:rsid w:val="135CCA84"/>
    <w:rsid w:val="1369B7A7"/>
    <w:rsid w:val="1371CA5F"/>
    <w:rsid w:val="1375CB5A"/>
    <w:rsid w:val="1382C208"/>
    <w:rsid w:val="138E6FF3"/>
    <w:rsid w:val="13960378"/>
    <w:rsid w:val="13B681B7"/>
    <w:rsid w:val="13B9770F"/>
    <w:rsid w:val="13B9E98E"/>
    <w:rsid w:val="13CBAA2B"/>
    <w:rsid w:val="13CE8FD4"/>
    <w:rsid w:val="13CEE2B3"/>
    <w:rsid w:val="13CEFE82"/>
    <w:rsid w:val="13D0E680"/>
    <w:rsid w:val="13D7CE13"/>
    <w:rsid w:val="13E15F7A"/>
    <w:rsid w:val="13ED244C"/>
    <w:rsid w:val="13FC3521"/>
    <w:rsid w:val="1401CB7D"/>
    <w:rsid w:val="1407A30D"/>
    <w:rsid w:val="140BF50A"/>
    <w:rsid w:val="1412130C"/>
    <w:rsid w:val="141B9612"/>
    <w:rsid w:val="141C0CCC"/>
    <w:rsid w:val="141C8A07"/>
    <w:rsid w:val="142230B5"/>
    <w:rsid w:val="142564AD"/>
    <w:rsid w:val="142F60AE"/>
    <w:rsid w:val="1448C6C2"/>
    <w:rsid w:val="144FBD09"/>
    <w:rsid w:val="1461EBDE"/>
    <w:rsid w:val="14685CFF"/>
    <w:rsid w:val="146AAA83"/>
    <w:rsid w:val="1473B799"/>
    <w:rsid w:val="1477B701"/>
    <w:rsid w:val="1477C6D6"/>
    <w:rsid w:val="14784FDE"/>
    <w:rsid w:val="147FB1A2"/>
    <w:rsid w:val="14871420"/>
    <w:rsid w:val="149205D4"/>
    <w:rsid w:val="149A9F51"/>
    <w:rsid w:val="14A23CF8"/>
    <w:rsid w:val="14AC24FE"/>
    <w:rsid w:val="14B41284"/>
    <w:rsid w:val="14DA67DE"/>
    <w:rsid w:val="14ED9E03"/>
    <w:rsid w:val="14F31A54"/>
    <w:rsid w:val="14F81158"/>
    <w:rsid w:val="15043627"/>
    <w:rsid w:val="1504D0F9"/>
    <w:rsid w:val="15068DE7"/>
    <w:rsid w:val="150A8A30"/>
    <w:rsid w:val="1511A610"/>
    <w:rsid w:val="151359FB"/>
    <w:rsid w:val="1515B8E9"/>
    <w:rsid w:val="15209289"/>
    <w:rsid w:val="1527193F"/>
    <w:rsid w:val="15425B57"/>
    <w:rsid w:val="1546E781"/>
    <w:rsid w:val="15485346"/>
    <w:rsid w:val="155F8D06"/>
    <w:rsid w:val="156362EC"/>
    <w:rsid w:val="15677A8C"/>
    <w:rsid w:val="1568ECC1"/>
    <w:rsid w:val="156C2153"/>
    <w:rsid w:val="157DCEB0"/>
    <w:rsid w:val="1583E484"/>
    <w:rsid w:val="15842BDA"/>
    <w:rsid w:val="1590053C"/>
    <w:rsid w:val="1592BB93"/>
    <w:rsid w:val="1592D067"/>
    <w:rsid w:val="15A0BB56"/>
    <w:rsid w:val="15AC2722"/>
    <w:rsid w:val="15B6739A"/>
    <w:rsid w:val="15B71F9C"/>
    <w:rsid w:val="15B9104E"/>
    <w:rsid w:val="15B97D8B"/>
    <w:rsid w:val="15BB6D4C"/>
    <w:rsid w:val="15BC5B99"/>
    <w:rsid w:val="15BFC6A3"/>
    <w:rsid w:val="15C95E29"/>
    <w:rsid w:val="15D9DA7B"/>
    <w:rsid w:val="15DA7ACC"/>
    <w:rsid w:val="15FDBC3F"/>
    <w:rsid w:val="1607E78D"/>
    <w:rsid w:val="160905AD"/>
    <w:rsid w:val="161773D2"/>
    <w:rsid w:val="1624391A"/>
    <w:rsid w:val="162F55C0"/>
    <w:rsid w:val="163CEF29"/>
    <w:rsid w:val="163D555E"/>
    <w:rsid w:val="163FA500"/>
    <w:rsid w:val="16493A3C"/>
    <w:rsid w:val="165FCC4A"/>
    <w:rsid w:val="166681CD"/>
    <w:rsid w:val="166A5F0E"/>
    <w:rsid w:val="166B9680"/>
    <w:rsid w:val="168164CB"/>
    <w:rsid w:val="16942775"/>
    <w:rsid w:val="169ACE58"/>
    <w:rsid w:val="16ACAFE4"/>
    <w:rsid w:val="16AD407E"/>
    <w:rsid w:val="16D04753"/>
    <w:rsid w:val="16D55526"/>
    <w:rsid w:val="170076B4"/>
    <w:rsid w:val="17073559"/>
    <w:rsid w:val="170A99B5"/>
    <w:rsid w:val="171FFC3B"/>
    <w:rsid w:val="17207995"/>
    <w:rsid w:val="172E5CF3"/>
    <w:rsid w:val="173C987B"/>
    <w:rsid w:val="174D4C3B"/>
    <w:rsid w:val="1767FF7C"/>
    <w:rsid w:val="1769465F"/>
    <w:rsid w:val="176C8EFC"/>
    <w:rsid w:val="1781059B"/>
    <w:rsid w:val="17A10EC5"/>
    <w:rsid w:val="17BA6BC4"/>
    <w:rsid w:val="17CC9698"/>
    <w:rsid w:val="17F600E6"/>
    <w:rsid w:val="180797B2"/>
    <w:rsid w:val="1815BA50"/>
    <w:rsid w:val="18186EB3"/>
    <w:rsid w:val="181D6297"/>
    <w:rsid w:val="181E589B"/>
    <w:rsid w:val="182BA598"/>
    <w:rsid w:val="182D778D"/>
    <w:rsid w:val="1835EAA7"/>
    <w:rsid w:val="184490E0"/>
    <w:rsid w:val="18465178"/>
    <w:rsid w:val="1846876C"/>
    <w:rsid w:val="184CC12E"/>
    <w:rsid w:val="18513458"/>
    <w:rsid w:val="18534EB9"/>
    <w:rsid w:val="18623CDB"/>
    <w:rsid w:val="187486A6"/>
    <w:rsid w:val="18762BE9"/>
    <w:rsid w:val="187978B3"/>
    <w:rsid w:val="188B9561"/>
    <w:rsid w:val="1893C0B4"/>
    <w:rsid w:val="189E6515"/>
    <w:rsid w:val="18B32CBC"/>
    <w:rsid w:val="18BD052D"/>
    <w:rsid w:val="18C4301F"/>
    <w:rsid w:val="18E2EA67"/>
    <w:rsid w:val="18E45254"/>
    <w:rsid w:val="18E6781C"/>
    <w:rsid w:val="18EF4F24"/>
    <w:rsid w:val="18F1886A"/>
    <w:rsid w:val="18F941C6"/>
    <w:rsid w:val="190B92B6"/>
    <w:rsid w:val="1912C20A"/>
    <w:rsid w:val="1920A23E"/>
    <w:rsid w:val="19308E56"/>
    <w:rsid w:val="19355D01"/>
    <w:rsid w:val="193802F6"/>
    <w:rsid w:val="1938DEF2"/>
    <w:rsid w:val="193B2CB9"/>
    <w:rsid w:val="193CF1D1"/>
    <w:rsid w:val="194CFE43"/>
    <w:rsid w:val="1951B724"/>
    <w:rsid w:val="19548939"/>
    <w:rsid w:val="19575EDE"/>
    <w:rsid w:val="19613E5A"/>
    <w:rsid w:val="19645764"/>
    <w:rsid w:val="19747EB3"/>
    <w:rsid w:val="198B2659"/>
    <w:rsid w:val="19900A08"/>
    <w:rsid w:val="19A41918"/>
    <w:rsid w:val="19A4E9CC"/>
    <w:rsid w:val="19A7FEE7"/>
    <w:rsid w:val="19B5B502"/>
    <w:rsid w:val="19BC15AA"/>
    <w:rsid w:val="19BE4BB1"/>
    <w:rsid w:val="19C3C1F3"/>
    <w:rsid w:val="19C65451"/>
    <w:rsid w:val="19CE0723"/>
    <w:rsid w:val="19D00CEB"/>
    <w:rsid w:val="19D45ECE"/>
    <w:rsid w:val="19FA8A62"/>
    <w:rsid w:val="19FB5234"/>
    <w:rsid w:val="1A0C6EA6"/>
    <w:rsid w:val="1A26FFA7"/>
    <w:rsid w:val="1A2F11AD"/>
    <w:rsid w:val="1A2F22BF"/>
    <w:rsid w:val="1A32B6C6"/>
    <w:rsid w:val="1A3BF8FA"/>
    <w:rsid w:val="1A404E3A"/>
    <w:rsid w:val="1A43A108"/>
    <w:rsid w:val="1A4E8182"/>
    <w:rsid w:val="1A54AF5F"/>
    <w:rsid w:val="1A61ABC1"/>
    <w:rsid w:val="1A6B2C95"/>
    <w:rsid w:val="1A75682E"/>
    <w:rsid w:val="1A80CA6D"/>
    <w:rsid w:val="1A899612"/>
    <w:rsid w:val="1AB26A4B"/>
    <w:rsid w:val="1AB4C33B"/>
    <w:rsid w:val="1AB901AA"/>
    <w:rsid w:val="1AC51D15"/>
    <w:rsid w:val="1ACC7581"/>
    <w:rsid w:val="1AE2F91D"/>
    <w:rsid w:val="1B074D79"/>
    <w:rsid w:val="1B0F8561"/>
    <w:rsid w:val="1B125AF8"/>
    <w:rsid w:val="1B1382AF"/>
    <w:rsid w:val="1B1D48CD"/>
    <w:rsid w:val="1B25E3AB"/>
    <w:rsid w:val="1B2831E5"/>
    <w:rsid w:val="1B361068"/>
    <w:rsid w:val="1B3F6174"/>
    <w:rsid w:val="1B51E554"/>
    <w:rsid w:val="1B6A26BD"/>
    <w:rsid w:val="1B80FBAE"/>
    <w:rsid w:val="1B89CF1E"/>
    <w:rsid w:val="1B8CA659"/>
    <w:rsid w:val="1B9D7F75"/>
    <w:rsid w:val="1BAF401F"/>
    <w:rsid w:val="1BB13DDC"/>
    <w:rsid w:val="1BC98122"/>
    <w:rsid w:val="1BD3A356"/>
    <w:rsid w:val="1BE2DFF8"/>
    <w:rsid w:val="1BF3EAB8"/>
    <w:rsid w:val="1C024A6B"/>
    <w:rsid w:val="1C0DB7F3"/>
    <w:rsid w:val="1C118673"/>
    <w:rsid w:val="1C1497A4"/>
    <w:rsid w:val="1C2B5785"/>
    <w:rsid w:val="1C3CB778"/>
    <w:rsid w:val="1C4C3C56"/>
    <w:rsid w:val="1C53B9E5"/>
    <w:rsid w:val="1C595714"/>
    <w:rsid w:val="1C5DC23E"/>
    <w:rsid w:val="1C631924"/>
    <w:rsid w:val="1C6CFB65"/>
    <w:rsid w:val="1C6EA51C"/>
    <w:rsid w:val="1C7C252A"/>
    <w:rsid w:val="1C7D329A"/>
    <w:rsid w:val="1C8B5E9C"/>
    <w:rsid w:val="1C9C8E62"/>
    <w:rsid w:val="1CA31864"/>
    <w:rsid w:val="1CAC96E2"/>
    <w:rsid w:val="1CAD5840"/>
    <w:rsid w:val="1CB565E3"/>
    <w:rsid w:val="1CC442F3"/>
    <w:rsid w:val="1CDFC025"/>
    <w:rsid w:val="1CE48E13"/>
    <w:rsid w:val="1CE69D86"/>
    <w:rsid w:val="1CEB8464"/>
    <w:rsid w:val="1CEE622A"/>
    <w:rsid w:val="1CF89BC5"/>
    <w:rsid w:val="1D199026"/>
    <w:rsid w:val="1D24A57B"/>
    <w:rsid w:val="1D24BEB5"/>
    <w:rsid w:val="1D29C892"/>
    <w:rsid w:val="1D2B1CEE"/>
    <w:rsid w:val="1D2D22A6"/>
    <w:rsid w:val="1D2EE96B"/>
    <w:rsid w:val="1D3A48A6"/>
    <w:rsid w:val="1D3AF2F2"/>
    <w:rsid w:val="1D47B474"/>
    <w:rsid w:val="1D5A5CB5"/>
    <w:rsid w:val="1D5DAB88"/>
    <w:rsid w:val="1D5EA069"/>
    <w:rsid w:val="1D622C50"/>
    <w:rsid w:val="1D657211"/>
    <w:rsid w:val="1D7D7430"/>
    <w:rsid w:val="1D93D24D"/>
    <w:rsid w:val="1DB5C4B7"/>
    <w:rsid w:val="1DC20919"/>
    <w:rsid w:val="1DC23991"/>
    <w:rsid w:val="1DC43565"/>
    <w:rsid w:val="1DCC6454"/>
    <w:rsid w:val="1DCCB2E9"/>
    <w:rsid w:val="1DD8C24A"/>
    <w:rsid w:val="1DE349A6"/>
    <w:rsid w:val="1DFC5A22"/>
    <w:rsid w:val="1E029AF7"/>
    <w:rsid w:val="1E3603CD"/>
    <w:rsid w:val="1E379522"/>
    <w:rsid w:val="1E3CD2B4"/>
    <w:rsid w:val="1E3F4414"/>
    <w:rsid w:val="1E439817"/>
    <w:rsid w:val="1E484C32"/>
    <w:rsid w:val="1E4875AB"/>
    <w:rsid w:val="1E4DE410"/>
    <w:rsid w:val="1E596BC7"/>
    <w:rsid w:val="1E5A4B28"/>
    <w:rsid w:val="1E7C5F48"/>
    <w:rsid w:val="1E83A912"/>
    <w:rsid w:val="1E95EFDD"/>
    <w:rsid w:val="1EA396D5"/>
    <w:rsid w:val="1EAD2A53"/>
    <w:rsid w:val="1EBE15E1"/>
    <w:rsid w:val="1ECA496C"/>
    <w:rsid w:val="1ED8619B"/>
    <w:rsid w:val="1ED8FB02"/>
    <w:rsid w:val="1EDA1ECE"/>
    <w:rsid w:val="1EDFC740"/>
    <w:rsid w:val="1EEB157E"/>
    <w:rsid w:val="1EF784E4"/>
    <w:rsid w:val="1EF8B663"/>
    <w:rsid w:val="1EF8EBAB"/>
    <w:rsid w:val="1F0121E4"/>
    <w:rsid w:val="1F1B4334"/>
    <w:rsid w:val="1F1EB7ED"/>
    <w:rsid w:val="1F2BC186"/>
    <w:rsid w:val="1F302D2D"/>
    <w:rsid w:val="1F3D2C25"/>
    <w:rsid w:val="1F40DEDC"/>
    <w:rsid w:val="1F46B765"/>
    <w:rsid w:val="1F473774"/>
    <w:rsid w:val="1F57A8E4"/>
    <w:rsid w:val="1F62F847"/>
    <w:rsid w:val="1F718D56"/>
    <w:rsid w:val="1F7FE9C1"/>
    <w:rsid w:val="1F82DB80"/>
    <w:rsid w:val="1F8B5AA7"/>
    <w:rsid w:val="1F8E8139"/>
    <w:rsid w:val="1F941FAA"/>
    <w:rsid w:val="1F969CA2"/>
    <w:rsid w:val="1FA6BF97"/>
    <w:rsid w:val="1FB9A345"/>
    <w:rsid w:val="1FBA5DF7"/>
    <w:rsid w:val="1FC0F8A8"/>
    <w:rsid w:val="1FC448A1"/>
    <w:rsid w:val="1FD03ACC"/>
    <w:rsid w:val="1FD363FE"/>
    <w:rsid w:val="1FD5CBEB"/>
    <w:rsid w:val="1FDFEFED"/>
    <w:rsid w:val="1FE26611"/>
    <w:rsid w:val="1FE437A4"/>
    <w:rsid w:val="1FEF0E6A"/>
    <w:rsid w:val="1FF03790"/>
    <w:rsid w:val="20001910"/>
    <w:rsid w:val="200F692B"/>
    <w:rsid w:val="2014078D"/>
    <w:rsid w:val="20182FA9"/>
    <w:rsid w:val="203B575A"/>
    <w:rsid w:val="20500224"/>
    <w:rsid w:val="2050195E"/>
    <w:rsid w:val="2088763B"/>
    <w:rsid w:val="2089B407"/>
    <w:rsid w:val="208B4629"/>
    <w:rsid w:val="208D97C2"/>
    <w:rsid w:val="20934825"/>
    <w:rsid w:val="2093CCE2"/>
    <w:rsid w:val="209A7E96"/>
    <w:rsid w:val="209C6E02"/>
    <w:rsid w:val="209CF245"/>
    <w:rsid w:val="20A45D65"/>
    <w:rsid w:val="20A51644"/>
    <w:rsid w:val="20AFBFD8"/>
    <w:rsid w:val="20B0DD52"/>
    <w:rsid w:val="20BBB7D3"/>
    <w:rsid w:val="20C6F0A2"/>
    <w:rsid w:val="20CAE605"/>
    <w:rsid w:val="20D0BC9A"/>
    <w:rsid w:val="20DEA968"/>
    <w:rsid w:val="20E6368A"/>
    <w:rsid w:val="20E9FC11"/>
    <w:rsid w:val="20FC0DD7"/>
    <w:rsid w:val="2110DD78"/>
    <w:rsid w:val="211FF98E"/>
    <w:rsid w:val="21211895"/>
    <w:rsid w:val="21225A18"/>
    <w:rsid w:val="2124497D"/>
    <w:rsid w:val="212D1D87"/>
    <w:rsid w:val="212E934B"/>
    <w:rsid w:val="212FF00B"/>
    <w:rsid w:val="2132E446"/>
    <w:rsid w:val="21397CEA"/>
    <w:rsid w:val="213B1CEC"/>
    <w:rsid w:val="213C78F6"/>
    <w:rsid w:val="2143E969"/>
    <w:rsid w:val="215895B0"/>
    <w:rsid w:val="21599852"/>
    <w:rsid w:val="2160A13B"/>
    <w:rsid w:val="2162FA4D"/>
    <w:rsid w:val="2180D552"/>
    <w:rsid w:val="21A37B53"/>
    <w:rsid w:val="21B3CCF6"/>
    <w:rsid w:val="21C9D027"/>
    <w:rsid w:val="21D7CD33"/>
    <w:rsid w:val="21EE9448"/>
    <w:rsid w:val="21FE6973"/>
    <w:rsid w:val="22076743"/>
    <w:rsid w:val="2211F164"/>
    <w:rsid w:val="2215ED7D"/>
    <w:rsid w:val="221D539B"/>
    <w:rsid w:val="22462F6A"/>
    <w:rsid w:val="224A896B"/>
    <w:rsid w:val="22536F2D"/>
    <w:rsid w:val="2255B62A"/>
    <w:rsid w:val="225D8B1A"/>
    <w:rsid w:val="225F4F31"/>
    <w:rsid w:val="22724AD2"/>
    <w:rsid w:val="22772104"/>
    <w:rsid w:val="227A2B06"/>
    <w:rsid w:val="228BA7E9"/>
    <w:rsid w:val="229CB893"/>
    <w:rsid w:val="22B5DE90"/>
    <w:rsid w:val="22C019DE"/>
    <w:rsid w:val="22DF5E22"/>
    <w:rsid w:val="22EBA170"/>
    <w:rsid w:val="22F05090"/>
    <w:rsid w:val="22F539EC"/>
    <w:rsid w:val="22FA07C5"/>
    <w:rsid w:val="2317A504"/>
    <w:rsid w:val="231830E6"/>
    <w:rsid w:val="2321A8AC"/>
    <w:rsid w:val="23230848"/>
    <w:rsid w:val="23288E5D"/>
    <w:rsid w:val="232CC800"/>
    <w:rsid w:val="234B6F1D"/>
    <w:rsid w:val="234F569E"/>
    <w:rsid w:val="23508578"/>
    <w:rsid w:val="235B9BAF"/>
    <w:rsid w:val="236D8147"/>
    <w:rsid w:val="239C93C9"/>
    <w:rsid w:val="23ADAEB0"/>
    <w:rsid w:val="23C2234B"/>
    <w:rsid w:val="23C3A977"/>
    <w:rsid w:val="23C9B2E3"/>
    <w:rsid w:val="23D1332C"/>
    <w:rsid w:val="23DC5A99"/>
    <w:rsid w:val="23E87E14"/>
    <w:rsid w:val="23EA0443"/>
    <w:rsid w:val="23EB2DB0"/>
    <w:rsid w:val="2400743D"/>
    <w:rsid w:val="24090083"/>
    <w:rsid w:val="2418E5C4"/>
    <w:rsid w:val="2419958D"/>
    <w:rsid w:val="24206777"/>
    <w:rsid w:val="242F55DD"/>
    <w:rsid w:val="243C50D2"/>
    <w:rsid w:val="247B2E83"/>
    <w:rsid w:val="248E16A7"/>
    <w:rsid w:val="248EDECC"/>
    <w:rsid w:val="24969FBB"/>
    <w:rsid w:val="249BD49C"/>
    <w:rsid w:val="24A6415A"/>
    <w:rsid w:val="24A8DD78"/>
    <w:rsid w:val="24AB231C"/>
    <w:rsid w:val="24B012B4"/>
    <w:rsid w:val="24BC6ECB"/>
    <w:rsid w:val="24CB27BC"/>
    <w:rsid w:val="24CBB102"/>
    <w:rsid w:val="24CD2B67"/>
    <w:rsid w:val="24CF1E57"/>
    <w:rsid w:val="24D6AA63"/>
    <w:rsid w:val="24D9B650"/>
    <w:rsid w:val="24DDDAC1"/>
    <w:rsid w:val="24E2D5CF"/>
    <w:rsid w:val="24F18E9E"/>
    <w:rsid w:val="251E8EFA"/>
    <w:rsid w:val="2520ADFA"/>
    <w:rsid w:val="2528549F"/>
    <w:rsid w:val="25319552"/>
    <w:rsid w:val="253EF7C5"/>
    <w:rsid w:val="254A76E3"/>
    <w:rsid w:val="254DF25D"/>
    <w:rsid w:val="255F2B75"/>
    <w:rsid w:val="256BA7BB"/>
    <w:rsid w:val="259B030A"/>
    <w:rsid w:val="25A37B65"/>
    <w:rsid w:val="25A3E083"/>
    <w:rsid w:val="25AB2149"/>
    <w:rsid w:val="25BEEAAF"/>
    <w:rsid w:val="25C47A55"/>
    <w:rsid w:val="25CE3B94"/>
    <w:rsid w:val="25EBAE96"/>
    <w:rsid w:val="25FBFA50"/>
    <w:rsid w:val="2604AB43"/>
    <w:rsid w:val="2614A655"/>
    <w:rsid w:val="261FC8E6"/>
    <w:rsid w:val="262F08ED"/>
    <w:rsid w:val="263758F2"/>
    <w:rsid w:val="2639AFD5"/>
    <w:rsid w:val="263E6C24"/>
    <w:rsid w:val="26495D62"/>
    <w:rsid w:val="26581588"/>
    <w:rsid w:val="2671931F"/>
    <w:rsid w:val="2686F143"/>
    <w:rsid w:val="26A84BD7"/>
    <w:rsid w:val="26B6C0B9"/>
    <w:rsid w:val="26C927C6"/>
    <w:rsid w:val="26C9CBF9"/>
    <w:rsid w:val="26D26A98"/>
    <w:rsid w:val="26D8D405"/>
    <w:rsid w:val="26DD5913"/>
    <w:rsid w:val="26E1FB6E"/>
    <w:rsid w:val="26E33824"/>
    <w:rsid w:val="26EB0919"/>
    <w:rsid w:val="27046BC2"/>
    <w:rsid w:val="2711C010"/>
    <w:rsid w:val="272FE35B"/>
    <w:rsid w:val="274323A9"/>
    <w:rsid w:val="27464845"/>
    <w:rsid w:val="27474826"/>
    <w:rsid w:val="274BF171"/>
    <w:rsid w:val="275321CF"/>
    <w:rsid w:val="27608B91"/>
    <w:rsid w:val="27636720"/>
    <w:rsid w:val="2763E1A2"/>
    <w:rsid w:val="27711812"/>
    <w:rsid w:val="277E3315"/>
    <w:rsid w:val="27808188"/>
    <w:rsid w:val="2784A019"/>
    <w:rsid w:val="2787B44B"/>
    <w:rsid w:val="278CE0D7"/>
    <w:rsid w:val="27970C8B"/>
    <w:rsid w:val="27997AAA"/>
    <w:rsid w:val="27A40103"/>
    <w:rsid w:val="27A7257C"/>
    <w:rsid w:val="27ACB35E"/>
    <w:rsid w:val="27C07DA8"/>
    <w:rsid w:val="27D80ED2"/>
    <w:rsid w:val="27DFC9BF"/>
    <w:rsid w:val="27E0A919"/>
    <w:rsid w:val="27E440AB"/>
    <w:rsid w:val="27F13514"/>
    <w:rsid w:val="27F9A0DB"/>
    <w:rsid w:val="27F9FEDE"/>
    <w:rsid w:val="27FC103D"/>
    <w:rsid w:val="27FEED42"/>
    <w:rsid w:val="28002D35"/>
    <w:rsid w:val="2810BA9B"/>
    <w:rsid w:val="2817B89C"/>
    <w:rsid w:val="281883A0"/>
    <w:rsid w:val="282ABBDD"/>
    <w:rsid w:val="283BA584"/>
    <w:rsid w:val="283FDD7A"/>
    <w:rsid w:val="284713E5"/>
    <w:rsid w:val="2847FC0D"/>
    <w:rsid w:val="284ACBD8"/>
    <w:rsid w:val="285093EF"/>
    <w:rsid w:val="28528D12"/>
    <w:rsid w:val="28593E3F"/>
    <w:rsid w:val="2860B5A4"/>
    <w:rsid w:val="286604A4"/>
    <w:rsid w:val="286ABA9E"/>
    <w:rsid w:val="286B9A3F"/>
    <w:rsid w:val="286D9DB9"/>
    <w:rsid w:val="286FEB13"/>
    <w:rsid w:val="28788233"/>
    <w:rsid w:val="287BE663"/>
    <w:rsid w:val="287F8E9C"/>
    <w:rsid w:val="28811CC8"/>
    <w:rsid w:val="28870B2A"/>
    <w:rsid w:val="288A69EB"/>
    <w:rsid w:val="288CD71F"/>
    <w:rsid w:val="289B6DBD"/>
    <w:rsid w:val="28A3E120"/>
    <w:rsid w:val="28B14AEB"/>
    <w:rsid w:val="28B5EAA0"/>
    <w:rsid w:val="28BAE73D"/>
    <w:rsid w:val="28C89B9F"/>
    <w:rsid w:val="28CF7E4E"/>
    <w:rsid w:val="28D2D249"/>
    <w:rsid w:val="28E12C3A"/>
    <w:rsid w:val="28ED5053"/>
    <w:rsid w:val="28FAB88D"/>
    <w:rsid w:val="2912F4EF"/>
    <w:rsid w:val="291443B9"/>
    <w:rsid w:val="291C6E8B"/>
    <w:rsid w:val="2926A047"/>
    <w:rsid w:val="292DE634"/>
    <w:rsid w:val="2937426D"/>
    <w:rsid w:val="293F5384"/>
    <w:rsid w:val="2946AEDB"/>
    <w:rsid w:val="294A0E21"/>
    <w:rsid w:val="295C0608"/>
    <w:rsid w:val="2964E41A"/>
    <w:rsid w:val="296F48F2"/>
    <w:rsid w:val="29713727"/>
    <w:rsid w:val="2979FD4C"/>
    <w:rsid w:val="2985B001"/>
    <w:rsid w:val="2989D637"/>
    <w:rsid w:val="298FB64A"/>
    <w:rsid w:val="29AEA53C"/>
    <w:rsid w:val="29B1A87C"/>
    <w:rsid w:val="29BAFE86"/>
    <w:rsid w:val="29C0F08C"/>
    <w:rsid w:val="29E0E13F"/>
    <w:rsid w:val="29EC7EB0"/>
    <w:rsid w:val="29ED62A2"/>
    <w:rsid w:val="2A1548B2"/>
    <w:rsid w:val="2A20F34C"/>
    <w:rsid w:val="2A28DF93"/>
    <w:rsid w:val="2A2B9DA1"/>
    <w:rsid w:val="2A2FDF7C"/>
    <w:rsid w:val="2A320DCE"/>
    <w:rsid w:val="2A323C43"/>
    <w:rsid w:val="2A341694"/>
    <w:rsid w:val="2A37D4F1"/>
    <w:rsid w:val="2A38F467"/>
    <w:rsid w:val="2A46C621"/>
    <w:rsid w:val="2A4B43A3"/>
    <w:rsid w:val="2A4CD13C"/>
    <w:rsid w:val="2A4FD384"/>
    <w:rsid w:val="2A51BB01"/>
    <w:rsid w:val="2A5CFBED"/>
    <w:rsid w:val="2A5EB5DF"/>
    <w:rsid w:val="2A6520E7"/>
    <w:rsid w:val="2A801F81"/>
    <w:rsid w:val="2A8F9469"/>
    <w:rsid w:val="2A9B2E0E"/>
    <w:rsid w:val="2A9E9761"/>
    <w:rsid w:val="2AA170B9"/>
    <w:rsid w:val="2AA39CE1"/>
    <w:rsid w:val="2AA8D484"/>
    <w:rsid w:val="2AAC6148"/>
    <w:rsid w:val="2AB2230C"/>
    <w:rsid w:val="2ABEB99C"/>
    <w:rsid w:val="2AC28B1A"/>
    <w:rsid w:val="2AC9810B"/>
    <w:rsid w:val="2AD6D251"/>
    <w:rsid w:val="2AE4DB9D"/>
    <w:rsid w:val="2AE6C571"/>
    <w:rsid w:val="2AF21D04"/>
    <w:rsid w:val="2AFA4DF2"/>
    <w:rsid w:val="2B26DF90"/>
    <w:rsid w:val="2B29660E"/>
    <w:rsid w:val="2B2B86AB"/>
    <w:rsid w:val="2B2BC845"/>
    <w:rsid w:val="2B36C867"/>
    <w:rsid w:val="2B43174F"/>
    <w:rsid w:val="2B4810E5"/>
    <w:rsid w:val="2B50A843"/>
    <w:rsid w:val="2B5F2C98"/>
    <w:rsid w:val="2B6E7CD5"/>
    <w:rsid w:val="2B7495B0"/>
    <w:rsid w:val="2B75E480"/>
    <w:rsid w:val="2B8A024B"/>
    <w:rsid w:val="2B8D2F93"/>
    <w:rsid w:val="2B964F06"/>
    <w:rsid w:val="2BA802F0"/>
    <w:rsid w:val="2BDB663F"/>
    <w:rsid w:val="2BE3E04A"/>
    <w:rsid w:val="2BE7F583"/>
    <w:rsid w:val="2BF63F95"/>
    <w:rsid w:val="2BF64F72"/>
    <w:rsid w:val="2BFB6BD3"/>
    <w:rsid w:val="2C04BC36"/>
    <w:rsid w:val="2C1AAD3E"/>
    <w:rsid w:val="2C1E6569"/>
    <w:rsid w:val="2C258AA8"/>
    <w:rsid w:val="2C2B3087"/>
    <w:rsid w:val="2C303B93"/>
    <w:rsid w:val="2C3178F8"/>
    <w:rsid w:val="2C32CBD9"/>
    <w:rsid w:val="2C376347"/>
    <w:rsid w:val="2C3999D1"/>
    <w:rsid w:val="2C3B111E"/>
    <w:rsid w:val="2C3BBB4F"/>
    <w:rsid w:val="2C4105C0"/>
    <w:rsid w:val="2C44B947"/>
    <w:rsid w:val="2C471C7D"/>
    <w:rsid w:val="2C4EA608"/>
    <w:rsid w:val="2C54AC8A"/>
    <w:rsid w:val="2C55CAED"/>
    <w:rsid w:val="2C6039E0"/>
    <w:rsid w:val="2C64E29D"/>
    <w:rsid w:val="2C65CBB3"/>
    <w:rsid w:val="2C66539A"/>
    <w:rsid w:val="2C7352FD"/>
    <w:rsid w:val="2C864068"/>
    <w:rsid w:val="2C9FDA06"/>
    <w:rsid w:val="2CA6F95C"/>
    <w:rsid w:val="2CAB15B5"/>
    <w:rsid w:val="2CB0E5FF"/>
    <w:rsid w:val="2CBB6202"/>
    <w:rsid w:val="2CC40D5C"/>
    <w:rsid w:val="2CC4E314"/>
    <w:rsid w:val="2CC71AE6"/>
    <w:rsid w:val="2CCAA832"/>
    <w:rsid w:val="2CD5D5C8"/>
    <w:rsid w:val="2CE13AAF"/>
    <w:rsid w:val="2CE39584"/>
    <w:rsid w:val="2CE4A918"/>
    <w:rsid w:val="2CE626E0"/>
    <w:rsid w:val="2CED261A"/>
    <w:rsid w:val="2CF68A35"/>
    <w:rsid w:val="2CFAE9A1"/>
    <w:rsid w:val="2D003D35"/>
    <w:rsid w:val="2D04FD8B"/>
    <w:rsid w:val="2D0AB0C1"/>
    <w:rsid w:val="2D10C027"/>
    <w:rsid w:val="2D1127CC"/>
    <w:rsid w:val="2D13EC01"/>
    <w:rsid w:val="2D256906"/>
    <w:rsid w:val="2D2744F0"/>
    <w:rsid w:val="2D2C464D"/>
    <w:rsid w:val="2D3A2715"/>
    <w:rsid w:val="2D4512EF"/>
    <w:rsid w:val="2D48ACF9"/>
    <w:rsid w:val="2D4C235D"/>
    <w:rsid w:val="2D5AD8E5"/>
    <w:rsid w:val="2D606006"/>
    <w:rsid w:val="2D62F4ED"/>
    <w:rsid w:val="2D6C1ACA"/>
    <w:rsid w:val="2D6EF327"/>
    <w:rsid w:val="2D7B754D"/>
    <w:rsid w:val="2D88B03B"/>
    <w:rsid w:val="2DAD038D"/>
    <w:rsid w:val="2DBFCC2E"/>
    <w:rsid w:val="2DC7614B"/>
    <w:rsid w:val="2DC97863"/>
    <w:rsid w:val="2DCEBBD1"/>
    <w:rsid w:val="2DD70051"/>
    <w:rsid w:val="2DF810EC"/>
    <w:rsid w:val="2DFE0EDC"/>
    <w:rsid w:val="2E018C9B"/>
    <w:rsid w:val="2E047A06"/>
    <w:rsid w:val="2E071198"/>
    <w:rsid w:val="2E144F76"/>
    <w:rsid w:val="2E1B9F99"/>
    <w:rsid w:val="2E1CCC31"/>
    <w:rsid w:val="2E361851"/>
    <w:rsid w:val="2E66AF50"/>
    <w:rsid w:val="2E77A886"/>
    <w:rsid w:val="2EBE6E07"/>
    <w:rsid w:val="2ECB7ED3"/>
    <w:rsid w:val="2EDA242F"/>
    <w:rsid w:val="2EE00593"/>
    <w:rsid w:val="2EE27CC7"/>
    <w:rsid w:val="2EE86280"/>
    <w:rsid w:val="2EEE673A"/>
    <w:rsid w:val="2EF0EB05"/>
    <w:rsid w:val="2F189532"/>
    <w:rsid w:val="2F481614"/>
    <w:rsid w:val="2F5AD4E7"/>
    <w:rsid w:val="2F606D7F"/>
    <w:rsid w:val="2F7258BB"/>
    <w:rsid w:val="2F7FF4A2"/>
    <w:rsid w:val="2F97306C"/>
    <w:rsid w:val="2FA1ACBB"/>
    <w:rsid w:val="2FA76B5E"/>
    <w:rsid w:val="2FB31856"/>
    <w:rsid w:val="2FBC2321"/>
    <w:rsid w:val="2FC362A3"/>
    <w:rsid w:val="2FC4B507"/>
    <w:rsid w:val="2FC82EEE"/>
    <w:rsid w:val="2FDC57BE"/>
    <w:rsid w:val="2FDF3863"/>
    <w:rsid w:val="2FE06804"/>
    <w:rsid w:val="2FE09F78"/>
    <w:rsid w:val="2FEDB9A8"/>
    <w:rsid w:val="2FEF1C0E"/>
    <w:rsid w:val="2FF1AA38"/>
    <w:rsid w:val="2FF64CD0"/>
    <w:rsid w:val="300248F4"/>
    <w:rsid w:val="30026651"/>
    <w:rsid w:val="3016068E"/>
    <w:rsid w:val="304780E0"/>
    <w:rsid w:val="3056F505"/>
    <w:rsid w:val="305BC034"/>
    <w:rsid w:val="305F947F"/>
    <w:rsid w:val="3060BDBD"/>
    <w:rsid w:val="306F3BE5"/>
    <w:rsid w:val="3077F792"/>
    <w:rsid w:val="307B6128"/>
    <w:rsid w:val="307B6CC7"/>
    <w:rsid w:val="308600ED"/>
    <w:rsid w:val="308BB5AF"/>
    <w:rsid w:val="30963F7C"/>
    <w:rsid w:val="3096DB89"/>
    <w:rsid w:val="30A2C068"/>
    <w:rsid w:val="30AB67FC"/>
    <w:rsid w:val="30BA3EB9"/>
    <w:rsid w:val="30C54C43"/>
    <w:rsid w:val="30C73FDF"/>
    <w:rsid w:val="30DFC221"/>
    <w:rsid w:val="30E7838B"/>
    <w:rsid w:val="30F009EC"/>
    <w:rsid w:val="310D7DA4"/>
    <w:rsid w:val="310E5675"/>
    <w:rsid w:val="311209CF"/>
    <w:rsid w:val="3112F7AC"/>
    <w:rsid w:val="312D02E1"/>
    <w:rsid w:val="3136C4CC"/>
    <w:rsid w:val="31373AE7"/>
    <w:rsid w:val="31572394"/>
    <w:rsid w:val="316D01E7"/>
    <w:rsid w:val="3171CB78"/>
    <w:rsid w:val="31766C2D"/>
    <w:rsid w:val="317C1B7B"/>
    <w:rsid w:val="318D2551"/>
    <w:rsid w:val="318DB0A5"/>
    <w:rsid w:val="318FAFAF"/>
    <w:rsid w:val="31918206"/>
    <w:rsid w:val="3197CBF1"/>
    <w:rsid w:val="319D6B8E"/>
    <w:rsid w:val="31A87CC4"/>
    <w:rsid w:val="31B0FB77"/>
    <w:rsid w:val="31B4E4AC"/>
    <w:rsid w:val="31B88772"/>
    <w:rsid w:val="31B9DD54"/>
    <w:rsid w:val="31BB4A89"/>
    <w:rsid w:val="31C847B9"/>
    <w:rsid w:val="31C95627"/>
    <w:rsid w:val="31D6EC48"/>
    <w:rsid w:val="31D8E1A4"/>
    <w:rsid w:val="31DBCA4D"/>
    <w:rsid w:val="31DD8D28"/>
    <w:rsid w:val="31EAA101"/>
    <w:rsid w:val="31EDF62B"/>
    <w:rsid w:val="31FCEFA0"/>
    <w:rsid w:val="320180A8"/>
    <w:rsid w:val="3201FE64"/>
    <w:rsid w:val="320927F2"/>
    <w:rsid w:val="320CFBAF"/>
    <w:rsid w:val="320DBF09"/>
    <w:rsid w:val="320E5141"/>
    <w:rsid w:val="3213459D"/>
    <w:rsid w:val="32136496"/>
    <w:rsid w:val="32153139"/>
    <w:rsid w:val="3215568B"/>
    <w:rsid w:val="32159F55"/>
    <w:rsid w:val="32354375"/>
    <w:rsid w:val="323B1DE5"/>
    <w:rsid w:val="323C04A8"/>
    <w:rsid w:val="3242F901"/>
    <w:rsid w:val="32465FB3"/>
    <w:rsid w:val="32479B6D"/>
    <w:rsid w:val="32489465"/>
    <w:rsid w:val="324AE687"/>
    <w:rsid w:val="326358AB"/>
    <w:rsid w:val="3268152F"/>
    <w:rsid w:val="326B91C0"/>
    <w:rsid w:val="327813F6"/>
    <w:rsid w:val="328A0FCB"/>
    <w:rsid w:val="32905C22"/>
    <w:rsid w:val="3293E628"/>
    <w:rsid w:val="329B185C"/>
    <w:rsid w:val="32A82AD8"/>
    <w:rsid w:val="32B3FACB"/>
    <w:rsid w:val="3325E648"/>
    <w:rsid w:val="33339C6A"/>
    <w:rsid w:val="333F9A93"/>
    <w:rsid w:val="33420791"/>
    <w:rsid w:val="33526082"/>
    <w:rsid w:val="33550B85"/>
    <w:rsid w:val="33589847"/>
    <w:rsid w:val="336340D8"/>
    <w:rsid w:val="3370D476"/>
    <w:rsid w:val="33777D72"/>
    <w:rsid w:val="33795ECF"/>
    <w:rsid w:val="3391DF2A"/>
    <w:rsid w:val="339B25A4"/>
    <w:rsid w:val="33AD4B15"/>
    <w:rsid w:val="33C05681"/>
    <w:rsid w:val="33D64CA2"/>
    <w:rsid w:val="33DB5C4E"/>
    <w:rsid w:val="33DE6B4F"/>
    <w:rsid w:val="33E7CBF8"/>
    <w:rsid w:val="33E957CA"/>
    <w:rsid w:val="33EE18AE"/>
    <w:rsid w:val="33EFA12E"/>
    <w:rsid w:val="33F99308"/>
    <w:rsid w:val="33F9ED4E"/>
    <w:rsid w:val="33FA7740"/>
    <w:rsid w:val="33FF8953"/>
    <w:rsid w:val="3405FBF0"/>
    <w:rsid w:val="340AC704"/>
    <w:rsid w:val="340C032D"/>
    <w:rsid w:val="3410A3AA"/>
    <w:rsid w:val="341497BD"/>
    <w:rsid w:val="34290040"/>
    <w:rsid w:val="3436835F"/>
    <w:rsid w:val="344048DE"/>
    <w:rsid w:val="3452065F"/>
    <w:rsid w:val="3461C46B"/>
    <w:rsid w:val="34719C44"/>
    <w:rsid w:val="3473CAF9"/>
    <w:rsid w:val="34747F5A"/>
    <w:rsid w:val="3478ED4D"/>
    <w:rsid w:val="34870C9E"/>
    <w:rsid w:val="3492A902"/>
    <w:rsid w:val="349B4BF4"/>
    <w:rsid w:val="349EFA78"/>
    <w:rsid w:val="349F9CC7"/>
    <w:rsid w:val="34B410FD"/>
    <w:rsid w:val="34BD1F20"/>
    <w:rsid w:val="34C2DDB8"/>
    <w:rsid w:val="34C95484"/>
    <w:rsid w:val="34CBE9C5"/>
    <w:rsid w:val="34D53375"/>
    <w:rsid w:val="34DE8918"/>
    <w:rsid w:val="34E94465"/>
    <w:rsid w:val="34EBE688"/>
    <w:rsid w:val="34F113A2"/>
    <w:rsid w:val="34F93385"/>
    <w:rsid w:val="34F9A78F"/>
    <w:rsid w:val="34FCA6EB"/>
    <w:rsid w:val="34FF1139"/>
    <w:rsid w:val="35039854"/>
    <w:rsid w:val="351363D1"/>
    <w:rsid w:val="35149007"/>
    <w:rsid w:val="3518A4B0"/>
    <w:rsid w:val="3529BE3B"/>
    <w:rsid w:val="352DB864"/>
    <w:rsid w:val="352E9AEA"/>
    <w:rsid w:val="3535BCD9"/>
    <w:rsid w:val="3538FEBA"/>
    <w:rsid w:val="353DB55A"/>
    <w:rsid w:val="35411192"/>
    <w:rsid w:val="3565B46F"/>
    <w:rsid w:val="3570970F"/>
    <w:rsid w:val="3574131A"/>
    <w:rsid w:val="35805D56"/>
    <w:rsid w:val="358DF64A"/>
    <w:rsid w:val="3592FC5D"/>
    <w:rsid w:val="3595CDAD"/>
    <w:rsid w:val="3597CFE1"/>
    <w:rsid w:val="35A47CB6"/>
    <w:rsid w:val="35B9145A"/>
    <w:rsid w:val="35C56B16"/>
    <w:rsid w:val="35CB9096"/>
    <w:rsid w:val="35CF36AF"/>
    <w:rsid w:val="35D90D98"/>
    <w:rsid w:val="35DB8914"/>
    <w:rsid w:val="35EA336A"/>
    <w:rsid w:val="35F04B1B"/>
    <w:rsid w:val="35FCEE24"/>
    <w:rsid w:val="36133361"/>
    <w:rsid w:val="361C9B13"/>
    <w:rsid w:val="362825FA"/>
    <w:rsid w:val="362A3EC5"/>
    <w:rsid w:val="362CDDCC"/>
    <w:rsid w:val="36399E1D"/>
    <w:rsid w:val="36405C4C"/>
    <w:rsid w:val="36531A35"/>
    <w:rsid w:val="36574C5B"/>
    <w:rsid w:val="3676EB90"/>
    <w:rsid w:val="367DAC02"/>
    <w:rsid w:val="3696FF2A"/>
    <w:rsid w:val="36A8A86D"/>
    <w:rsid w:val="36A9093A"/>
    <w:rsid w:val="36A9A421"/>
    <w:rsid w:val="36B70121"/>
    <w:rsid w:val="36B74857"/>
    <w:rsid w:val="36C8AFEB"/>
    <w:rsid w:val="36CCBF47"/>
    <w:rsid w:val="36D4ED86"/>
    <w:rsid w:val="36D7E18D"/>
    <w:rsid w:val="36DDCAB4"/>
    <w:rsid w:val="36E38565"/>
    <w:rsid w:val="36FD5474"/>
    <w:rsid w:val="370BA423"/>
    <w:rsid w:val="370E69C2"/>
    <w:rsid w:val="3710F14C"/>
    <w:rsid w:val="371E57AA"/>
    <w:rsid w:val="371EA94A"/>
    <w:rsid w:val="372E7D96"/>
    <w:rsid w:val="373B7EF5"/>
    <w:rsid w:val="373E3026"/>
    <w:rsid w:val="3749A90C"/>
    <w:rsid w:val="374E33A1"/>
    <w:rsid w:val="375B0991"/>
    <w:rsid w:val="376391DE"/>
    <w:rsid w:val="376DD452"/>
    <w:rsid w:val="3779B58F"/>
    <w:rsid w:val="377F60F9"/>
    <w:rsid w:val="37951E97"/>
    <w:rsid w:val="379625AB"/>
    <w:rsid w:val="37984156"/>
    <w:rsid w:val="37A48608"/>
    <w:rsid w:val="37B6FA84"/>
    <w:rsid w:val="37C824F6"/>
    <w:rsid w:val="37E2818F"/>
    <w:rsid w:val="37EE770F"/>
    <w:rsid w:val="37F2E79D"/>
    <w:rsid w:val="38028723"/>
    <w:rsid w:val="3803EC18"/>
    <w:rsid w:val="38051628"/>
    <w:rsid w:val="3806171F"/>
    <w:rsid w:val="381D0838"/>
    <w:rsid w:val="381DD13D"/>
    <w:rsid w:val="381EA8A9"/>
    <w:rsid w:val="38203CFB"/>
    <w:rsid w:val="384E4D5C"/>
    <w:rsid w:val="38579038"/>
    <w:rsid w:val="385A234F"/>
    <w:rsid w:val="385B66AF"/>
    <w:rsid w:val="385E44FA"/>
    <w:rsid w:val="385EAAC6"/>
    <w:rsid w:val="3865F3CD"/>
    <w:rsid w:val="386808D6"/>
    <w:rsid w:val="386AA664"/>
    <w:rsid w:val="3874DDCE"/>
    <w:rsid w:val="388B0007"/>
    <w:rsid w:val="3892D19D"/>
    <w:rsid w:val="38A039B1"/>
    <w:rsid w:val="38A2D3F8"/>
    <w:rsid w:val="38B06108"/>
    <w:rsid w:val="38BA280B"/>
    <w:rsid w:val="38C6568B"/>
    <w:rsid w:val="38CDC120"/>
    <w:rsid w:val="38D25035"/>
    <w:rsid w:val="38E7A47C"/>
    <w:rsid w:val="38EA0402"/>
    <w:rsid w:val="38F0B51C"/>
    <w:rsid w:val="38FEF831"/>
    <w:rsid w:val="3911AF53"/>
    <w:rsid w:val="39246BD3"/>
    <w:rsid w:val="39268EC6"/>
    <w:rsid w:val="3937752B"/>
    <w:rsid w:val="3938723C"/>
    <w:rsid w:val="3945B7F2"/>
    <w:rsid w:val="3951C37D"/>
    <w:rsid w:val="39534C42"/>
    <w:rsid w:val="39543246"/>
    <w:rsid w:val="3958035D"/>
    <w:rsid w:val="396E21ED"/>
    <w:rsid w:val="3972F9DE"/>
    <w:rsid w:val="397805D9"/>
    <w:rsid w:val="3989DC45"/>
    <w:rsid w:val="3991FDAA"/>
    <w:rsid w:val="399470AE"/>
    <w:rsid w:val="3994A97E"/>
    <w:rsid w:val="3998D1DE"/>
    <w:rsid w:val="399D1EB7"/>
    <w:rsid w:val="39A381D2"/>
    <w:rsid w:val="39AADBD0"/>
    <w:rsid w:val="39AED2F2"/>
    <w:rsid w:val="39BF6F46"/>
    <w:rsid w:val="39D3B11A"/>
    <w:rsid w:val="39D3CADC"/>
    <w:rsid w:val="39D3D3D1"/>
    <w:rsid w:val="39DCCBF3"/>
    <w:rsid w:val="39E081CB"/>
    <w:rsid w:val="39F05572"/>
    <w:rsid w:val="3A0D1049"/>
    <w:rsid w:val="3A186842"/>
    <w:rsid w:val="3A1E1AAA"/>
    <w:rsid w:val="3A29924E"/>
    <w:rsid w:val="3A3AF06C"/>
    <w:rsid w:val="3A3BA874"/>
    <w:rsid w:val="3A4428AD"/>
    <w:rsid w:val="3A451002"/>
    <w:rsid w:val="3A487F76"/>
    <w:rsid w:val="3A4E168D"/>
    <w:rsid w:val="3A614F21"/>
    <w:rsid w:val="3A63ED6D"/>
    <w:rsid w:val="3A6FDC26"/>
    <w:rsid w:val="3A72AFE6"/>
    <w:rsid w:val="3A785816"/>
    <w:rsid w:val="3A8C26CA"/>
    <w:rsid w:val="3A9D271D"/>
    <w:rsid w:val="3A9DCFA8"/>
    <w:rsid w:val="3AB2328F"/>
    <w:rsid w:val="3ADFA837"/>
    <w:rsid w:val="3AE5B469"/>
    <w:rsid w:val="3AEE511E"/>
    <w:rsid w:val="3AF69E07"/>
    <w:rsid w:val="3AFFCEE9"/>
    <w:rsid w:val="3B23547D"/>
    <w:rsid w:val="3B23BDDB"/>
    <w:rsid w:val="3B3357CB"/>
    <w:rsid w:val="3B345DEB"/>
    <w:rsid w:val="3B3E813D"/>
    <w:rsid w:val="3B42B02D"/>
    <w:rsid w:val="3B4A16AA"/>
    <w:rsid w:val="3B6F4DB0"/>
    <w:rsid w:val="3B6F817B"/>
    <w:rsid w:val="3B71A248"/>
    <w:rsid w:val="3B7D5F31"/>
    <w:rsid w:val="3B8651F4"/>
    <w:rsid w:val="3B98F9FF"/>
    <w:rsid w:val="3B990D97"/>
    <w:rsid w:val="3B9BA5BC"/>
    <w:rsid w:val="3BA47D13"/>
    <w:rsid w:val="3BC1CF91"/>
    <w:rsid w:val="3BCA309D"/>
    <w:rsid w:val="3BD4F261"/>
    <w:rsid w:val="3BE9C60B"/>
    <w:rsid w:val="3BF11294"/>
    <w:rsid w:val="3BFB6245"/>
    <w:rsid w:val="3C1410EB"/>
    <w:rsid w:val="3C20C831"/>
    <w:rsid w:val="3C29D90F"/>
    <w:rsid w:val="3C2C8606"/>
    <w:rsid w:val="3C3024A0"/>
    <w:rsid w:val="3C32BC93"/>
    <w:rsid w:val="3C34D7CC"/>
    <w:rsid w:val="3C3BE6B2"/>
    <w:rsid w:val="3C417E8D"/>
    <w:rsid w:val="3C6079C7"/>
    <w:rsid w:val="3C71E799"/>
    <w:rsid w:val="3C75E940"/>
    <w:rsid w:val="3C850D74"/>
    <w:rsid w:val="3C894D24"/>
    <w:rsid w:val="3C9A417D"/>
    <w:rsid w:val="3C9AC7C7"/>
    <w:rsid w:val="3CAD31CD"/>
    <w:rsid w:val="3CAF28BE"/>
    <w:rsid w:val="3CB37800"/>
    <w:rsid w:val="3CBAF995"/>
    <w:rsid w:val="3CBB34E2"/>
    <w:rsid w:val="3CBBE742"/>
    <w:rsid w:val="3CC108C9"/>
    <w:rsid w:val="3CD030F3"/>
    <w:rsid w:val="3CD16272"/>
    <w:rsid w:val="3CD187C9"/>
    <w:rsid w:val="3CE544DF"/>
    <w:rsid w:val="3CE99AFD"/>
    <w:rsid w:val="3CF00E2D"/>
    <w:rsid w:val="3CF412DE"/>
    <w:rsid w:val="3D018EA8"/>
    <w:rsid w:val="3D104A0A"/>
    <w:rsid w:val="3D186899"/>
    <w:rsid w:val="3D1FC48E"/>
    <w:rsid w:val="3D20A864"/>
    <w:rsid w:val="3D275B0D"/>
    <w:rsid w:val="3D5918CA"/>
    <w:rsid w:val="3D60225F"/>
    <w:rsid w:val="3D76CA7A"/>
    <w:rsid w:val="3D78800E"/>
    <w:rsid w:val="3D7E906C"/>
    <w:rsid w:val="3D8D433C"/>
    <w:rsid w:val="3D8D992E"/>
    <w:rsid w:val="3D9652A7"/>
    <w:rsid w:val="3D9DDA01"/>
    <w:rsid w:val="3DBA9A8B"/>
    <w:rsid w:val="3DBB159F"/>
    <w:rsid w:val="3DD094FB"/>
    <w:rsid w:val="3DD4DD8C"/>
    <w:rsid w:val="3DDAA034"/>
    <w:rsid w:val="3DE378EB"/>
    <w:rsid w:val="3DFEDD9E"/>
    <w:rsid w:val="3E1A4CCE"/>
    <w:rsid w:val="3E1F9147"/>
    <w:rsid w:val="3E1FB59D"/>
    <w:rsid w:val="3E3F37EA"/>
    <w:rsid w:val="3E44AAA7"/>
    <w:rsid w:val="3E4FC720"/>
    <w:rsid w:val="3E528D59"/>
    <w:rsid w:val="3E5CDC77"/>
    <w:rsid w:val="3E643561"/>
    <w:rsid w:val="3E66467A"/>
    <w:rsid w:val="3E6F4FA4"/>
    <w:rsid w:val="3E7CE717"/>
    <w:rsid w:val="3E852125"/>
    <w:rsid w:val="3E856B5E"/>
    <w:rsid w:val="3E88264C"/>
    <w:rsid w:val="3E8F7E7F"/>
    <w:rsid w:val="3E9F00B3"/>
    <w:rsid w:val="3EA0CCDF"/>
    <w:rsid w:val="3EA59407"/>
    <w:rsid w:val="3EB5600D"/>
    <w:rsid w:val="3EC05675"/>
    <w:rsid w:val="3EC9B2EB"/>
    <w:rsid w:val="3EDAF1C1"/>
    <w:rsid w:val="3EDF1082"/>
    <w:rsid w:val="3EECA352"/>
    <w:rsid w:val="3EFDC85A"/>
    <w:rsid w:val="3F066BC5"/>
    <w:rsid w:val="3F08C3FC"/>
    <w:rsid w:val="3F09015E"/>
    <w:rsid w:val="3F10EA5C"/>
    <w:rsid w:val="3F11B608"/>
    <w:rsid w:val="3F34A2E3"/>
    <w:rsid w:val="3F469837"/>
    <w:rsid w:val="3F681A9F"/>
    <w:rsid w:val="3F6E528B"/>
    <w:rsid w:val="3F6F13E4"/>
    <w:rsid w:val="3F713C6B"/>
    <w:rsid w:val="3F7F6364"/>
    <w:rsid w:val="3F92B411"/>
    <w:rsid w:val="3F9444B4"/>
    <w:rsid w:val="3F9BE7A0"/>
    <w:rsid w:val="3FA5692B"/>
    <w:rsid w:val="3FA5EC56"/>
    <w:rsid w:val="3FA790BC"/>
    <w:rsid w:val="3FB61D2F"/>
    <w:rsid w:val="3FB684BA"/>
    <w:rsid w:val="3FBB5726"/>
    <w:rsid w:val="3FC67022"/>
    <w:rsid w:val="3FCC607C"/>
    <w:rsid w:val="3FCCA3BE"/>
    <w:rsid w:val="3FDCE6CD"/>
    <w:rsid w:val="3FDF8E80"/>
    <w:rsid w:val="3FE7D9BC"/>
    <w:rsid w:val="4006D5C2"/>
    <w:rsid w:val="4017E9B3"/>
    <w:rsid w:val="4023F31B"/>
    <w:rsid w:val="40248E48"/>
    <w:rsid w:val="402B4EE0"/>
    <w:rsid w:val="402D6669"/>
    <w:rsid w:val="40368B8D"/>
    <w:rsid w:val="405D7761"/>
    <w:rsid w:val="4061121B"/>
    <w:rsid w:val="407752FA"/>
    <w:rsid w:val="40847561"/>
    <w:rsid w:val="40852536"/>
    <w:rsid w:val="40925852"/>
    <w:rsid w:val="4092C5C3"/>
    <w:rsid w:val="40AD8669"/>
    <w:rsid w:val="40B7CE50"/>
    <w:rsid w:val="40BA8DC2"/>
    <w:rsid w:val="40C175EF"/>
    <w:rsid w:val="40C6BA03"/>
    <w:rsid w:val="40CF2A36"/>
    <w:rsid w:val="40DD1F2F"/>
    <w:rsid w:val="40F2BD2E"/>
    <w:rsid w:val="410E12CE"/>
    <w:rsid w:val="4121BA56"/>
    <w:rsid w:val="413929EF"/>
    <w:rsid w:val="413EFBAB"/>
    <w:rsid w:val="4141A187"/>
    <w:rsid w:val="414FDDEE"/>
    <w:rsid w:val="4151ED90"/>
    <w:rsid w:val="41531F64"/>
    <w:rsid w:val="4156F99F"/>
    <w:rsid w:val="415EFDA2"/>
    <w:rsid w:val="418C0B6C"/>
    <w:rsid w:val="418F969D"/>
    <w:rsid w:val="419CFEAA"/>
    <w:rsid w:val="41A38514"/>
    <w:rsid w:val="41B83420"/>
    <w:rsid w:val="41C69C04"/>
    <w:rsid w:val="41CBC001"/>
    <w:rsid w:val="41D5E414"/>
    <w:rsid w:val="41E50EBA"/>
    <w:rsid w:val="41E5D49B"/>
    <w:rsid w:val="41E892F4"/>
    <w:rsid w:val="41F25BB6"/>
    <w:rsid w:val="41F7D9AA"/>
    <w:rsid w:val="4203F22A"/>
    <w:rsid w:val="421EC41E"/>
    <w:rsid w:val="4223337E"/>
    <w:rsid w:val="4227A01C"/>
    <w:rsid w:val="4234A2E4"/>
    <w:rsid w:val="423F5359"/>
    <w:rsid w:val="42463F6D"/>
    <w:rsid w:val="424FAC59"/>
    <w:rsid w:val="4253832C"/>
    <w:rsid w:val="4263A530"/>
    <w:rsid w:val="426448CA"/>
    <w:rsid w:val="42651BAE"/>
    <w:rsid w:val="4265235B"/>
    <w:rsid w:val="426ED719"/>
    <w:rsid w:val="4273E572"/>
    <w:rsid w:val="427B88AD"/>
    <w:rsid w:val="42931C6A"/>
    <w:rsid w:val="429EC17A"/>
    <w:rsid w:val="42A30E03"/>
    <w:rsid w:val="42A5A50E"/>
    <w:rsid w:val="42A7ACA7"/>
    <w:rsid w:val="42A810C9"/>
    <w:rsid w:val="42A8DD2D"/>
    <w:rsid w:val="42B5A1A0"/>
    <w:rsid w:val="42B96D69"/>
    <w:rsid w:val="42C6BE30"/>
    <w:rsid w:val="42C7A7D1"/>
    <w:rsid w:val="42D044B8"/>
    <w:rsid w:val="42D13BE4"/>
    <w:rsid w:val="42D9E1B2"/>
    <w:rsid w:val="42DE61FD"/>
    <w:rsid w:val="42FFE02E"/>
    <w:rsid w:val="430334E1"/>
    <w:rsid w:val="431005C7"/>
    <w:rsid w:val="4315D5B0"/>
    <w:rsid w:val="43176FD0"/>
    <w:rsid w:val="4324AE6B"/>
    <w:rsid w:val="4340E13C"/>
    <w:rsid w:val="434972AA"/>
    <w:rsid w:val="43550F07"/>
    <w:rsid w:val="436E2777"/>
    <w:rsid w:val="4396E2E1"/>
    <w:rsid w:val="43AEF3BC"/>
    <w:rsid w:val="43AFBFEB"/>
    <w:rsid w:val="43D1E69A"/>
    <w:rsid w:val="43DAE3F3"/>
    <w:rsid w:val="43DC7BEA"/>
    <w:rsid w:val="43E5272B"/>
    <w:rsid w:val="43E71907"/>
    <w:rsid w:val="43ED38DE"/>
    <w:rsid w:val="43F9B2F4"/>
    <w:rsid w:val="44048467"/>
    <w:rsid w:val="44092916"/>
    <w:rsid w:val="440AA77A"/>
    <w:rsid w:val="4413A0B6"/>
    <w:rsid w:val="44173262"/>
    <w:rsid w:val="4417D4F3"/>
    <w:rsid w:val="441B247D"/>
    <w:rsid w:val="4427D842"/>
    <w:rsid w:val="4430DAF7"/>
    <w:rsid w:val="44332088"/>
    <w:rsid w:val="443C7BAF"/>
    <w:rsid w:val="4445CC3A"/>
    <w:rsid w:val="445815FC"/>
    <w:rsid w:val="4463ED83"/>
    <w:rsid w:val="44668384"/>
    <w:rsid w:val="44695676"/>
    <w:rsid w:val="4478C875"/>
    <w:rsid w:val="449ABED4"/>
    <w:rsid w:val="449BC5E7"/>
    <w:rsid w:val="44A5670F"/>
    <w:rsid w:val="44B4FB82"/>
    <w:rsid w:val="44C01A38"/>
    <w:rsid w:val="44C54708"/>
    <w:rsid w:val="44C66589"/>
    <w:rsid w:val="44CC1AAE"/>
    <w:rsid w:val="44D8E77D"/>
    <w:rsid w:val="44DCB19D"/>
    <w:rsid w:val="44ECBF5C"/>
    <w:rsid w:val="44EF3236"/>
    <w:rsid w:val="4500825A"/>
    <w:rsid w:val="451663C1"/>
    <w:rsid w:val="453B4010"/>
    <w:rsid w:val="45428EBC"/>
    <w:rsid w:val="4568E850"/>
    <w:rsid w:val="456B5167"/>
    <w:rsid w:val="457E4968"/>
    <w:rsid w:val="457EE940"/>
    <w:rsid w:val="457F921E"/>
    <w:rsid w:val="45832A42"/>
    <w:rsid w:val="4589E750"/>
    <w:rsid w:val="4595B4AA"/>
    <w:rsid w:val="45B0DDA9"/>
    <w:rsid w:val="45B1FDBB"/>
    <w:rsid w:val="45B4E5F7"/>
    <w:rsid w:val="45C70FEB"/>
    <w:rsid w:val="45C83AAC"/>
    <w:rsid w:val="45D84CC9"/>
    <w:rsid w:val="45D8BAAA"/>
    <w:rsid w:val="45E632FB"/>
    <w:rsid w:val="45F1ED80"/>
    <w:rsid w:val="45FBB915"/>
    <w:rsid w:val="4603DC75"/>
    <w:rsid w:val="460C1D33"/>
    <w:rsid w:val="46155869"/>
    <w:rsid w:val="461CD9D0"/>
    <w:rsid w:val="461D38E6"/>
    <w:rsid w:val="46509609"/>
    <w:rsid w:val="46531605"/>
    <w:rsid w:val="465335B9"/>
    <w:rsid w:val="4654C272"/>
    <w:rsid w:val="46554F72"/>
    <w:rsid w:val="46717EB4"/>
    <w:rsid w:val="467CA564"/>
    <w:rsid w:val="4681CCC7"/>
    <w:rsid w:val="46824F0F"/>
    <w:rsid w:val="46859939"/>
    <w:rsid w:val="4691DEEB"/>
    <w:rsid w:val="46A177F7"/>
    <w:rsid w:val="46A32C77"/>
    <w:rsid w:val="46A87C8C"/>
    <w:rsid w:val="46B23422"/>
    <w:rsid w:val="46BC1177"/>
    <w:rsid w:val="46C68432"/>
    <w:rsid w:val="46C73869"/>
    <w:rsid w:val="46D43D01"/>
    <w:rsid w:val="46D7DA99"/>
    <w:rsid w:val="46D92D24"/>
    <w:rsid w:val="46EE511C"/>
    <w:rsid w:val="46F08542"/>
    <w:rsid w:val="46F18107"/>
    <w:rsid w:val="46F57656"/>
    <w:rsid w:val="46FFE624"/>
    <w:rsid w:val="4710C7C5"/>
    <w:rsid w:val="4718CA9F"/>
    <w:rsid w:val="47231202"/>
    <w:rsid w:val="47231D7C"/>
    <w:rsid w:val="472C23CF"/>
    <w:rsid w:val="472E4984"/>
    <w:rsid w:val="473579AE"/>
    <w:rsid w:val="474EA255"/>
    <w:rsid w:val="4761A70C"/>
    <w:rsid w:val="4783DE98"/>
    <w:rsid w:val="4789BF5D"/>
    <w:rsid w:val="478B0F7B"/>
    <w:rsid w:val="4792DB23"/>
    <w:rsid w:val="47947E90"/>
    <w:rsid w:val="4797F877"/>
    <w:rsid w:val="47A1B00B"/>
    <w:rsid w:val="47A8794F"/>
    <w:rsid w:val="47AC6FFB"/>
    <w:rsid w:val="47ADED17"/>
    <w:rsid w:val="47AFDD2F"/>
    <w:rsid w:val="47B93739"/>
    <w:rsid w:val="47BDEDC8"/>
    <w:rsid w:val="47BF684F"/>
    <w:rsid w:val="47DD30AA"/>
    <w:rsid w:val="47DD75DA"/>
    <w:rsid w:val="47EFA469"/>
    <w:rsid w:val="47F12A8A"/>
    <w:rsid w:val="47F90F20"/>
    <w:rsid w:val="47F97ED8"/>
    <w:rsid w:val="47FAE839"/>
    <w:rsid w:val="4805061D"/>
    <w:rsid w:val="480A045E"/>
    <w:rsid w:val="480A2490"/>
    <w:rsid w:val="481C2182"/>
    <w:rsid w:val="482C4DA4"/>
    <w:rsid w:val="4834588E"/>
    <w:rsid w:val="4834C1B4"/>
    <w:rsid w:val="483FF03F"/>
    <w:rsid w:val="4840C737"/>
    <w:rsid w:val="4855BAD8"/>
    <w:rsid w:val="48669538"/>
    <w:rsid w:val="48718A79"/>
    <w:rsid w:val="48774A7E"/>
    <w:rsid w:val="487CAFCD"/>
    <w:rsid w:val="48878173"/>
    <w:rsid w:val="488A6229"/>
    <w:rsid w:val="48908ED0"/>
    <w:rsid w:val="489FACF0"/>
    <w:rsid w:val="48A0BD51"/>
    <w:rsid w:val="48AC88A5"/>
    <w:rsid w:val="48ACF72F"/>
    <w:rsid w:val="48B00A3E"/>
    <w:rsid w:val="48BFF3EF"/>
    <w:rsid w:val="48D4BFB9"/>
    <w:rsid w:val="48DBCDAD"/>
    <w:rsid w:val="48E1F604"/>
    <w:rsid w:val="48E442B5"/>
    <w:rsid w:val="48EDFFA4"/>
    <w:rsid w:val="48F560A6"/>
    <w:rsid w:val="48F9ABFA"/>
    <w:rsid w:val="490027CC"/>
    <w:rsid w:val="490E814A"/>
    <w:rsid w:val="4917B1FA"/>
    <w:rsid w:val="491B85D0"/>
    <w:rsid w:val="491BBFB9"/>
    <w:rsid w:val="492637D5"/>
    <w:rsid w:val="492F4A07"/>
    <w:rsid w:val="49395FD6"/>
    <w:rsid w:val="49493019"/>
    <w:rsid w:val="494DF0FF"/>
    <w:rsid w:val="49694F3F"/>
    <w:rsid w:val="496A8D21"/>
    <w:rsid w:val="49725198"/>
    <w:rsid w:val="4978A65C"/>
    <w:rsid w:val="497D3771"/>
    <w:rsid w:val="49843C13"/>
    <w:rsid w:val="4987488B"/>
    <w:rsid w:val="49B06A7E"/>
    <w:rsid w:val="49B0A269"/>
    <w:rsid w:val="49BCBD65"/>
    <w:rsid w:val="49BE5FC2"/>
    <w:rsid w:val="49C51C13"/>
    <w:rsid w:val="49C9FBF2"/>
    <w:rsid w:val="49CB4C7E"/>
    <w:rsid w:val="49CEF687"/>
    <w:rsid w:val="49D5DC5A"/>
    <w:rsid w:val="49DA063F"/>
    <w:rsid w:val="49DCFE27"/>
    <w:rsid w:val="49DF6D9D"/>
    <w:rsid w:val="49E8309A"/>
    <w:rsid w:val="49E91F3D"/>
    <w:rsid w:val="49E9C332"/>
    <w:rsid w:val="49EA6969"/>
    <w:rsid w:val="49F2758D"/>
    <w:rsid w:val="49F2AE53"/>
    <w:rsid w:val="49F862F9"/>
    <w:rsid w:val="49FD7FCE"/>
    <w:rsid w:val="4A1BD545"/>
    <w:rsid w:val="4A1CB3F2"/>
    <w:rsid w:val="4A256A03"/>
    <w:rsid w:val="4A29267E"/>
    <w:rsid w:val="4A313CE1"/>
    <w:rsid w:val="4A369244"/>
    <w:rsid w:val="4A410ACA"/>
    <w:rsid w:val="4A4140A0"/>
    <w:rsid w:val="4A49D1A0"/>
    <w:rsid w:val="4A4C348F"/>
    <w:rsid w:val="4A503B74"/>
    <w:rsid w:val="4A507EEE"/>
    <w:rsid w:val="4A532B7D"/>
    <w:rsid w:val="4A5787A3"/>
    <w:rsid w:val="4A5864BE"/>
    <w:rsid w:val="4A5C5394"/>
    <w:rsid w:val="4A652155"/>
    <w:rsid w:val="4A683ECF"/>
    <w:rsid w:val="4A6C4576"/>
    <w:rsid w:val="4A743B92"/>
    <w:rsid w:val="4A80B090"/>
    <w:rsid w:val="4A9470A5"/>
    <w:rsid w:val="4AAE1FE8"/>
    <w:rsid w:val="4AB5C184"/>
    <w:rsid w:val="4AC0CE90"/>
    <w:rsid w:val="4AC2A3C3"/>
    <w:rsid w:val="4ADB569D"/>
    <w:rsid w:val="4ADF8E56"/>
    <w:rsid w:val="4AE5DCBC"/>
    <w:rsid w:val="4AE6CB93"/>
    <w:rsid w:val="4AEAAE98"/>
    <w:rsid w:val="4AF2C27A"/>
    <w:rsid w:val="4B0AA93F"/>
    <w:rsid w:val="4B0F9838"/>
    <w:rsid w:val="4B13B9AD"/>
    <w:rsid w:val="4B28C095"/>
    <w:rsid w:val="4B2BE70A"/>
    <w:rsid w:val="4B31E78A"/>
    <w:rsid w:val="4B551C38"/>
    <w:rsid w:val="4B5A3023"/>
    <w:rsid w:val="4B5BAC0F"/>
    <w:rsid w:val="4B6153FF"/>
    <w:rsid w:val="4B6338F4"/>
    <w:rsid w:val="4B65500E"/>
    <w:rsid w:val="4B67AE91"/>
    <w:rsid w:val="4B69B05F"/>
    <w:rsid w:val="4B6C0311"/>
    <w:rsid w:val="4B6EF44D"/>
    <w:rsid w:val="4B753DE8"/>
    <w:rsid w:val="4B7CF253"/>
    <w:rsid w:val="4B803A3D"/>
    <w:rsid w:val="4B8D2033"/>
    <w:rsid w:val="4B9B202F"/>
    <w:rsid w:val="4BA35BCE"/>
    <w:rsid w:val="4BB7A5A6"/>
    <w:rsid w:val="4BC6895E"/>
    <w:rsid w:val="4BD829D4"/>
    <w:rsid w:val="4BDE0E20"/>
    <w:rsid w:val="4BE2FA61"/>
    <w:rsid w:val="4BE3E295"/>
    <w:rsid w:val="4BEF3E70"/>
    <w:rsid w:val="4BEFFF09"/>
    <w:rsid w:val="4BF15231"/>
    <w:rsid w:val="4BF9700A"/>
    <w:rsid w:val="4BFAB86C"/>
    <w:rsid w:val="4C184838"/>
    <w:rsid w:val="4C18B0FC"/>
    <w:rsid w:val="4C28A94C"/>
    <w:rsid w:val="4C369716"/>
    <w:rsid w:val="4C57693F"/>
    <w:rsid w:val="4C5A15EA"/>
    <w:rsid w:val="4C756988"/>
    <w:rsid w:val="4C763A96"/>
    <w:rsid w:val="4C8421FB"/>
    <w:rsid w:val="4C843D2E"/>
    <w:rsid w:val="4C883130"/>
    <w:rsid w:val="4C8C6FC5"/>
    <w:rsid w:val="4C9A946E"/>
    <w:rsid w:val="4CB8262E"/>
    <w:rsid w:val="4CC8ABF0"/>
    <w:rsid w:val="4CC8CDEC"/>
    <w:rsid w:val="4CCDB7EB"/>
    <w:rsid w:val="4CD2A433"/>
    <w:rsid w:val="4CE0DDC7"/>
    <w:rsid w:val="4CE9A30D"/>
    <w:rsid w:val="4CEFCEE3"/>
    <w:rsid w:val="4CFBE160"/>
    <w:rsid w:val="4CFF43DC"/>
    <w:rsid w:val="4CFFBEC7"/>
    <w:rsid w:val="4D035945"/>
    <w:rsid w:val="4D0AFED6"/>
    <w:rsid w:val="4D1A2B73"/>
    <w:rsid w:val="4D25BE48"/>
    <w:rsid w:val="4D3203D5"/>
    <w:rsid w:val="4D3BECBF"/>
    <w:rsid w:val="4D4B4942"/>
    <w:rsid w:val="4D56D82B"/>
    <w:rsid w:val="4D6FA5B0"/>
    <w:rsid w:val="4D73FA35"/>
    <w:rsid w:val="4D7959C4"/>
    <w:rsid w:val="4D8706AB"/>
    <w:rsid w:val="4D89188B"/>
    <w:rsid w:val="4D93F456"/>
    <w:rsid w:val="4D9DB589"/>
    <w:rsid w:val="4DB19A24"/>
    <w:rsid w:val="4DB7197F"/>
    <w:rsid w:val="4DC948F9"/>
    <w:rsid w:val="4DD1A792"/>
    <w:rsid w:val="4DD668C8"/>
    <w:rsid w:val="4DD87A1A"/>
    <w:rsid w:val="4DE65711"/>
    <w:rsid w:val="4DF2182F"/>
    <w:rsid w:val="4DF50309"/>
    <w:rsid w:val="4E07E56E"/>
    <w:rsid w:val="4E1124B9"/>
    <w:rsid w:val="4E1526E7"/>
    <w:rsid w:val="4E1938CA"/>
    <w:rsid w:val="4E1FF25C"/>
    <w:rsid w:val="4E221080"/>
    <w:rsid w:val="4E292D1E"/>
    <w:rsid w:val="4E297FD0"/>
    <w:rsid w:val="4E3634B5"/>
    <w:rsid w:val="4E441BDB"/>
    <w:rsid w:val="4E4695DF"/>
    <w:rsid w:val="4E57F727"/>
    <w:rsid w:val="4E5BBB07"/>
    <w:rsid w:val="4E711CA0"/>
    <w:rsid w:val="4E7BF960"/>
    <w:rsid w:val="4E7D2052"/>
    <w:rsid w:val="4E841BDB"/>
    <w:rsid w:val="4E99340C"/>
    <w:rsid w:val="4E9A982E"/>
    <w:rsid w:val="4EB839C9"/>
    <w:rsid w:val="4EC0BBBC"/>
    <w:rsid w:val="4EC3CD29"/>
    <w:rsid w:val="4ED91D25"/>
    <w:rsid w:val="4EE368B2"/>
    <w:rsid w:val="4EE5AFA1"/>
    <w:rsid w:val="4EE65395"/>
    <w:rsid w:val="4EED00CD"/>
    <w:rsid w:val="4EEF4668"/>
    <w:rsid w:val="4EFA6086"/>
    <w:rsid w:val="4F0438C2"/>
    <w:rsid w:val="4F15DBE5"/>
    <w:rsid w:val="4F2CB61F"/>
    <w:rsid w:val="4F2EAC33"/>
    <w:rsid w:val="4F3FB699"/>
    <w:rsid w:val="4F52E9E0"/>
    <w:rsid w:val="4F5BAB65"/>
    <w:rsid w:val="4F777618"/>
    <w:rsid w:val="4F7C05CA"/>
    <w:rsid w:val="4F7EE4DB"/>
    <w:rsid w:val="4F803CDF"/>
    <w:rsid w:val="4F81A4E3"/>
    <w:rsid w:val="4F822CD5"/>
    <w:rsid w:val="4F9D5CD5"/>
    <w:rsid w:val="4FAABEBB"/>
    <w:rsid w:val="4FAB1933"/>
    <w:rsid w:val="4FBF423B"/>
    <w:rsid w:val="4FC1D1DF"/>
    <w:rsid w:val="4FD6637E"/>
    <w:rsid w:val="4FE1F1F2"/>
    <w:rsid w:val="4FF345C5"/>
    <w:rsid w:val="4FF99587"/>
    <w:rsid w:val="50052A56"/>
    <w:rsid w:val="500A5F4D"/>
    <w:rsid w:val="501B353A"/>
    <w:rsid w:val="501CC8D1"/>
    <w:rsid w:val="50207D65"/>
    <w:rsid w:val="503D41F6"/>
    <w:rsid w:val="504865B7"/>
    <w:rsid w:val="504920AC"/>
    <w:rsid w:val="50632C43"/>
    <w:rsid w:val="5066379C"/>
    <w:rsid w:val="506E342E"/>
    <w:rsid w:val="5072B8D6"/>
    <w:rsid w:val="5076D2E4"/>
    <w:rsid w:val="50793F5B"/>
    <w:rsid w:val="50825BF1"/>
    <w:rsid w:val="508A39B1"/>
    <w:rsid w:val="509FA445"/>
    <w:rsid w:val="50ABB1C1"/>
    <w:rsid w:val="50B1003E"/>
    <w:rsid w:val="50B38534"/>
    <w:rsid w:val="50C15610"/>
    <w:rsid w:val="50C51DCF"/>
    <w:rsid w:val="50C92FD5"/>
    <w:rsid w:val="50CA5F9B"/>
    <w:rsid w:val="50D739F1"/>
    <w:rsid w:val="50F2623C"/>
    <w:rsid w:val="50F6CEC0"/>
    <w:rsid w:val="51060259"/>
    <w:rsid w:val="510F858A"/>
    <w:rsid w:val="510F987E"/>
    <w:rsid w:val="511EF2C1"/>
    <w:rsid w:val="512161FA"/>
    <w:rsid w:val="51277DC2"/>
    <w:rsid w:val="512B49A1"/>
    <w:rsid w:val="512ECF14"/>
    <w:rsid w:val="51350D26"/>
    <w:rsid w:val="513740FE"/>
    <w:rsid w:val="5152F340"/>
    <w:rsid w:val="51547C5F"/>
    <w:rsid w:val="5155B93B"/>
    <w:rsid w:val="5161A73A"/>
    <w:rsid w:val="516881EE"/>
    <w:rsid w:val="5179D6F6"/>
    <w:rsid w:val="517F7BCC"/>
    <w:rsid w:val="51907A1C"/>
    <w:rsid w:val="5190E4E5"/>
    <w:rsid w:val="519C8932"/>
    <w:rsid w:val="519CC967"/>
    <w:rsid w:val="51AAC24C"/>
    <w:rsid w:val="51B2A5AB"/>
    <w:rsid w:val="51BB2D82"/>
    <w:rsid w:val="51C21C38"/>
    <w:rsid w:val="51D9E27B"/>
    <w:rsid w:val="51E185A8"/>
    <w:rsid w:val="51EBDBCC"/>
    <w:rsid w:val="51F4E6C9"/>
    <w:rsid w:val="5205FC0A"/>
    <w:rsid w:val="520CDA07"/>
    <w:rsid w:val="52135B5F"/>
    <w:rsid w:val="5213F61D"/>
    <w:rsid w:val="521ADF97"/>
    <w:rsid w:val="522C76A6"/>
    <w:rsid w:val="522CAD19"/>
    <w:rsid w:val="522F7FCD"/>
    <w:rsid w:val="52402E8B"/>
    <w:rsid w:val="5243488E"/>
    <w:rsid w:val="5243B28B"/>
    <w:rsid w:val="524BE03C"/>
    <w:rsid w:val="524D7CA7"/>
    <w:rsid w:val="52676579"/>
    <w:rsid w:val="5267BFD3"/>
    <w:rsid w:val="5277575B"/>
    <w:rsid w:val="5277925B"/>
    <w:rsid w:val="527FE52F"/>
    <w:rsid w:val="52828B80"/>
    <w:rsid w:val="5295EA1E"/>
    <w:rsid w:val="529F97DF"/>
    <w:rsid w:val="52BBA1A2"/>
    <w:rsid w:val="52C01F03"/>
    <w:rsid w:val="52C0F1FD"/>
    <w:rsid w:val="52C21E8C"/>
    <w:rsid w:val="52C98B7A"/>
    <w:rsid w:val="52CA4566"/>
    <w:rsid w:val="52CE52A1"/>
    <w:rsid w:val="52CFDD2D"/>
    <w:rsid w:val="52E0B608"/>
    <w:rsid w:val="52E6C7F3"/>
    <w:rsid w:val="52F2120D"/>
    <w:rsid w:val="52F3EACC"/>
    <w:rsid w:val="52F44A55"/>
    <w:rsid w:val="52F7847D"/>
    <w:rsid w:val="52FCF9CC"/>
    <w:rsid w:val="52FD779B"/>
    <w:rsid w:val="52FDA588"/>
    <w:rsid w:val="530879E1"/>
    <w:rsid w:val="53123499"/>
    <w:rsid w:val="531EA328"/>
    <w:rsid w:val="53206C94"/>
    <w:rsid w:val="534AF0D9"/>
    <w:rsid w:val="53541FB6"/>
    <w:rsid w:val="536BE02D"/>
    <w:rsid w:val="536E58B7"/>
    <w:rsid w:val="536EF759"/>
    <w:rsid w:val="53844138"/>
    <w:rsid w:val="538442AB"/>
    <w:rsid w:val="538480F1"/>
    <w:rsid w:val="538AA353"/>
    <w:rsid w:val="538B2784"/>
    <w:rsid w:val="53921390"/>
    <w:rsid w:val="53972821"/>
    <w:rsid w:val="5397DEBF"/>
    <w:rsid w:val="53981A66"/>
    <w:rsid w:val="539D9CDE"/>
    <w:rsid w:val="539EE77B"/>
    <w:rsid w:val="53A91B58"/>
    <w:rsid w:val="53ABA094"/>
    <w:rsid w:val="53ACF4C0"/>
    <w:rsid w:val="53B3ECC9"/>
    <w:rsid w:val="53BFC483"/>
    <w:rsid w:val="53C2E38D"/>
    <w:rsid w:val="53D46715"/>
    <w:rsid w:val="53E2B58B"/>
    <w:rsid w:val="53F235B2"/>
    <w:rsid w:val="53FB764C"/>
    <w:rsid w:val="5408481D"/>
    <w:rsid w:val="5414E083"/>
    <w:rsid w:val="5441798E"/>
    <w:rsid w:val="544AC7F9"/>
    <w:rsid w:val="544BF648"/>
    <w:rsid w:val="546007EB"/>
    <w:rsid w:val="54643595"/>
    <w:rsid w:val="546ED497"/>
    <w:rsid w:val="54706F16"/>
    <w:rsid w:val="5484686B"/>
    <w:rsid w:val="548689BF"/>
    <w:rsid w:val="549A2276"/>
    <w:rsid w:val="54A9AFF4"/>
    <w:rsid w:val="54AAEE3C"/>
    <w:rsid w:val="54B34AD4"/>
    <w:rsid w:val="54C5CCF4"/>
    <w:rsid w:val="54C894CE"/>
    <w:rsid w:val="54DC596F"/>
    <w:rsid w:val="54F2ED51"/>
    <w:rsid w:val="5501C157"/>
    <w:rsid w:val="550B3553"/>
    <w:rsid w:val="550B66FE"/>
    <w:rsid w:val="550C2CA1"/>
    <w:rsid w:val="55102CC1"/>
    <w:rsid w:val="551B1583"/>
    <w:rsid w:val="5525B22E"/>
    <w:rsid w:val="5526CD6F"/>
    <w:rsid w:val="5526F7E5"/>
    <w:rsid w:val="55306893"/>
    <w:rsid w:val="55314922"/>
    <w:rsid w:val="55352834"/>
    <w:rsid w:val="5535C38E"/>
    <w:rsid w:val="5536D1E4"/>
    <w:rsid w:val="5536EC3E"/>
    <w:rsid w:val="5537DF0B"/>
    <w:rsid w:val="553B8E2A"/>
    <w:rsid w:val="553D867B"/>
    <w:rsid w:val="554770F5"/>
    <w:rsid w:val="554DC7E7"/>
    <w:rsid w:val="5551CB53"/>
    <w:rsid w:val="5557DEF3"/>
    <w:rsid w:val="55594ED7"/>
    <w:rsid w:val="5563DB0B"/>
    <w:rsid w:val="556A98A6"/>
    <w:rsid w:val="5570C20D"/>
    <w:rsid w:val="557F0C1A"/>
    <w:rsid w:val="55841C70"/>
    <w:rsid w:val="55846BA9"/>
    <w:rsid w:val="55A32D96"/>
    <w:rsid w:val="55A54013"/>
    <w:rsid w:val="55B1B9C6"/>
    <w:rsid w:val="55C05BF0"/>
    <w:rsid w:val="55C51A66"/>
    <w:rsid w:val="55C81087"/>
    <w:rsid w:val="55C8945D"/>
    <w:rsid w:val="55D5E08A"/>
    <w:rsid w:val="55DB81DC"/>
    <w:rsid w:val="55E2B8F1"/>
    <w:rsid w:val="55F15B94"/>
    <w:rsid w:val="55F4AB21"/>
    <w:rsid w:val="55FAB638"/>
    <w:rsid w:val="55FCE5DF"/>
    <w:rsid w:val="56000875"/>
    <w:rsid w:val="56056C21"/>
    <w:rsid w:val="5611CE2C"/>
    <w:rsid w:val="56147555"/>
    <w:rsid w:val="561A45FB"/>
    <w:rsid w:val="561F6A48"/>
    <w:rsid w:val="562038CC"/>
    <w:rsid w:val="562A6059"/>
    <w:rsid w:val="56310CE1"/>
    <w:rsid w:val="563B1257"/>
    <w:rsid w:val="56401EC4"/>
    <w:rsid w:val="56412A6E"/>
    <w:rsid w:val="56428022"/>
    <w:rsid w:val="5643159E"/>
    <w:rsid w:val="56457752"/>
    <w:rsid w:val="564A03A8"/>
    <w:rsid w:val="5656F433"/>
    <w:rsid w:val="56582097"/>
    <w:rsid w:val="566428A8"/>
    <w:rsid w:val="566E4FBA"/>
    <w:rsid w:val="56779DB8"/>
    <w:rsid w:val="568ADBA8"/>
    <w:rsid w:val="568D78B0"/>
    <w:rsid w:val="56987B56"/>
    <w:rsid w:val="569D5AFD"/>
    <w:rsid w:val="56A372CF"/>
    <w:rsid w:val="56ACAB7F"/>
    <w:rsid w:val="56C24415"/>
    <w:rsid w:val="56CD671C"/>
    <w:rsid w:val="56D033C0"/>
    <w:rsid w:val="56D28CA3"/>
    <w:rsid w:val="56E398F9"/>
    <w:rsid w:val="56E64B07"/>
    <w:rsid w:val="56EBB8BF"/>
    <w:rsid w:val="56F1418E"/>
    <w:rsid w:val="56F368C5"/>
    <w:rsid w:val="56F8E294"/>
    <w:rsid w:val="56FBD43D"/>
    <w:rsid w:val="5700FAB2"/>
    <w:rsid w:val="570682C9"/>
    <w:rsid w:val="570B00F9"/>
    <w:rsid w:val="570DC332"/>
    <w:rsid w:val="57168FAB"/>
    <w:rsid w:val="5716AE96"/>
    <w:rsid w:val="57196BD7"/>
    <w:rsid w:val="571A5B0F"/>
    <w:rsid w:val="571C918D"/>
    <w:rsid w:val="57204AB6"/>
    <w:rsid w:val="572BA955"/>
    <w:rsid w:val="5734253A"/>
    <w:rsid w:val="574704D2"/>
    <w:rsid w:val="5751802C"/>
    <w:rsid w:val="575A3C8A"/>
    <w:rsid w:val="5767CB1B"/>
    <w:rsid w:val="5770B778"/>
    <w:rsid w:val="5775D881"/>
    <w:rsid w:val="5776BECE"/>
    <w:rsid w:val="577B25B1"/>
    <w:rsid w:val="5787BC13"/>
    <w:rsid w:val="578D268E"/>
    <w:rsid w:val="578EEC06"/>
    <w:rsid w:val="57968699"/>
    <w:rsid w:val="57A09D96"/>
    <w:rsid w:val="57B1A3C3"/>
    <w:rsid w:val="57B264DF"/>
    <w:rsid w:val="57B3E99A"/>
    <w:rsid w:val="57B4D7D2"/>
    <w:rsid w:val="57B6165C"/>
    <w:rsid w:val="57BD7745"/>
    <w:rsid w:val="57C79948"/>
    <w:rsid w:val="57D84F9C"/>
    <w:rsid w:val="57E3DBAF"/>
    <w:rsid w:val="57ED05AE"/>
    <w:rsid w:val="57F3DDB7"/>
    <w:rsid w:val="57FAB67C"/>
    <w:rsid w:val="5801EBDA"/>
    <w:rsid w:val="580E9F6E"/>
    <w:rsid w:val="58138D04"/>
    <w:rsid w:val="5814ACF2"/>
    <w:rsid w:val="581596E2"/>
    <w:rsid w:val="584706BE"/>
    <w:rsid w:val="584DC810"/>
    <w:rsid w:val="58530738"/>
    <w:rsid w:val="5858DA11"/>
    <w:rsid w:val="586ED545"/>
    <w:rsid w:val="587A39C6"/>
    <w:rsid w:val="587FB558"/>
    <w:rsid w:val="588F2236"/>
    <w:rsid w:val="5891B7AE"/>
    <w:rsid w:val="58AC2D3C"/>
    <w:rsid w:val="58D6A6FD"/>
    <w:rsid w:val="58E74010"/>
    <w:rsid w:val="58FD6E63"/>
    <w:rsid w:val="58FDE720"/>
    <w:rsid w:val="58FEEB04"/>
    <w:rsid w:val="590B19C8"/>
    <w:rsid w:val="59110798"/>
    <w:rsid w:val="5916288E"/>
    <w:rsid w:val="59210357"/>
    <w:rsid w:val="592520AF"/>
    <w:rsid w:val="5926DE61"/>
    <w:rsid w:val="592C321F"/>
    <w:rsid w:val="5937A937"/>
    <w:rsid w:val="59401C0E"/>
    <w:rsid w:val="594BEA1D"/>
    <w:rsid w:val="594C8EE7"/>
    <w:rsid w:val="5957D98E"/>
    <w:rsid w:val="5957EB40"/>
    <w:rsid w:val="59587566"/>
    <w:rsid w:val="597C5579"/>
    <w:rsid w:val="597FB167"/>
    <w:rsid w:val="597FFD73"/>
    <w:rsid w:val="599A9F50"/>
    <w:rsid w:val="59A88B02"/>
    <w:rsid w:val="59BAFDA0"/>
    <w:rsid w:val="59C6498A"/>
    <w:rsid w:val="59C8892B"/>
    <w:rsid w:val="59CD2E1D"/>
    <w:rsid w:val="59D51BA3"/>
    <w:rsid w:val="59D77ED9"/>
    <w:rsid w:val="59E61F06"/>
    <w:rsid w:val="59EC7268"/>
    <w:rsid w:val="59F4C181"/>
    <w:rsid w:val="5A00B59B"/>
    <w:rsid w:val="5A09429A"/>
    <w:rsid w:val="5A181FFB"/>
    <w:rsid w:val="5A1B2658"/>
    <w:rsid w:val="5A1BEF7D"/>
    <w:rsid w:val="5A203480"/>
    <w:rsid w:val="5A28E250"/>
    <w:rsid w:val="5A318B8A"/>
    <w:rsid w:val="5A395067"/>
    <w:rsid w:val="5A39CB86"/>
    <w:rsid w:val="5A4F9133"/>
    <w:rsid w:val="5A74997B"/>
    <w:rsid w:val="5A92CD9D"/>
    <w:rsid w:val="5AA07E38"/>
    <w:rsid w:val="5AA9402E"/>
    <w:rsid w:val="5AC2780F"/>
    <w:rsid w:val="5AC2EF86"/>
    <w:rsid w:val="5B02269B"/>
    <w:rsid w:val="5B0674FE"/>
    <w:rsid w:val="5B0A515A"/>
    <w:rsid w:val="5B0EF3A0"/>
    <w:rsid w:val="5B226DE2"/>
    <w:rsid w:val="5B27391A"/>
    <w:rsid w:val="5B29D6FC"/>
    <w:rsid w:val="5B2B7E79"/>
    <w:rsid w:val="5B3AFF9B"/>
    <w:rsid w:val="5B4718EB"/>
    <w:rsid w:val="5B495EB0"/>
    <w:rsid w:val="5B6287BF"/>
    <w:rsid w:val="5B6FCEDD"/>
    <w:rsid w:val="5B76C2C9"/>
    <w:rsid w:val="5B7A1230"/>
    <w:rsid w:val="5B8AA7FA"/>
    <w:rsid w:val="5BAF9AFB"/>
    <w:rsid w:val="5BE54CA1"/>
    <w:rsid w:val="5BE7284A"/>
    <w:rsid w:val="5BE8DAFA"/>
    <w:rsid w:val="5BEB0AAA"/>
    <w:rsid w:val="5BFA6010"/>
    <w:rsid w:val="5BFD8209"/>
    <w:rsid w:val="5C06AF98"/>
    <w:rsid w:val="5C090E13"/>
    <w:rsid w:val="5C0FDE09"/>
    <w:rsid w:val="5C1F7A01"/>
    <w:rsid w:val="5C2F2AC1"/>
    <w:rsid w:val="5C37A8FC"/>
    <w:rsid w:val="5C3D712F"/>
    <w:rsid w:val="5C3F6096"/>
    <w:rsid w:val="5C54083F"/>
    <w:rsid w:val="5C57E45A"/>
    <w:rsid w:val="5C609CD9"/>
    <w:rsid w:val="5C6416E0"/>
    <w:rsid w:val="5C6A7C8B"/>
    <w:rsid w:val="5C6C76E5"/>
    <w:rsid w:val="5C734EF5"/>
    <w:rsid w:val="5C827FC8"/>
    <w:rsid w:val="5C874985"/>
    <w:rsid w:val="5C94100D"/>
    <w:rsid w:val="5CA9AF9C"/>
    <w:rsid w:val="5CCB514B"/>
    <w:rsid w:val="5CCCF66A"/>
    <w:rsid w:val="5CD30A32"/>
    <w:rsid w:val="5CDD5129"/>
    <w:rsid w:val="5CEDD018"/>
    <w:rsid w:val="5D0EBADB"/>
    <w:rsid w:val="5D225FE9"/>
    <w:rsid w:val="5D23324A"/>
    <w:rsid w:val="5D44199B"/>
    <w:rsid w:val="5D4AE8D4"/>
    <w:rsid w:val="5D593E96"/>
    <w:rsid w:val="5D691A9F"/>
    <w:rsid w:val="5D6A4523"/>
    <w:rsid w:val="5D6C1D17"/>
    <w:rsid w:val="5D773D59"/>
    <w:rsid w:val="5D80023B"/>
    <w:rsid w:val="5D810DBB"/>
    <w:rsid w:val="5D928E76"/>
    <w:rsid w:val="5DA3233B"/>
    <w:rsid w:val="5DA6EABA"/>
    <w:rsid w:val="5DA7E575"/>
    <w:rsid w:val="5DB5988D"/>
    <w:rsid w:val="5DB828CE"/>
    <w:rsid w:val="5DC1F788"/>
    <w:rsid w:val="5DC31B48"/>
    <w:rsid w:val="5DC3C1B0"/>
    <w:rsid w:val="5DEC9FC0"/>
    <w:rsid w:val="5DF0D3E5"/>
    <w:rsid w:val="5E0022EB"/>
    <w:rsid w:val="5E031330"/>
    <w:rsid w:val="5E1087A3"/>
    <w:rsid w:val="5E14878A"/>
    <w:rsid w:val="5E2832FF"/>
    <w:rsid w:val="5E287495"/>
    <w:rsid w:val="5E2FD344"/>
    <w:rsid w:val="5E3E70E9"/>
    <w:rsid w:val="5E428FAF"/>
    <w:rsid w:val="5E60D191"/>
    <w:rsid w:val="5E6666E4"/>
    <w:rsid w:val="5E69806A"/>
    <w:rsid w:val="5E7E220A"/>
    <w:rsid w:val="5E8DC812"/>
    <w:rsid w:val="5E904A87"/>
    <w:rsid w:val="5EA34800"/>
    <w:rsid w:val="5EB8410B"/>
    <w:rsid w:val="5EBC808C"/>
    <w:rsid w:val="5EBEA13D"/>
    <w:rsid w:val="5EDBCC48"/>
    <w:rsid w:val="5EDC1894"/>
    <w:rsid w:val="5EE6AE3B"/>
    <w:rsid w:val="5EEA14F8"/>
    <w:rsid w:val="5F33668D"/>
    <w:rsid w:val="5F450EEE"/>
    <w:rsid w:val="5F4C05FE"/>
    <w:rsid w:val="5F64EFD2"/>
    <w:rsid w:val="5F66339B"/>
    <w:rsid w:val="5F674AA0"/>
    <w:rsid w:val="5F823713"/>
    <w:rsid w:val="5F856A12"/>
    <w:rsid w:val="5F92C53D"/>
    <w:rsid w:val="5F9F2684"/>
    <w:rsid w:val="5FA3C21C"/>
    <w:rsid w:val="5FA70C2D"/>
    <w:rsid w:val="5FA88122"/>
    <w:rsid w:val="5FAF9DEA"/>
    <w:rsid w:val="5FB205B6"/>
    <w:rsid w:val="5FB56EB2"/>
    <w:rsid w:val="5FB90E72"/>
    <w:rsid w:val="5FBE022F"/>
    <w:rsid w:val="5FCCF967"/>
    <w:rsid w:val="5FD52CA0"/>
    <w:rsid w:val="5FD8F21C"/>
    <w:rsid w:val="5FEF77D4"/>
    <w:rsid w:val="600ADCAF"/>
    <w:rsid w:val="600E1AF1"/>
    <w:rsid w:val="600F4C5D"/>
    <w:rsid w:val="60129367"/>
    <w:rsid w:val="6013EFCC"/>
    <w:rsid w:val="6024233E"/>
    <w:rsid w:val="6032DF2D"/>
    <w:rsid w:val="6038FC22"/>
    <w:rsid w:val="603C6FA1"/>
    <w:rsid w:val="6042422F"/>
    <w:rsid w:val="6044C821"/>
    <w:rsid w:val="604C6830"/>
    <w:rsid w:val="6055B6C8"/>
    <w:rsid w:val="6057A585"/>
    <w:rsid w:val="6062F789"/>
    <w:rsid w:val="60674904"/>
    <w:rsid w:val="606C1145"/>
    <w:rsid w:val="606E4C2D"/>
    <w:rsid w:val="608087DD"/>
    <w:rsid w:val="60885FD5"/>
    <w:rsid w:val="6092D1C3"/>
    <w:rsid w:val="609F141B"/>
    <w:rsid w:val="60A61B1A"/>
    <w:rsid w:val="60AEE248"/>
    <w:rsid w:val="60BAFB72"/>
    <w:rsid w:val="60C0FBF6"/>
    <w:rsid w:val="60CC62B3"/>
    <w:rsid w:val="60E217CA"/>
    <w:rsid w:val="60E55CDF"/>
    <w:rsid w:val="60E6D386"/>
    <w:rsid w:val="60F6170D"/>
    <w:rsid w:val="60FF8BB5"/>
    <w:rsid w:val="610EE638"/>
    <w:rsid w:val="6114460A"/>
    <w:rsid w:val="6114A08F"/>
    <w:rsid w:val="611EF7BD"/>
    <w:rsid w:val="61247983"/>
    <w:rsid w:val="6127EE57"/>
    <w:rsid w:val="612AC53C"/>
    <w:rsid w:val="612BC2DB"/>
    <w:rsid w:val="6134196C"/>
    <w:rsid w:val="613D68DF"/>
    <w:rsid w:val="61427539"/>
    <w:rsid w:val="61488E6C"/>
    <w:rsid w:val="6169E42D"/>
    <w:rsid w:val="6170CE0A"/>
    <w:rsid w:val="6177F537"/>
    <w:rsid w:val="618B4835"/>
    <w:rsid w:val="61917B30"/>
    <w:rsid w:val="619A75E3"/>
    <w:rsid w:val="619B1C87"/>
    <w:rsid w:val="61A10606"/>
    <w:rsid w:val="61AEA6FA"/>
    <w:rsid w:val="61AFDC03"/>
    <w:rsid w:val="61B9C795"/>
    <w:rsid w:val="61C00D1C"/>
    <w:rsid w:val="61C02240"/>
    <w:rsid w:val="61E6B9A5"/>
    <w:rsid w:val="61FFC208"/>
    <w:rsid w:val="620056DE"/>
    <w:rsid w:val="6205B15D"/>
    <w:rsid w:val="6212F819"/>
    <w:rsid w:val="621B5C6A"/>
    <w:rsid w:val="622025F2"/>
    <w:rsid w:val="62233090"/>
    <w:rsid w:val="62243036"/>
    <w:rsid w:val="6225F3FD"/>
    <w:rsid w:val="62332EEB"/>
    <w:rsid w:val="623842CB"/>
    <w:rsid w:val="62386781"/>
    <w:rsid w:val="62386CB0"/>
    <w:rsid w:val="62407F5C"/>
    <w:rsid w:val="6244F87A"/>
    <w:rsid w:val="6246A5CA"/>
    <w:rsid w:val="625181CF"/>
    <w:rsid w:val="625995CA"/>
    <w:rsid w:val="628525C5"/>
    <w:rsid w:val="6287450F"/>
    <w:rsid w:val="628A71F0"/>
    <w:rsid w:val="6296EE0E"/>
    <w:rsid w:val="62997BC2"/>
    <w:rsid w:val="629B5C16"/>
    <w:rsid w:val="62CAFB44"/>
    <w:rsid w:val="62EE81CA"/>
    <w:rsid w:val="62F3DE6A"/>
    <w:rsid w:val="62F48EBD"/>
    <w:rsid w:val="62FEAAF3"/>
    <w:rsid w:val="631A4979"/>
    <w:rsid w:val="632A3326"/>
    <w:rsid w:val="632C8C13"/>
    <w:rsid w:val="632D4368"/>
    <w:rsid w:val="634A7B4B"/>
    <w:rsid w:val="63520FA2"/>
    <w:rsid w:val="635216B4"/>
    <w:rsid w:val="635D6CE8"/>
    <w:rsid w:val="636E00C0"/>
    <w:rsid w:val="63728B03"/>
    <w:rsid w:val="63736E53"/>
    <w:rsid w:val="63753538"/>
    <w:rsid w:val="637C5D4E"/>
    <w:rsid w:val="638056D9"/>
    <w:rsid w:val="63858F50"/>
    <w:rsid w:val="638C96B0"/>
    <w:rsid w:val="638C999E"/>
    <w:rsid w:val="639DF276"/>
    <w:rsid w:val="639E798C"/>
    <w:rsid w:val="63A938D4"/>
    <w:rsid w:val="63AC4EAB"/>
    <w:rsid w:val="63B76923"/>
    <w:rsid w:val="63B9347F"/>
    <w:rsid w:val="63CE44DF"/>
    <w:rsid w:val="63D2D46A"/>
    <w:rsid w:val="63D8F8DD"/>
    <w:rsid w:val="63DB84AC"/>
    <w:rsid w:val="63E8D8E3"/>
    <w:rsid w:val="64047BDE"/>
    <w:rsid w:val="64070FD4"/>
    <w:rsid w:val="640A5551"/>
    <w:rsid w:val="6413E206"/>
    <w:rsid w:val="641856BC"/>
    <w:rsid w:val="6418D05B"/>
    <w:rsid w:val="6428AC3D"/>
    <w:rsid w:val="642D19DC"/>
    <w:rsid w:val="642DE202"/>
    <w:rsid w:val="6439D473"/>
    <w:rsid w:val="64416E20"/>
    <w:rsid w:val="644417EC"/>
    <w:rsid w:val="6447EDD3"/>
    <w:rsid w:val="64492F59"/>
    <w:rsid w:val="644F7776"/>
    <w:rsid w:val="64568032"/>
    <w:rsid w:val="6456987F"/>
    <w:rsid w:val="64583C60"/>
    <w:rsid w:val="645A392A"/>
    <w:rsid w:val="645CCB4C"/>
    <w:rsid w:val="645EE142"/>
    <w:rsid w:val="6462FF90"/>
    <w:rsid w:val="646C7175"/>
    <w:rsid w:val="646DA352"/>
    <w:rsid w:val="64711AA6"/>
    <w:rsid w:val="64713D9D"/>
    <w:rsid w:val="6475B214"/>
    <w:rsid w:val="648BC56E"/>
    <w:rsid w:val="648DF4B9"/>
    <w:rsid w:val="648E5B3E"/>
    <w:rsid w:val="649203B9"/>
    <w:rsid w:val="649DB320"/>
    <w:rsid w:val="64AD3CF4"/>
    <w:rsid w:val="64B93862"/>
    <w:rsid w:val="64D410E3"/>
    <w:rsid w:val="64D8A8EF"/>
    <w:rsid w:val="64D8FE4A"/>
    <w:rsid w:val="6503D5C7"/>
    <w:rsid w:val="650DAA79"/>
    <w:rsid w:val="65182DAF"/>
    <w:rsid w:val="651D6768"/>
    <w:rsid w:val="65215FB1"/>
    <w:rsid w:val="6525C5D6"/>
    <w:rsid w:val="652CB56C"/>
    <w:rsid w:val="65344B5E"/>
    <w:rsid w:val="6537F7A0"/>
    <w:rsid w:val="65390EA6"/>
    <w:rsid w:val="653B148A"/>
    <w:rsid w:val="65426DEC"/>
    <w:rsid w:val="65488315"/>
    <w:rsid w:val="654A8729"/>
    <w:rsid w:val="654CA926"/>
    <w:rsid w:val="654CE3CB"/>
    <w:rsid w:val="65525757"/>
    <w:rsid w:val="655B5B3E"/>
    <w:rsid w:val="65635208"/>
    <w:rsid w:val="65811727"/>
    <w:rsid w:val="659FEE63"/>
    <w:rsid w:val="65B10F83"/>
    <w:rsid w:val="65E29757"/>
    <w:rsid w:val="65FA980F"/>
    <w:rsid w:val="6604F168"/>
    <w:rsid w:val="662617F6"/>
    <w:rsid w:val="662A2B9F"/>
    <w:rsid w:val="662E51D3"/>
    <w:rsid w:val="664192F0"/>
    <w:rsid w:val="6645BB7F"/>
    <w:rsid w:val="66646314"/>
    <w:rsid w:val="6675E042"/>
    <w:rsid w:val="6683354A"/>
    <w:rsid w:val="669261A3"/>
    <w:rsid w:val="669F6345"/>
    <w:rsid w:val="66A594DF"/>
    <w:rsid w:val="66AB8A00"/>
    <w:rsid w:val="66DA2693"/>
    <w:rsid w:val="66DB764F"/>
    <w:rsid w:val="66DEF4D1"/>
    <w:rsid w:val="66E7C5A2"/>
    <w:rsid w:val="66F1DE5F"/>
    <w:rsid w:val="66FCC257"/>
    <w:rsid w:val="6702434E"/>
    <w:rsid w:val="67028B1B"/>
    <w:rsid w:val="671122A0"/>
    <w:rsid w:val="6725D6BD"/>
    <w:rsid w:val="6748CBB6"/>
    <w:rsid w:val="674BF343"/>
    <w:rsid w:val="674E648F"/>
    <w:rsid w:val="675B0A09"/>
    <w:rsid w:val="675D3518"/>
    <w:rsid w:val="6760AC0F"/>
    <w:rsid w:val="6761E4EB"/>
    <w:rsid w:val="6762D7D3"/>
    <w:rsid w:val="6763AC11"/>
    <w:rsid w:val="676515E6"/>
    <w:rsid w:val="677510E4"/>
    <w:rsid w:val="677E3710"/>
    <w:rsid w:val="67807D49"/>
    <w:rsid w:val="6783878E"/>
    <w:rsid w:val="678508D7"/>
    <w:rsid w:val="6785568C"/>
    <w:rsid w:val="678B9B08"/>
    <w:rsid w:val="67909B78"/>
    <w:rsid w:val="6792FA3E"/>
    <w:rsid w:val="67940F23"/>
    <w:rsid w:val="6794B75C"/>
    <w:rsid w:val="67A29F7C"/>
    <w:rsid w:val="67A3C8F3"/>
    <w:rsid w:val="67BFBB33"/>
    <w:rsid w:val="67C31374"/>
    <w:rsid w:val="67C7C525"/>
    <w:rsid w:val="67C85F92"/>
    <w:rsid w:val="67D28FDE"/>
    <w:rsid w:val="67D427AC"/>
    <w:rsid w:val="67E4D92B"/>
    <w:rsid w:val="67E6970A"/>
    <w:rsid w:val="67EB940C"/>
    <w:rsid w:val="67F91C26"/>
    <w:rsid w:val="6803BBE5"/>
    <w:rsid w:val="680A9703"/>
    <w:rsid w:val="680BB1A5"/>
    <w:rsid w:val="680C07D1"/>
    <w:rsid w:val="681BFD15"/>
    <w:rsid w:val="681EA751"/>
    <w:rsid w:val="682AE5F8"/>
    <w:rsid w:val="682EAB7F"/>
    <w:rsid w:val="682FE228"/>
    <w:rsid w:val="68418B33"/>
    <w:rsid w:val="684294EB"/>
    <w:rsid w:val="68474A12"/>
    <w:rsid w:val="6847516F"/>
    <w:rsid w:val="6850C12D"/>
    <w:rsid w:val="68695B45"/>
    <w:rsid w:val="686F9862"/>
    <w:rsid w:val="6871FA03"/>
    <w:rsid w:val="68773E9F"/>
    <w:rsid w:val="687A0EAE"/>
    <w:rsid w:val="688ECEF8"/>
    <w:rsid w:val="6894C7BE"/>
    <w:rsid w:val="6895AC8B"/>
    <w:rsid w:val="689CA31D"/>
    <w:rsid w:val="68AE35A5"/>
    <w:rsid w:val="68B550EB"/>
    <w:rsid w:val="68B8CB6A"/>
    <w:rsid w:val="68D335D3"/>
    <w:rsid w:val="68D5E5D5"/>
    <w:rsid w:val="68D60337"/>
    <w:rsid w:val="68ECA17E"/>
    <w:rsid w:val="690388BB"/>
    <w:rsid w:val="69039B10"/>
    <w:rsid w:val="69084153"/>
    <w:rsid w:val="6908BD46"/>
    <w:rsid w:val="6910E145"/>
    <w:rsid w:val="6925BA19"/>
    <w:rsid w:val="692B3D25"/>
    <w:rsid w:val="69464A37"/>
    <w:rsid w:val="6947CC67"/>
    <w:rsid w:val="6948A404"/>
    <w:rsid w:val="694E4AB8"/>
    <w:rsid w:val="695C29AA"/>
    <w:rsid w:val="695F6270"/>
    <w:rsid w:val="69781AEF"/>
    <w:rsid w:val="697E32D9"/>
    <w:rsid w:val="697FB8ED"/>
    <w:rsid w:val="6982D453"/>
    <w:rsid w:val="698416EA"/>
    <w:rsid w:val="699D53DE"/>
    <w:rsid w:val="699EEA3A"/>
    <w:rsid w:val="69A6FD46"/>
    <w:rsid w:val="69ACCACB"/>
    <w:rsid w:val="69B3336F"/>
    <w:rsid w:val="69C04133"/>
    <w:rsid w:val="69C3041D"/>
    <w:rsid w:val="69CBB289"/>
    <w:rsid w:val="69D9FCD3"/>
    <w:rsid w:val="69DB3D3C"/>
    <w:rsid w:val="69DCA76B"/>
    <w:rsid w:val="69E2AFD7"/>
    <w:rsid w:val="69E31A73"/>
    <w:rsid w:val="69E6ED3D"/>
    <w:rsid w:val="69EFDFEA"/>
    <w:rsid w:val="69F8775C"/>
    <w:rsid w:val="6A09D2D4"/>
    <w:rsid w:val="6A1D9DFA"/>
    <w:rsid w:val="6A1FAC1E"/>
    <w:rsid w:val="6A281FD9"/>
    <w:rsid w:val="6A2C6FC3"/>
    <w:rsid w:val="6A335845"/>
    <w:rsid w:val="6A4A4CE7"/>
    <w:rsid w:val="6A531C82"/>
    <w:rsid w:val="6A581C3E"/>
    <w:rsid w:val="6A5F3F94"/>
    <w:rsid w:val="6A632E63"/>
    <w:rsid w:val="6A778959"/>
    <w:rsid w:val="6A8178EE"/>
    <w:rsid w:val="6A83A059"/>
    <w:rsid w:val="6A97ED58"/>
    <w:rsid w:val="6A9B0EC8"/>
    <w:rsid w:val="6AAECFBF"/>
    <w:rsid w:val="6AB704EA"/>
    <w:rsid w:val="6AD83517"/>
    <w:rsid w:val="6ADA403E"/>
    <w:rsid w:val="6ADA5007"/>
    <w:rsid w:val="6AE71FF8"/>
    <w:rsid w:val="6AED7942"/>
    <w:rsid w:val="6AEE7932"/>
    <w:rsid w:val="6AF4DDB4"/>
    <w:rsid w:val="6B1E6AB8"/>
    <w:rsid w:val="6B2921B3"/>
    <w:rsid w:val="6B3B6322"/>
    <w:rsid w:val="6B3C3753"/>
    <w:rsid w:val="6B3CEA29"/>
    <w:rsid w:val="6B4523AB"/>
    <w:rsid w:val="6B459238"/>
    <w:rsid w:val="6B49D179"/>
    <w:rsid w:val="6B516B52"/>
    <w:rsid w:val="6B55810A"/>
    <w:rsid w:val="6B5664D4"/>
    <w:rsid w:val="6B5C41EC"/>
    <w:rsid w:val="6B5C4B0B"/>
    <w:rsid w:val="6B5D821A"/>
    <w:rsid w:val="6B7793DE"/>
    <w:rsid w:val="6B7E2614"/>
    <w:rsid w:val="6B82BC52"/>
    <w:rsid w:val="6B8587CE"/>
    <w:rsid w:val="6B91919E"/>
    <w:rsid w:val="6BAB0F9B"/>
    <w:rsid w:val="6BAF06A4"/>
    <w:rsid w:val="6BBCE405"/>
    <w:rsid w:val="6BC2D778"/>
    <w:rsid w:val="6BC8AAF1"/>
    <w:rsid w:val="6BCC64A7"/>
    <w:rsid w:val="6BCED5B7"/>
    <w:rsid w:val="6BD41661"/>
    <w:rsid w:val="6BD443DF"/>
    <w:rsid w:val="6BEB579B"/>
    <w:rsid w:val="6BEDFFF2"/>
    <w:rsid w:val="6BF8C138"/>
    <w:rsid w:val="6C0CF426"/>
    <w:rsid w:val="6C2E156B"/>
    <w:rsid w:val="6C2E7B2C"/>
    <w:rsid w:val="6C360E04"/>
    <w:rsid w:val="6C3927E0"/>
    <w:rsid w:val="6C3CF28B"/>
    <w:rsid w:val="6C441CAE"/>
    <w:rsid w:val="6C5039D8"/>
    <w:rsid w:val="6C56F8B1"/>
    <w:rsid w:val="6C598665"/>
    <w:rsid w:val="6C5F1784"/>
    <w:rsid w:val="6C66705B"/>
    <w:rsid w:val="6C6B90E7"/>
    <w:rsid w:val="6C6FC070"/>
    <w:rsid w:val="6C76F775"/>
    <w:rsid w:val="6CA521A7"/>
    <w:rsid w:val="6CB31B33"/>
    <w:rsid w:val="6CBE1D90"/>
    <w:rsid w:val="6CCDD424"/>
    <w:rsid w:val="6CDE2249"/>
    <w:rsid w:val="6CE8E5AA"/>
    <w:rsid w:val="6CF1B2D7"/>
    <w:rsid w:val="6CF99591"/>
    <w:rsid w:val="6D070DAA"/>
    <w:rsid w:val="6D58BFF9"/>
    <w:rsid w:val="6D77AB91"/>
    <w:rsid w:val="6D7DCF18"/>
    <w:rsid w:val="6D7F0BF2"/>
    <w:rsid w:val="6D8636DA"/>
    <w:rsid w:val="6D904876"/>
    <w:rsid w:val="6D98C87F"/>
    <w:rsid w:val="6D9EB6C8"/>
    <w:rsid w:val="6DC76113"/>
    <w:rsid w:val="6DD7BC87"/>
    <w:rsid w:val="6DE67081"/>
    <w:rsid w:val="6DEADE2D"/>
    <w:rsid w:val="6DF556C6"/>
    <w:rsid w:val="6DF80697"/>
    <w:rsid w:val="6DFCFF2A"/>
    <w:rsid w:val="6E085DF4"/>
    <w:rsid w:val="6E161100"/>
    <w:rsid w:val="6E18187D"/>
    <w:rsid w:val="6E1833D5"/>
    <w:rsid w:val="6E272062"/>
    <w:rsid w:val="6E38E5FF"/>
    <w:rsid w:val="6E3D988A"/>
    <w:rsid w:val="6E408913"/>
    <w:rsid w:val="6E42536D"/>
    <w:rsid w:val="6E4A2D92"/>
    <w:rsid w:val="6E507C28"/>
    <w:rsid w:val="6E516FF6"/>
    <w:rsid w:val="6E61B757"/>
    <w:rsid w:val="6E6C619C"/>
    <w:rsid w:val="6E7140FE"/>
    <w:rsid w:val="6E7C6DBA"/>
    <w:rsid w:val="6E8C627C"/>
    <w:rsid w:val="6E934DAF"/>
    <w:rsid w:val="6E93C259"/>
    <w:rsid w:val="6E9A7196"/>
    <w:rsid w:val="6EADFB20"/>
    <w:rsid w:val="6EB1509C"/>
    <w:rsid w:val="6EB5C780"/>
    <w:rsid w:val="6EBF7B5F"/>
    <w:rsid w:val="6EC566DF"/>
    <w:rsid w:val="6EC7A213"/>
    <w:rsid w:val="6EC8C0A0"/>
    <w:rsid w:val="6ECBA66C"/>
    <w:rsid w:val="6ECBB9A1"/>
    <w:rsid w:val="6EE0AB46"/>
    <w:rsid w:val="6EE2B05D"/>
    <w:rsid w:val="6EE6A60A"/>
    <w:rsid w:val="6EF0A5A1"/>
    <w:rsid w:val="6F0E0BAA"/>
    <w:rsid w:val="6F1D7729"/>
    <w:rsid w:val="6F1DBE0A"/>
    <w:rsid w:val="6F283FD5"/>
    <w:rsid w:val="6F28F286"/>
    <w:rsid w:val="6F28F6E2"/>
    <w:rsid w:val="6F3061FA"/>
    <w:rsid w:val="6F421ACE"/>
    <w:rsid w:val="6F4C8A16"/>
    <w:rsid w:val="6F527CE4"/>
    <w:rsid w:val="6F52F9A9"/>
    <w:rsid w:val="6F6EE729"/>
    <w:rsid w:val="6F6FCC83"/>
    <w:rsid w:val="6F8A5305"/>
    <w:rsid w:val="6F8E54D3"/>
    <w:rsid w:val="6F942131"/>
    <w:rsid w:val="6FB68D4E"/>
    <w:rsid w:val="6FBA491A"/>
    <w:rsid w:val="6FC8FA7C"/>
    <w:rsid w:val="6FC9FA58"/>
    <w:rsid w:val="6FD640DF"/>
    <w:rsid w:val="6FDC7D97"/>
    <w:rsid w:val="6FE065C7"/>
    <w:rsid w:val="6FE6D413"/>
    <w:rsid w:val="6FE7095B"/>
    <w:rsid w:val="6FE74DB6"/>
    <w:rsid w:val="6FFE1618"/>
    <w:rsid w:val="70071FCB"/>
    <w:rsid w:val="70073D0D"/>
    <w:rsid w:val="700D9C7C"/>
    <w:rsid w:val="7011D435"/>
    <w:rsid w:val="7013D082"/>
    <w:rsid w:val="701D536F"/>
    <w:rsid w:val="702F324A"/>
    <w:rsid w:val="7036A982"/>
    <w:rsid w:val="703D4D4A"/>
    <w:rsid w:val="706B8BB1"/>
    <w:rsid w:val="706E937F"/>
    <w:rsid w:val="7086E734"/>
    <w:rsid w:val="708C3495"/>
    <w:rsid w:val="7098AB5C"/>
    <w:rsid w:val="70990120"/>
    <w:rsid w:val="70A70B9C"/>
    <w:rsid w:val="70ABEA01"/>
    <w:rsid w:val="70BEF684"/>
    <w:rsid w:val="70C15238"/>
    <w:rsid w:val="70CE4E1A"/>
    <w:rsid w:val="70D01BEB"/>
    <w:rsid w:val="70E3A1A2"/>
    <w:rsid w:val="70F11B3A"/>
    <w:rsid w:val="70F2E285"/>
    <w:rsid w:val="70FA519E"/>
    <w:rsid w:val="7101A2C9"/>
    <w:rsid w:val="710A157A"/>
    <w:rsid w:val="711E092F"/>
    <w:rsid w:val="7128EE21"/>
    <w:rsid w:val="712DD10C"/>
    <w:rsid w:val="71377EBD"/>
    <w:rsid w:val="713CACA1"/>
    <w:rsid w:val="714D1009"/>
    <w:rsid w:val="71553BC8"/>
    <w:rsid w:val="7167E618"/>
    <w:rsid w:val="71700BE1"/>
    <w:rsid w:val="717238ED"/>
    <w:rsid w:val="7175D3FF"/>
    <w:rsid w:val="718B6CE8"/>
    <w:rsid w:val="719374E3"/>
    <w:rsid w:val="719D6E07"/>
    <w:rsid w:val="71A29271"/>
    <w:rsid w:val="71A4619A"/>
    <w:rsid w:val="71E1C972"/>
    <w:rsid w:val="71E49AE0"/>
    <w:rsid w:val="71F65152"/>
    <w:rsid w:val="71FE3BAC"/>
    <w:rsid w:val="71FF42D5"/>
    <w:rsid w:val="720688AD"/>
    <w:rsid w:val="720A63E0"/>
    <w:rsid w:val="721833BE"/>
    <w:rsid w:val="72229ACF"/>
    <w:rsid w:val="722811E6"/>
    <w:rsid w:val="722C6EA7"/>
    <w:rsid w:val="722FD7BF"/>
    <w:rsid w:val="723B858F"/>
    <w:rsid w:val="72502F57"/>
    <w:rsid w:val="72547F9F"/>
    <w:rsid w:val="725967D1"/>
    <w:rsid w:val="726196C0"/>
    <w:rsid w:val="72687DD3"/>
    <w:rsid w:val="726F3507"/>
    <w:rsid w:val="726FF042"/>
    <w:rsid w:val="7274E74E"/>
    <w:rsid w:val="728E5A26"/>
    <w:rsid w:val="7295083A"/>
    <w:rsid w:val="729F0F96"/>
    <w:rsid w:val="72B32341"/>
    <w:rsid w:val="72B49509"/>
    <w:rsid w:val="72B78D12"/>
    <w:rsid w:val="72DA0922"/>
    <w:rsid w:val="72EA5E83"/>
    <w:rsid w:val="72F3CD2D"/>
    <w:rsid w:val="73128FCE"/>
    <w:rsid w:val="7316CAFF"/>
    <w:rsid w:val="731F6E77"/>
    <w:rsid w:val="73291A22"/>
    <w:rsid w:val="7339D84F"/>
    <w:rsid w:val="733F078F"/>
    <w:rsid w:val="73413439"/>
    <w:rsid w:val="7348B0EF"/>
    <w:rsid w:val="734EA7B9"/>
    <w:rsid w:val="73540BFE"/>
    <w:rsid w:val="7358D03D"/>
    <w:rsid w:val="73614E65"/>
    <w:rsid w:val="7368D9D7"/>
    <w:rsid w:val="736E4A44"/>
    <w:rsid w:val="7375F304"/>
    <w:rsid w:val="7386270B"/>
    <w:rsid w:val="7391EA3F"/>
    <w:rsid w:val="739221B3"/>
    <w:rsid w:val="7396239F"/>
    <w:rsid w:val="73997D17"/>
    <w:rsid w:val="739D6B78"/>
    <w:rsid w:val="73A32C73"/>
    <w:rsid w:val="73A5AA18"/>
    <w:rsid w:val="73AB867E"/>
    <w:rsid w:val="73BE05BC"/>
    <w:rsid w:val="73CB85EF"/>
    <w:rsid w:val="73CBA820"/>
    <w:rsid w:val="73DD025F"/>
    <w:rsid w:val="73DE11E7"/>
    <w:rsid w:val="73DE5CA2"/>
    <w:rsid w:val="73E3493D"/>
    <w:rsid w:val="73E74969"/>
    <w:rsid w:val="73EB3168"/>
    <w:rsid w:val="73F07D14"/>
    <w:rsid w:val="73FA030E"/>
    <w:rsid w:val="73FD384B"/>
    <w:rsid w:val="740E2661"/>
    <w:rsid w:val="74177AD2"/>
    <w:rsid w:val="7418498E"/>
    <w:rsid w:val="7434F72C"/>
    <w:rsid w:val="74400F8F"/>
    <w:rsid w:val="745393EC"/>
    <w:rsid w:val="746B16BD"/>
    <w:rsid w:val="74730521"/>
    <w:rsid w:val="747BB9F3"/>
    <w:rsid w:val="747DF2C9"/>
    <w:rsid w:val="748B56AB"/>
    <w:rsid w:val="7493A478"/>
    <w:rsid w:val="74BB3384"/>
    <w:rsid w:val="74C29D4F"/>
    <w:rsid w:val="74C945D0"/>
    <w:rsid w:val="74C9B8B9"/>
    <w:rsid w:val="74DBB3BA"/>
    <w:rsid w:val="74DE1A68"/>
    <w:rsid w:val="74E55E7B"/>
    <w:rsid w:val="74E968BE"/>
    <w:rsid w:val="74EB8EF8"/>
    <w:rsid w:val="74FF8396"/>
    <w:rsid w:val="750B613C"/>
    <w:rsid w:val="751F113E"/>
    <w:rsid w:val="75370099"/>
    <w:rsid w:val="75371B68"/>
    <w:rsid w:val="75383C7F"/>
    <w:rsid w:val="754D36C4"/>
    <w:rsid w:val="75505A52"/>
    <w:rsid w:val="75735A5B"/>
    <w:rsid w:val="757B1099"/>
    <w:rsid w:val="757BA60F"/>
    <w:rsid w:val="757E4654"/>
    <w:rsid w:val="757F5B24"/>
    <w:rsid w:val="757FF463"/>
    <w:rsid w:val="75824067"/>
    <w:rsid w:val="759AF192"/>
    <w:rsid w:val="75A912D0"/>
    <w:rsid w:val="75AA30F0"/>
    <w:rsid w:val="75AE1059"/>
    <w:rsid w:val="75B34EC9"/>
    <w:rsid w:val="75B43F55"/>
    <w:rsid w:val="75C0E95F"/>
    <w:rsid w:val="75C817D3"/>
    <w:rsid w:val="75DD768E"/>
    <w:rsid w:val="75E2FADE"/>
    <w:rsid w:val="75E53219"/>
    <w:rsid w:val="75F2A7F5"/>
    <w:rsid w:val="75FF09A4"/>
    <w:rsid w:val="75FFFD14"/>
    <w:rsid w:val="76158D01"/>
    <w:rsid w:val="762D4E7E"/>
    <w:rsid w:val="763AC4DE"/>
    <w:rsid w:val="7657893E"/>
    <w:rsid w:val="7667AFF3"/>
    <w:rsid w:val="767B6562"/>
    <w:rsid w:val="767FEF2B"/>
    <w:rsid w:val="768206BC"/>
    <w:rsid w:val="7697FC5C"/>
    <w:rsid w:val="76A71B4B"/>
    <w:rsid w:val="76BCCF23"/>
    <w:rsid w:val="76CBBD7B"/>
    <w:rsid w:val="76EBC720"/>
    <w:rsid w:val="76EC4D6C"/>
    <w:rsid w:val="76F74795"/>
    <w:rsid w:val="7703E0A3"/>
    <w:rsid w:val="77127778"/>
    <w:rsid w:val="77154575"/>
    <w:rsid w:val="77154C9B"/>
    <w:rsid w:val="77182549"/>
    <w:rsid w:val="77200767"/>
    <w:rsid w:val="77293ABE"/>
    <w:rsid w:val="772D1F3F"/>
    <w:rsid w:val="772F9A34"/>
    <w:rsid w:val="77319B9E"/>
    <w:rsid w:val="774316E7"/>
    <w:rsid w:val="77626258"/>
    <w:rsid w:val="776E94A5"/>
    <w:rsid w:val="7777B571"/>
    <w:rsid w:val="777FB0D4"/>
    <w:rsid w:val="778312A9"/>
    <w:rsid w:val="7783E059"/>
    <w:rsid w:val="77A1F8B9"/>
    <w:rsid w:val="77A45F7B"/>
    <w:rsid w:val="77B567CB"/>
    <w:rsid w:val="77B6E593"/>
    <w:rsid w:val="77BDE4CD"/>
    <w:rsid w:val="77D88D02"/>
    <w:rsid w:val="77E124C4"/>
    <w:rsid w:val="77E20429"/>
    <w:rsid w:val="77E7E9FF"/>
    <w:rsid w:val="77F6FBE2"/>
    <w:rsid w:val="781275D2"/>
    <w:rsid w:val="7815FEC3"/>
    <w:rsid w:val="7818AE61"/>
    <w:rsid w:val="781B2137"/>
    <w:rsid w:val="781E4FD2"/>
    <w:rsid w:val="781E5C88"/>
    <w:rsid w:val="7829F402"/>
    <w:rsid w:val="782E5980"/>
    <w:rsid w:val="783BE2F4"/>
    <w:rsid w:val="783E112F"/>
    <w:rsid w:val="7841D259"/>
    <w:rsid w:val="7859A0C4"/>
    <w:rsid w:val="78645477"/>
    <w:rsid w:val="786C0C1A"/>
    <w:rsid w:val="786F2A02"/>
    <w:rsid w:val="788F33FB"/>
    <w:rsid w:val="7895BAC2"/>
    <w:rsid w:val="7896B995"/>
    <w:rsid w:val="78A295DD"/>
    <w:rsid w:val="78B69073"/>
    <w:rsid w:val="78C0B395"/>
    <w:rsid w:val="78CC2625"/>
    <w:rsid w:val="78E17AE4"/>
    <w:rsid w:val="78EBA405"/>
    <w:rsid w:val="79141AB7"/>
    <w:rsid w:val="791B8135"/>
    <w:rsid w:val="791F3159"/>
    <w:rsid w:val="79227F83"/>
    <w:rsid w:val="792BBDEB"/>
    <w:rsid w:val="792DE75F"/>
    <w:rsid w:val="792DEA03"/>
    <w:rsid w:val="792EF295"/>
    <w:rsid w:val="7938CB5D"/>
    <w:rsid w:val="793B6861"/>
    <w:rsid w:val="794B4409"/>
    <w:rsid w:val="794D63B7"/>
    <w:rsid w:val="7950C633"/>
    <w:rsid w:val="7965B32D"/>
    <w:rsid w:val="796DAA06"/>
    <w:rsid w:val="796EBD1A"/>
    <w:rsid w:val="7982692B"/>
    <w:rsid w:val="7983BA60"/>
    <w:rsid w:val="79A071C5"/>
    <w:rsid w:val="79A25069"/>
    <w:rsid w:val="79BA0719"/>
    <w:rsid w:val="79D2F1FF"/>
    <w:rsid w:val="79D3D2C6"/>
    <w:rsid w:val="79D4B255"/>
    <w:rsid w:val="79EE0330"/>
    <w:rsid w:val="79F876F1"/>
    <w:rsid w:val="79F8930C"/>
    <w:rsid w:val="79FDEEC6"/>
    <w:rsid w:val="7A07DB2F"/>
    <w:rsid w:val="7A0814F4"/>
    <w:rsid w:val="7A118815"/>
    <w:rsid w:val="7A17970C"/>
    <w:rsid w:val="7A2B3725"/>
    <w:rsid w:val="7A2D508A"/>
    <w:rsid w:val="7A37FCE2"/>
    <w:rsid w:val="7A398D2B"/>
    <w:rsid w:val="7A461A5F"/>
    <w:rsid w:val="7A59A4E0"/>
    <w:rsid w:val="7A5D3DCD"/>
    <w:rsid w:val="7A6F5B99"/>
    <w:rsid w:val="7A7258A5"/>
    <w:rsid w:val="7A72E989"/>
    <w:rsid w:val="7A735314"/>
    <w:rsid w:val="7A7A504E"/>
    <w:rsid w:val="7A81EC95"/>
    <w:rsid w:val="7A84A34F"/>
    <w:rsid w:val="7A943D96"/>
    <w:rsid w:val="7A9D4F56"/>
    <w:rsid w:val="7AB8EB17"/>
    <w:rsid w:val="7ABA280D"/>
    <w:rsid w:val="7AD090AA"/>
    <w:rsid w:val="7AD99B85"/>
    <w:rsid w:val="7ADE62AB"/>
    <w:rsid w:val="7AED624F"/>
    <w:rsid w:val="7AFADB2D"/>
    <w:rsid w:val="7AFE7970"/>
    <w:rsid w:val="7B11EE50"/>
    <w:rsid w:val="7B176907"/>
    <w:rsid w:val="7B1A79C7"/>
    <w:rsid w:val="7B2AFA61"/>
    <w:rsid w:val="7B305FEB"/>
    <w:rsid w:val="7B3261AA"/>
    <w:rsid w:val="7B4481D1"/>
    <w:rsid w:val="7B455A4A"/>
    <w:rsid w:val="7B504F23"/>
    <w:rsid w:val="7B50E955"/>
    <w:rsid w:val="7B624A47"/>
    <w:rsid w:val="7B670A3C"/>
    <w:rsid w:val="7B6CD25E"/>
    <w:rsid w:val="7B72AFE6"/>
    <w:rsid w:val="7B7F8DF8"/>
    <w:rsid w:val="7B83D3C7"/>
    <w:rsid w:val="7B88C76B"/>
    <w:rsid w:val="7B8D3249"/>
    <w:rsid w:val="7BA15E17"/>
    <w:rsid w:val="7BA9E397"/>
    <w:rsid w:val="7BC12037"/>
    <w:rsid w:val="7BC50F0D"/>
    <w:rsid w:val="7BC763FB"/>
    <w:rsid w:val="7BD1721D"/>
    <w:rsid w:val="7BE1EAC0"/>
    <w:rsid w:val="7BEE5B22"/>
    <w:rsid w:val="7BF6C1B3"/>
    <w:rsid w:val="7C1F0B94"/>
    <w:rsid w:val="7C2CA74B"/>
    <w:rsid w:val="7C3C4467"/>
    <w:rsid w:val="7C4E8276"/>
    <w:rsid w:val="7C569126"/>
    <w:rsid w:val="7C809219"/>
    <w:rsid w:val="7C88D191"/>
    <w:rsid w:val="7C948B39"/>
    <w:rsid w:val="7C9AD8B3"/>
    <w:rsid w:val="7C9E01DB"/>
    <w:rsid w:val="7CA14FB8"/>
    <w:rsid w:val="7CA23B9A"/>
    <w:rsid w:val="7CA484E8"/>
    <w:rsid w:val="7CABD465"/>
    <w:rsid w:val="7CAC7F80"/>
    <w:rsid w:val="7CBE4B49"/>
    <w:rsid w:val="7CC6D0D6"/>
    <w:rsid w:val="7CC9333A"/>
    <w:rsid w:val="7CCD070D"/>
    <w:rsid w:val="7CECB9B6"/>
    <w:rsid w:val="7CFD1D4E"/>
    <w:rsid w:val="7D01C1A8"/>
    <w:rsid w:val="7D040917"/>
    <w:rsid w:val="7D348C34"/>
    <w:rsid w:val="7D3B9AAE"/>
    <w:rsid w:val="7D453BAC"/>
    <w:rsid w:val="7D64F14C"/>
    <w:rsid w:val="7D6C5C87"/>
    <w:rsid w:val="7D6F1AFE"/>
    <w:rsid w:val="7D74B74D"/>
    <w:rsid w:val="7D766536"/>
    <w:rsid w:val="7D7E2738"/>
    <w:rsid w:val="7D82C5CA"/>
    <w:rsid w:val="7D854D17"/>
    <w:rsid w:val="7D87C7F7"/>
    <w:rsid w:val="7D8A4CDA"/>
    <w:rsid w:val="7D942FAD"/>
    <w:rsid w:val="7D9E5BB2"/>
    <w:rsid w:val="7DB4040B"/>
    <w:rsid w:val="7DB6C500"/>
    <w:rsid w:val="7DC91FF5"/>
    <w:rsid w:val="7DD4CCF2"/>
    <w:rsid w:val="7DD9805B"/>
    <w:rsid w:val="7DDBC449"/>
    <w:rsid w:val="7DE96D4A"/>
    <w:rsid w:val="7DF66AE8"/>
    <w:rsid w:val="7DFDA2FB"/>
    <w:rsid w:val="7E176F85"/>
    <w:rsid w:val="7E25AD6D"/>
    <w:rsid w:val="7E324D5C"/>
    <w:rsid w:val="7E489A8D"/>
    <w:rsid w:val="7E56BD31"/>
    <w:rsid w:val="7E642667"/>
    <w:rsid w:val="7E7A9D0D"/>
    <w:rsid w:val="7E81A392"/>
    <w:rsid w:val="7E91AC0D"/>
    <w:rsid w:val="7E9254D7"/>
    <w:rsid w:val="7E97BF34"/>
    <w:rsid w:val="7EA680AF"/>
    <w:rsid w:val="7EAFAD0E"/>
    <w:rsid w:val="7EB00248"/>
    <w:rsid w:val="7EB895B6"/>
    <w:rsid w:val="7EBB09ED"/>
    <w:rsid w:val="7EC11005"/>
    <w:rsid w:val="7EC515CA"/>
    <w:rsid w:val="7ED699C7"/>
    <w:rsid w:val="7EDAF1BC"/>
    <w:rsid w:val="7EE52617"/>
    <w:rsid w:val="7EF16D75"/>
    <w:rsid w:val="7F2D324F"/>
    <w:rsid w:val="7F511A16"/>
    <w:rsid w:val="7F555564"/>
    <w:rsid w:val="7F5A899D"/>
    <w:rsid w:val="7F636016"/>
    <w:rsid w:val="7F75F4DA"/>
    <w:rsid w:val="7F7B6496"/>
    <w:rsid w:val="7F7C5572"/>
    <w:rsid w:val="7F976F21"/>
    <w:rsid w:val="7F9C090A"/>
    <w:rsid w:val="7FA77070"/>
    <w:rsid w:val="7FAA3DA9"/>
    <w:rsid w:val="7FAAAC99"/>
    <w:rsid w:val="7FBCED98"/>
    <w:rsid w:val="7FC079B0"/>
    <w:rsid w:val="7FD2C417"/>
    <w:rsid w:val="7FD7AC98"/>
    <w:rsid w:val="7FE0ABD9"/>
    <w:rsid w:val="7FE341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8F3B87"/>
  <w15:chartTrackingRefBased/>
  <w15:docId w15:val="{E10D171F-A9E7-4AE6-AFBB-8FC1D14D1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FB0"/>
    <w:pPr>
      <w:spacing w:after="0" w:line="240" w:lineRule="auto"/>
      <w:jc w:val="both"/>
    </w:pPr>
    <w:rPr>
      <w:rFonts w:ascii="Calibri" w:eastAsia="Times New Roman" w:hAnsi="Calibri" w:cs="Times New Roman"/>
      <w:color w:val="1F1F1F" w:themeColor="background2" w:themeShade="80"/>
      <w:sz w:val="21"/>
      <w:szCs w:val="20"/>
      <w:lang w:val="en-US"/>
    </w:rPr>
  </w:style>
  <w:style w:type="paragraph" w:styleId="Heading1">
    <w:name w:val="heading 1"/>
    <w:basedOn w:val="Normal"/>
    <w:next w:val="Normal"/>
    <w:link w:val="Heading1Char"/>
    <w:autoRedefine/>
    <w:uiPriority w:val="9"/>
    <w:qFormat/>
    <w:rsid w:val="00DC3405"/>
    <w:pPr>
      <w:keepNext/>
      <w:keepLines/>
      <w:numPr>
        <w:numId w:val="6"/>
      </w:numPr>
      <w:spacing w:before="240"/>
      <w:ind w:left="426"/>
      <w:outlineLvl w:val="0"/>
    </w:pPr>
    <w:rPr>
      <w:rFonts w:asciiTheme="minorHAnsi" w:eastAsiaTheme="majorEastAsia" w:hAnsiTheme="minorHAnsi" w:cstheme="majorBidi"/>
      <w:b/>
      <w:color w:val="002244"/>
      <w:sz w:val="28"/>
      <w:szCs w:val="32"/>
      <w:lang w:val="en-GB"/>
    </w:rPr>
  </w:style>
  <w:style w:type="paragraph" w:styleId="Heading2">
    <w:name w:val="heading 2"/>
    <w:basedOn w:val="Normal"/>
    <w:next w:val="Normal"/>
    <w:link w:val="Heading2Char"/>
    <w:autoRedefine/>
    <w:uiPriority w:val="9"/>
    <w:unhideWhenUsed/>
    <w:qFormat/>
    <w:rsid w:val="005D6854"/>
    <w:pPr>
      <w:keepNext/>
      <w:keepLines/>
      <w:numPr>
        <w:ilvl w:val="1"/>
        <w:numId w:val="6"/>
      </w:numPr>
      <w:spacing w:before="40"/>
      <w:outlineLvl w:val="1"/>
    </w:pPr>
    <w:rPr>
      <w:rFonts w:asciiTheme="minorHAnsi" w:eastAsiaTheme="majorEastAsia" w:hAnsiTheme="minorHAnsi" w:cstheme="majorBidi"/>
      <w:b/>
      <w:color w:val="0075B0"/>
      <w:sz w:val="26"/>
      <w:szCs w:val="26"/>
      <w:lang w:val="en-GB"/>
    </w:rPr>
  </w:style>
  <w:style w:type="paragraph" w:styleId="Heading3">
    <w:name w:val="heading 3"/>
    <w:basedOn w:val="Normal"/>
    <w:next w:val="Normal"/>
    <w:link w:val="Heading3Char"/>
    <w:autoRedefine/>
    <w:uiPriority w:val="9"/>
    <w:unhideWhenUsed/>
    <w:qFormat/>
    <w:rsid w:val="00DC3405"/>
    <w:pPr>
      <w:keepNext/>
      <w:keepLines/>
      <w:numPr>
        <w:ilvl w:val="2"/>
        <w:numId w:val="6"/>
      </w:numPr>
      <w:spacing w:before="40"/>
      <w:ind w:left="426"/>
      <w:outlineLvl w:val="2"/>
    </w:pPr>
    <w:rPr>
      <w:rFonts w:asciiTheme="majorHAnsi" w:eastAsiaTheme="majorEastAsia" w:hAnsiTheme="majorHAnsi" w:cstheme="majorBidi"/>
      <w:b/>
      <w:bCs/>
      <w:color w:val="0075B0"/>
      <w:sz w:val="24"/>
      <w:szCs w:val="24"/>
      <w:lang w:val="en-GB"/>
    </w:rPr>
  </w:style>
  <w:style w:type="paragraph" w:styleId="Heading4">
    <w:name w:val="heading 4"/>
    <w:basedOn w:val="Normal"/>
    <w:next w:val="Normal"/>
    <w:link w:val="Heading4Char"/>
    <w:autoRedefine/>
    <w:uiPriority w:val="9"/>
    <w:unhideWhenUsed/>
    <w:qFormat/>
    <w:rsid w:val="002E0EBC"/>
    <w:pPr>
      <w:keepNext/>
      <w:keepLines/>
      <w:numPr>
        <w:ilvl w:val="3"/>
        <w:numId w:val="6"/>
      </w:numPr>
      <w:spacing w:before="40"/>
      <w:outlineLvl w:val="3"/>
    </w:pPr>
    <w:rPr>
      <w:rFonts w:asciiTheme="majorHAnsi" w:eastAsiaTheme="majorEastAsia" w:hAnsiTheme="majorHAnsi" w:cstheme="majorBidi"/>
      <w:i/>
      <w:iCs/>
      <w:color w:val="0E71B4"/>
    </w:rPr>
  </w:style>
  <w:style w:type="paragraph" w:styleId="Heading5">
    <w:name w:val="heading 5"/>
    <w:basedOn w:val="Normal"/>
    <w:next w:val="Normal"/>
    <w:link w:val="Heading5Char"/>
    <w:uiPriority w:val="9"/>
    <w:unhideWhenUsed/>
    <w:qFormat/>
    <w:rsid w:val="00AF6EDB"/>
    <w:pPr>
      <w:keepNext/>
      <w:keepLines/>
      <w:numPr>
        <w:ilvl w:val="4"/>
        <w:numId w:val="6"/>
      </w:numPr>
      <w:spacing w:before="40"/>
      <w:outlineLvl w:val="4"/>
    </w:pPr>
    <w:rPr>
      <w:rFonts w:asciiTheme="majorHAnsi" w:eastAsiaTheme="majorEastAsia" w:hAnsiTheme="majorHAnsi" w:cstheme="majorBidi"/>
      <w:color w:val="001932" w:themeColor="accent1" w:themeShade="BF"/>
    </w:rPr>
  </w:style>
  <w:style w:type="paragraph" w:styleId="Heading6">
    <w:name w:val="heading 6"/>
    <w:basedOn w:val="Normal"/>
    <w:next w:val="Normal"/>
    <w:link w:val="Heading6Char"/>
    <w:uiPriority w:val="9"/>
    <w:semiHidden/>
    <w:unhideWhenUsed/>
    <w:qFormat/>
    <w:rsid w:val="00D707AB"/>
    <w:pPr>
      <w:keepNext/>
      <w:keepLines/>
      <w:numPr>
        <w:ilvl w:val="5"/>
        <w:numId w:val="6"/>
      </w:numPr>
      <w:spacing w:before="40"/>
      <w:outlineLvl w:val="5"/>
    </w:pPr>
    <w:rPr>
      <w:rFonts w:asciiTheme="majorHAnsi" w:eastAsiaTheme="majorEastAsia" w:hAnsiTheme="majorHAnsi" w:cstheme="majorBidi"/>
      <w:color w:val="001021" w:themeColor="accent1" w:themeShade="7F"/>
    </w:rPr>
  </w:style>
  <w:style w:type="paragraph" w:styleId="Heading7">
    <w:name w:val="heading 7"/>
    <w:basedOn w:val="Normal"/>
    <w:next w:val="Normal"/>
    <w:link w:val="Heading7Char"/>
    <w:uiPriority w:val="9"/>
    <w:semiHidden/>
    <w:unhideWhenUsed/>
    <w:qFormat/>
    <w:rsid w:val="00D707AB"/>
    <w:pPr>
      <w:keepNext/>
      <w:keepLines/>
      <w:numPr>
        <w:ilvl w:val="6"/>
        <w:numId w:val="5"/>
      </w:numPr>
      <w:spacing w:before="40"/>
      <w:outlineLvl w:val="6"/>
    </w:pPr>
    <w:rPr>
      <w:rFonts w:asciiTheme="majorHAnsi" w:eastAsiaTheme="majorEastAsia" w:hAnsiTheme="majorHAnsi" w:cstheme="majorBidi"/>
      <w:i/>
      <w:iCs/>
      <w:color w:val="001021" w:themeColor="accent1" w:themeShade="7F"/>
    </w:rPr>
  </w:style>
  <w:style w:type="paragraph" w:styleId="Heading8">
    <w:name w:val="heading 8"/>
    <w:basedOn w:val="Normal"/>
    <w:next w:val="Normal"/>
    <w:link w:val="Heading8Char"/>
    <w:uiPriority w:val="9"/>
    <w:semiHidden/>
    <w:unhideWhenUsed/>
    <w:qFormat/>
    <w:rsid w:val="00D707AB"/>
    <w:pPr>
      <w:keepNext/>
      <w:keepLines/>
      <w:numPr>
        <w:ilvl w:val="7"/>
        <w:numId w:val="5"/>
      </w:numPr>
      <w:spacing w:before="40"/>
      <w:outlineLvl w:val="7"/>
    </w:pPr>
    <w:rPr>
      <w:rFonts w:asciiTheme="majorHAnsi" w:eastAsiaTheme="majorEastAsia" w:hAnsiTheme="majorHAnsi" w:cstheme="majorBidi"/>
      <w:color w:val="313131" w:themeColor="text1" w:themeTint="D8"/>
      <w:szCs w:val="21"/>
    </w:rPr>
  </w:style>
  <w:style w:type="paragraph" w:styleId="Heading9">
    <w:name w:val="heading 9"/>
    <w:basedOn w:val="Normal"/>
    <w:next w:val="Normal"/>
    <w:link w:val="Heading9Char"/>
    <w:uiPriority w:val="9"/>
    <w:semiHidden/>
    <w:unhideWhenUsed/>
    <w:qFormat/>
    <w:rsid w:val="00D707AB"/>
    <w:pPr>
      <w:keepNext/>
      <w:keepLines/>
      <w:numPr>
        <w:ilvl w:val="8"/>
        <w:numId w:val="5"/>
      </w:numPr>
      <w:spacing w:before="40"/>
      <w:outlineLvl w:val="8"/>
    </w:pPr>
    <w:rPr>
      <w:rFonts w:asciiTheme="majorHAnsi" w:eastAsiaTheme="majorEastAsia" w:hAnsiTheme="majorHAnsi" w:cstheme="majorBidi"/>
      <w:i/>
      <w:iCs/>
      <w:color w:val="313131"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640B"/>
    <w:pPr>
      <w:suppressAutoHyphens/>
      <w:autoSpaceDN w:val="0"/>
      <w:contextualSpacing/>
      <w:jc w:val="center"/>
      <w:textAlignment w:val="baseline"/>
    </w:pPr>
    <w:rPr>
      <w:b/>
      <w:color w:val="6C6F70"/>
      <w:spacing w:val="-10"/>
      <w:kern w:val="28"/>
      <w:sz w:val="52"/>
      <w:szCs w:val="56"/>
      <w:lang w:val="en-GB"/>
    </w:rPr>
  </w:style>
  <w:style w:type="character" w:customStyle="1" w:styleId="TitleChar">
    <w:name w:val="Title Char"/>
    <w:basedOn w:val="DefaultParagraphFont"/>
    <w:link w:val="Title"/>
    <w:uiPriority w:val="10"/>
    <w:rsid w:val="0093640B"/>
    <w:rPr>
      <w:rFonts w:ascii="Calibri" w:eastAsia="Times New Roman" w:hAnsi="Calibri" w:cs="Times New Roman"/>
      <w:b/>
      <w:color w:val="6C6F70"/>
      <w:spacing w:val="-10"/>
      <w:kern w:val="28"/>
      <w:sz w:val="52"/>
      <w:szCs w:val="56"/>
    </w:rPr>
  </w:style>
  <w:style w:type="table" w:styleId="TableGrid">
    <w:name w:val="Table Grid"/>
    <w:basedOn w:val="TableNormal"/>
    <w:rsid w:val="00AF6EDB"/>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rsid w:val="00AF6EDB"/>
    <w:pPr>
      <w:spacing w:after="0" w:line="240" w:lineRule="auto"/>
    </w:pPr>
    <w:rPr>
      <w:lang w:val="nl-NL"/>
    </w:rPr>
    <w:tblPr>
      <w:tblStyleRowBandSize w:val="1"/>
      <w:tblStyleColBandSize w:val="1"/>
      <w:tblBorders>
        <w:top w:val="single" w:sz="4" w:space="0" w:color="0E71B4"/>
        <w:left w:val="single" w:sz="4" w:space="0" w:color="0E71B4"/>
        <w:bottom w:val="single" w:sz="4" w:space="0" w:color="0E71B4"/>
        <w:right w:val="single" w:sz="4" w:space="0" w:color="0E71B4"/>
      </w:tblBorders>
    </w:tbl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character" w:styleId="IntenseEmphasis">
    <w:name w:val="Intense Emphasis"/>
    <w:basedOn w:val="DefaultParagraphFont"/>
    <w:uiPriority w:val="21"/>
    <w:qFormat/>
    <w:rsid w:val="00AF6EDB"/>
    <w:rPr>
      <w:i/>
      <w:iCs/>
      <w:color w:val="002F5F"/>
    </w:rPr>
  </w:style>
  <w:style w:type="paragraph" w:styleId="Subtitle">
    <w:name w:val="Subtitle"/>
    <w:basedOn w:val="Normal"/>
    <w:next w:val="Normal"/>
    <w:link w:val="SubtitleChar"/>
    <w:uiPriority w:val="11"/>
    <w:qFormat/>
    <w:rsid w:val="00AF6EDB"/>
    <w:pPr>
      <w:numPr>
        <w:ilvl w:val="1"/>
      </w:numPr>
      <w:suppressAutoHyphens/>
      <w:autoSpaceDN w:val="0"/>
      <w:spacing w:after="160" w:line="320" w:lineRule="exact"/>
      <w:jc w:val="left"/>
      <w:textAlignment w:val="baseline"/>
    </w:pPr>
    <w:rPr>
      <w:rFonts w:asciiTheme="minorHAnsi" w:eastAsiaTheme="minorEastAsia" w:hAnsiTheme="minorHAnsi" w:cstheme="minorBidi"/>
      <w:color w:val="EAAB00"/>
      <w:spacing w:val="15"/>
      <w:sz w:val="22"/>
      <w:szCs w:val="22"/>
      <w:lang w:val="en-GB"/>
    </w:rPr>
  </w:style>
  <w:style w:type="character" w:customStyle="1" w:styleId="SubtitleChar">
    <w:name w:val="Subtitle Char"/>
    <w:basedOn w:val="DefaultParagraphFont"/>
    <w:link w:val="Subtitle"/>
    <w:uiPriority w:val="11"/>
    <w:rsid w:val="00AF6EDB"/>
    <w:rPr>
      <w:rFonts w:eastAsiaTheme="minorEastAsia"/>
      <w:color w:val="EAAB00"/>
      <w:spacing w:val="15"/>
    </w:rPr>
  </w:style>
  <w:style w:type="paragraph" w:styleId="Header">
    <w:name w:val="header"/>
    <w:basedOn w:val="Normal"/>
    <w:link w:val="HeaderChar"/>
    <w:uiPriority w:val="99"/>
    <w:unhideWhenUsed/>
    <w:rsid w:val="00AF6EDB"/>
    <w:pPr>
      <w:tabs>
        <w:tab w:val="center" w:pos="4536"/>
        <w:tab w:val="right" w:pos="9072"/>
      </w:tabs>
    </w:pPr>
  </w:style>
  <w:style w:type="character" w:customStyle="1" w:styleId="HeaderChar">
    <w:name w:val="Header Char"/>
    <w:basedOn w:val="DefaultParagraphFont"/>
    <w:link w:val="Header"/>
    <w:uiPriority w:val="99"/>
    <w:rsid w:val="00AF6EDB"/>
    <w:rPr>
      <w:rFonts w:ascii="Calibri" w:eastAsia="Times New Roman" w:hAnsi="Calibri" w:cs="Times New Roman"/>
      <w:color w:val="484848" w:themeColor="text1" w:themeTint="BF"/>
      <w:sz w:val="21"/>
      <w:szCs w:val="20"/>
      <w:lang w:val="en-US"/>
    </w:rPr>
  </w:style>
  <w:style w:type="paragraph" w:styleId="Footer">
    <w:name w:val="footer"/>
    <w:basedOn w:val="Normal"/>
    <w:link w:val="FooterChar"/>
    <w:uiPriority w:val="99"/>
    <w:unhideWhenUsed/>
    <w:rsid w:val="00AF6EDB"/>
    <w:pPr>
      <w:tabs>
        <w:tab w:val="center" w:pos="4536"/>
        <w:tab w:val="right" w:pos="9072"/>
      </w:tabs>
    </w:pPr>
  </w:style>
  <w:style w:type="character" w:customStyle="1" w:styleId="FooterChar">
    <w:name w:val="Footer Char"/>
    <w:basedOn w:val="DefaultParagraphFont"/>
    <w:link w:val="Footer"/>
    <w:uiPriority w:val="99"/>
    <w:rsid w:val="00AF6EDB"/>
    <w:rPr>
      <w:rFonts w:ascii="Calibri" w:eastAsia="Times New Roman" w:hAnsi="Calibri" w:cs="Times New Roman"/>
      <w:color w:val="484848" w:themeColor="text1" w:themeTint="BF"/>
      <w:sz w:val="21"/>
      <w:szCs w:val="20"/>
      <w:lang w:val="en-US"/>
    </w:rPr>
  </w:style>
  <w:style w:type="character" w:customStyle="1" w:styleId="Heading1Char">
    <w:name w:val="Heading 1 Char"/>
    <w:basedOn w:val="DefaultParagraphFont"/>
    <w:link w:val="Heading1"/>
    <w:uiPriority w:val="9"/>
    <w:rsid w:val="00DC3405"/>
    <w:rPr>
      <w:rFonts w:eastAsiaTheme="majorEastAsia" w:cstheme="majorBidi"/>
      <w:b/>
      <w:color w:val="002244"/>
      <w:sz w:val="28"/>
      <w:szCs w:val="32"/>
    </w:rPr>
  </w:style>
  <w:style w:type="character" w:customStyle="1" w:styleId="Heading2Char">
    <w:name w:val="Heading 2 Char"/>
    <w:basedOn w:val="DefaultParagraphFont"/>
    <w:link w:val="Heading2"/>
    <w:uiPriority w:val="9"/>
    <w:rsid w:val="005D6854"/>
    <w:rPr>
      <w:rFonts w:eastAsiaTheme="majorEastAsia" w:cstheme="majorBidi"/>
      <w:b/>
      <w:color w:val="0075B0"/>
      <w:sz w:val="26"/>
      <w:szCs w:val="26"/>
    </w:rPr>
  </w:style>
  <w:style w:type="character" w:customStyle="1" w:styleId="Heading3Char">
    <w:name w:val="Heading 3 Char"/>
    <w:basedOn w:val="DefaultParagraphFont"/>
    <w:link w:val="Heading3"/>
    <w:uiPriority w:val="9"/>
    <w:rsid w:val="00DC3405"/>
    <w:rPr>
      <w:rFonts w:asciiTheme="majorHAnsi" w:eastAsiaTheme="majorEastAsia" w:hAnsiTheme="majorHAnsi" w:cstheme="majorBidi"/>
      <w:b/>
      <w:bCs/>
      <w:color w:val="0075B0"/>
      <w:sz w:val="24"/>
      <w:szCs w:val="24"/>
    </w:rPr>
  </w:style>
  <w:style w:type="character" w:customStyle="1" w:styleId="Heading4Char">
    <w:name w:val="Heading 4 Char"/>
    <w:basedOn w:val="DefaultParagraphFont"/>
    <w:link w:val="Heading4"/>
    <w:uiPriority w:val="9"/>
    <w:rsid w:val="002E0EBC"/>
    <w:rPr>
      <w:rFonts w:asciiTheme="majorHAnsi" w:eastAsiaTheme="majorEastAsia" w:hAnsiTheme="majorHAnsi" w:cstheme="majorBidi"/>
      <w:i/>
      <w:iCs/>
      <w:color w:val="0E71B4"/>
      <w:sz w:val="21"/>
      <w:szCs w:val="20"/>
      <w:lang w:val="en-US"/>
    </w:rPr>
  </w:style>
  <w:style w:type="character" w:customStyle="1" w:styleId="Heading5Char">
    <w:name w:val="Heading 5 Char"/>
    <w:basedOn w:val="DefaultParagraphFont"/>
    <w:link w:val="Heading5"/>
    <w:uiPriority w:val="9"/>
    <w:rsid w:val="00AF6EDB"/>
    <w:rPr>
      <w:rFonts w:asciiTheme="majorHAnsi" w:eastAsiaTheme="majorEastAsia" w:hAnsiTheme="majorHAnsi" w:cstheme="majorBidi"/>
      <w:color w:val="001932" w:themeColor="accent1" w:themeShade="BF"/>
      <w:sz w:val="21"/>
      <w:szCs w:val="20"/>
      <w:lang w:val="en-US"/>
    </w:rPr>
  </w:style>
  <w:style w:type="paragraph" w:styleId="TOCHeading">
    <w:name w:val="TOC Heading"/>
    <w:basedOn w:val="Heading1"/>
    <w:next w:val="Normal"/>
    <w:uiPriority w:val="39"/>
    <w:unhideWhenUsed/>
    <w:qFormat/>
    <w:rsid w:val="00AF6EDB"/>
    <w:pPr>
      <w:spacing w:line="259" w:lineRule="auto"/>
      <w:jc w:val="left"/>
      <w:outlineLvl w:val="9"/>
    </w:pPr>
    <w:rPr>
      <w:rFonts w:asciiTheme="majorHAnsi" w:hAnsiTheme="majorHAnsi"/>
      <w:b w:val="0"/>
      <w:color w:val="002244" w:themeColor="accent1"/>
      <w:sz w:val="32"/>
      <w14:textFill>
        <w14:solidFill>
          <w14:schemeClr w14:val="accent1">
            <w14:lumMod w14:val="75000"/>
            <w14:lumMod w14:val="75000"/>
            <w14:lumOff w14:val="25000"/>
          </w14:schemeClr>
        </w14:solidFill>
      </w14:textFill>
    </w:rPr>
  </w:style>
  <w:style w:type="paragraph" w:styleId="TOC1">
    <w:name w:val="toc 1"/>
    <w:basedOn w:val="Normal"/>
    <w:next w:val="Normal"/>
    <w:autoRedefine/>
    <w:uiPriority w:val="39"/>
    <w:unhideWhenUsed/>
    <w:rsid w:val="00AF6EDB"/>
    <w:pPr>
      <w:spacing w:after="100"/>
    </w:pPr>
  </w:style>
  <w:style w:type="character" w:styleId="Hyperlink">
    <w:name w:val="Hyperlink"/>
    <w:basedOn w:val="DefaultParagraphFont"/>
    <w:uiPriority w:val="99"/>
    <w:unhideWhenUsed/>
    <w:rsid w:val="00AF6EDB"/>
    <w:rPr>
      <w:color w:val="0075B0" w:themeColor="hyperlink"/>
      <w:u w:val="single"/>
    </w:rPr>
  </w:style>
  <w:style w:type="paragraph" w:styleId="ListParagraph">
    <w:name w:val="List Paragraph"/>
    <w:aliases w:val="Lista viñetas,Dot pt,No Spacing1,List Paragraph Char Char Char,Indicator Text,Numbered Para 1,Bullet 1,Bullet Points,MAIN CONTENT,List Paragraph12,F5 List Paragraph,List Paragraph11,Heat Paragraph,OBC Bullet,Colorful List - Accent 11"/>
    <w:basedOn w:val="Normal"/>
    <w:link w:val="ListParagraphChar"/>
    <w:uiPriority w:val="34"/>
    <w:qFormat/>
    <w:rsid w:val="00AF6EDB"/>
    <w:pPr>
      <w:ind w:left="720"/>
      <w:contextualSpacing/>
    </w:pPr>
  </w:style>
  <w:style w:type="character" w:styleId="FootnoteReference">
    <w:name w:val="footnote reference"/>
    <w:basedOn w:val="DefaultParagraphFont"/>
    <w:uiPriority w:val="99"/>
    <w:rsid w:val="004C14E2"/>
    <w:rPr>
      <w:i/>
      <w:sz w:val="18"/>
      <w:vertAlign w:val="superscript"/>
    </w:rPr>
  </w:style>
  <w:style w:type="paragraph" w:styleId="FootnoteText">
    <w:name w:val="footnote text"/>
    <w:basedOn w:val="Normal"/>
    <w:link w:val="FootnoteTextChar"/>
    <w:rsid w:val="004C14E2"/>
    <w:pPr>
      <w:tabs>
        <w:tab w:val="left" w:pos="284"/>
      </w:tabs>
      <w:spacing w:before="80" w:line="200" w:lineRule="exact"/>
      <w:ind w:left="284" w:right="1134" w:hanging="284"/>
    </w:pPr>
    <w:rPr>
      <w:rFonts w:ascii="Times New Roman" w:hAnsi="Times New Roman"/>
      <w:sz w:val="18"/>
      <w:lang w:val="en-GB"/>
    </w:rPr>
  </w:style>
  <w:style w:type="character" w:customStyle="1" w:styleId="FootnoteTextChar">
    <w:name w:val="Footnote Text Char"/>
    <w:basedOn w:val="DefaultParagraphFont"/>
    <w:link w:val="FootnoteText"/>
    <w:rsid w:val="004C14E2"/>
    <w:rPr>
      <w:rFonts w:ascii="Times New Roman" w:eastAsia="Times New Roman" w:hAnsi="Times New Roman" w:cs="Times New Roman"/>
      <w:color w:val="484848" w:themeColor="text1" w:themeTint="BF"/>
      <w:sz w:val="18"/>
      <w:szCs w:val="20"/>
    </w:rPr>
  </w:style>
  <w:style w:type="table" w:styleId="LightList-Accent2">
    <w:name w:val="Light List Accent 2"/>
    <w:basedOn w:val="TableNormal"/>
    <w:uiPriority w:val="61"/>
    <w:rsid w:val="0093640B"/>
    <w:pPr>
      <w:spacing w:after="0" w:line="240" w:lineRule="auto"/>
    </w:pPr>
    <w:rPr>
      <w:rFonts w:ascii="Times New Roman" w:eastAsia="Times New Roman" w:hAnsi="Times New Roman" w:cs="Times New Roman"/>
      <w:color w:val="0C0C0C" w:themeColor="text1"/>
      <w:sz w:val="20"/>
      <w:szCs w:val="20"/>
      <w:lang w:val="nl-NL" w:eastAsia="nl-NL"/>
    </w:rPr>
    <w:tblPr>
      <w:tblStyleRowBandSize w:val="1"/>
      <w:tblStyleColBandSize w:val="1"/>
    </w:tblPr>
    <w:tblStylePr w:type="firstRow">
      <w:pPr>
        <w:spacing w:before="0" w:after="0" w:line="240" w:lineRule="auto"/>
      </w:pPr>
      <w:rPr>
        <w:b/>
        <w:bCs/>
        <w:color w:val="FFFFFF" w:themeColor="background1"/>
      </w:rPr>
      <w:tblPr/>
      <w:tcPr>
        <w:shd w:val="clear" w:color="auto" w:fill="0075B0" w:themeFill="accent2"/>
      </w:tcPr>
    </w:tblStylePr>
    <w:tblStylePr w:type="lastRow">
      <w:pPr>
        <w:spacing w:before="0" w:after="0" w:line="240" w:lineRule="auto"/>
      </w:pPr>
      <w:rPr>
        <w:b/>
        <w:bCs/>
      </w:rPr>
      <w:tblPr/>
      <w:tcPr>
        <w:tcBorders>
          <w:top w:val="double" w:sz="6" w:space="0" w:color="0075B0" w:themeColor="accent2"/>
          <w:left w:val="single" w:sz="8" w:space="0" w:color="0075B0" w:themeColor="accent2"/>
          <w:bottom w:val="single" w:sz="8" w:space="0" w:color="0075B0" w:themeColor="accent2"/>
          <w:right w:val="single" w:sz="8" w:space="0" w:color="0075B0" w:themeColor="accent2"/>
        </w:tcBorders>
      </w:tcPr>
    </w:tblStylePr>
    <w:tblStylePr w:type="firstCol">
      <w:rPr>
        <w:b/>
        <w:bCs/>
      </w:rPr>
    </w:tblStylePr>
    <w:tblStylePr w:type="lastCol">
      <w:rPr>
        <w:b/>
        <w:bCs/>
      </w:rPr>
    </w:tblStylePr>
    <w:tblStylePr w:type="band1Vert">
      <w:tblPr/>
      <w:tcPr>
        <w:tcBorders>
          <w:top w:val="single" w:sz="8" w:space="0" w:color="0075B0" w:themeColor="accent2"/>
          <w:left w:val="single" w:sz="8" w:space="0" w:color="0075B0" w:themeColor="accent2"/>
          <w:bottom w:val="single" w:sz="8" w:space="0" w:color="0075B0" w:themeColor="accent2"/>
          <w:right w:val="single" w:sz="8" w:space="0" w:color="0075B0" w:themeColor="accent2"/>
        </w:tcBorders>
      </w:tcPr>
    </w:tblStylePr>
    <w:tblStylePr w:type="band1Horz">
      <w:tblPr/>
      <w:tcPr>
        <w:tcBorders>
          <w:top w:val="single" w:sz="8" w:space="0" w:color="0075B0" w:themeColor="accent2"/>
          <w:left w:val="single" w:sz="8" w:space="0" w:color="0075B0" w:themeColor="accent2"/>
          <w:bottom w:val="single" w:sz="8" w:space="0" w:color="0075B0" w:themeColor="accent2"/>
          <w:right w:val="single" w:sz="8" w:space="0" w:color="0075B0" w:themeColor="accent2"/>
        </w:tcBorders>
      </w:tcPr>
    </w:tblStylePr>
  </w:style>
  <w:style w:type="table" w:styleId="GridTable4-Accent5">
    <w:name w:val="Grid Table 4 Accent 5"/>
    <w:basedOn w:val="TableNormal"/>
    <w:uiPriority w:val="49"/>
    <w:rsid w:val="004C14E2"/>
    <w:pPr>
      <w:spacing w:after="0" w:line="240" w:lineRule="auto"/>
    </w:pPr>
    <w:tblPr>
      <w:tblStyleRowBandSize w:val="1"/>
      <w:tblStyleColBandSize w:val="1"/>
      <w:tblBorders>
        <w:top w:val="single" w:sz="4" w:space="0" w:color="60CAFF" w:themeColor="accent5" w:themeTint="99"/>
        <w:left w:val="single" w:sz="4" w:space="0" w:color="60CAFF" w:themeColor="accent5" w:themeTint="99"/>
        <w:bottom w:val="single" w:sz="4" w:space="0" w:color="60CAFF" w:themeColor="accent5" w:themeTint="99"/>
        <w:right w:val="single" w:sz="4" w:space="0" w:color="60CAFF" w:themeColor="accent5" w:themeTint="99"/>
        <w:insideH w:val="single" w:sz="4" w:space="0" w:color="60CAFF" w:themeColor="accent5" w:themeTint="99"/>
        <w:insideV w:val="single" w:sz="4" w:space="0" w:color="60CAFF" w:themeColor="accent5" w:themeTint="99"/>
      </w:tblBorders>
    </w:tblPr>
    <w:tblStylePr w:type="firstRow">
      <w:rPr>
        <w:b/>
        <w:bCs/>
        <w:color w:val="FFFFFF" w:themeColor="background1"/>
      </w:rPr>
      <w:tblPr/>
      <w:tcPr>
        <w:tcBorders>
          <w:top w:val="single" w:sz="4" w:space="0" w:color="00A4F6" w:themeColor="accent5"/>
          <w:left w:val="single" w:sz="4" w:space="0" w:color="00A4F6" w:themeColor="accent5"/>
          <w:bottom w:val="single" w:sz="4" w:space="0" w:color="00A4F6" w:themeColor="accent5"/>
          <w:right w:val="single" w:sz="4" w:space="0" w:color="00A4F6" w:themeColor="accent5"/>
          <w:insideH w:val="nil"/>
          <w:insideV w:val="nil"/>
        </w:tcBorders>
        <w:shd w:val="clear" w:color="auto" w:fill="00A4F6" w:themeFill="accent5"/>
      </w:tcPr>
    </w:tblStylePr>
    <w:tblStylePr w:type="lastRow">
      <w:rPr>
        <w:b/>
        <w:bCs/>
      </w:rPr>
      <w:tblPr/>
      <w:tcPr>
        <w:tcBorders>
          <w:top w:val="double" w:sz="4" w:space="0" w:color="00A4F6" w:themeColor="accent5"/>
        </w:tcBorders>
      </w:tcPr>
    </w:tblStylePr>
    <w:tblStylePr w:type="firstCol">
      <w:rPr>
        <w:b/>
        <w:bCs/>
      </w:rPr>
    </w:tblStylePr>
    <w:tblStylePr w:type="lastCol">
      <w:rPr>
        <w:b/>
        <w:bCs/>
      </w:rPr>
    </w:tblStylePr>
    <w:tblStylePr w:type="band1Vert">
      <w:tblPr/>
      <w:tcPr>
        <w:shd w:val="clear" w:color="auto" w:fill="CAEDFF" w:themeFill="accent5" w:themeFillTint="33"/>
      </w:tcPr>
    </w:tblStylePr>
    <w:tblStylePr w:type="band1Horz">
      <w:tblPr/>
      <w:tcPr>
        <w:shd w:val="clear" w:color="auto" w:fill="CAEDFF" w:themeFill="accent5" w:themeFillTint="33"/>
      </w:tcPr>
    </w:tblStylePr>
  </w:style>
  <w:style w:type="table" w:styleId="GridTable4-Accent1">
    <w:name w:val="Grid Table 4 Accent 1"/>
    <w:basedOn w:val="TableNormal"/>
    <w:uiPriority w:val="49"/>
    <w:rsid w:val="004C14E2"/>
    <w:pPr>
      <w:spacing w:after="0" w:line="240" w:lineRule="auto"/>
    </w:pPr>
    <w:tblPr>
      <w:tblStyleRowBandSize w:val="1"/>
      <w:tblStyleColBandSize w:val="1"/>
      <w:tblBorders>
        <w:top w:val="single" w:sz="4" w:space="0" w:color="0079F4" w:themeColor="accent1" w:themeTint="99"/>
        <w:left w:val="single" w:sz="4" w:space="0" w:color="0079F4" w:themeColor="accent1" w:themeTint="99"/>
        <w:bottom w:val="single" w:sz="4" w:space="0" w:color="0079F4" w:themeColor="accent1" w:themeTint="99"/>
        <w:right w:val="single" w:sz="4" w:space="0" w:color="0079F4" w:themeColor="accent1" w:themeTint="99"/>
        <w:insideH w:val="single" w:sz="4" w:space="0" w:color="0079F4" w:themeColor="accent1" w:themeTint="99"/>
        <w:insideV w:val="single" w:sz="4" w:space="0" w:color="0079F4" w:themeColor="accent1" w:themeTint="99"/>
      </w:tblBorders>
    </w:tblPr>
    <w:tblStylePr w:type="firstRow">
      <w:rPr>
        <w:b/>
        <w:bCs/>
        <w:color w:val="FFFFFF" w:themeColor="background1"/>
      </w:rPr>
      <w:tblPr/>
      <w:tcPr>
        <w:tcBorders>
          <w:top w:val="single" w:sz="4" w:space="0" w:color="002244" w:themeColor="accent1"/>
          <w:left w:val="single" w:sz="4" w:space="0" w:color="002244" w:themeColor="accent1"/>
          <w:bottom w:val="single" w:sz="4" w:space="0" w:color="002244" w:themeColor="accent1"/>
          <w:right w:val="single" w:sz="4" w:space="0" w:color="002244" w:themeColor="accent1"/>
          <w:insideH w:val="nil"/>
          <w:insideV w:val="nil"/>
        </w:tcBorders>
        <w:shd w:val="clear" w:color="auto" w:fill="002244" w:themeFill="accent1"/>
      </w:tcPr>
    </w:tblStylePr>
    <w:tblStylePr w:type="lastRow">
      <w:rPr>
        <w:b/>
        <w:bCs/>
      </w:rPr>
      <w:tblPr/>
      <w:tcPr>
        <w:tcBorders>
          <w:top w:val="double" w:sz="4" w:space="0" w:color="002244" w:themeColor="accent1"/>
        </w:tcBorders>
      </w:tcPr>
    </w:tblStylePr>
    <w:tblStylePr w:type="firstCol">
      <w:rPr>
        <w:b/>
        <w:bCs/>
      </w:rPr>
    </w:tblStylePr>
    <w:tblStylePr w:type="lastCol">
      <w:rPr>
        <w:b/>
        <w:bCs/>
      </w:rPr>
    </w:tblStylePr>
    <w:tblStylePr w:type="band1Vert">
      <w:tblPr/>
      <w:tcPr>
        <w:shd w:val="clear" w:color="auto" w:fill="A6D2FF" w:themeFill="accent1" w:themeFillTint="33"/>
      </w:tcPr>
    </w:tblStylePr>
    <w:tblStylePr w:type="band1Horz">
      <w:tblPr/>
      <w:tcPr>
        <w:shd w:val="clear" w:color="auto" w:fill="A6D2FF" w:themeFill="accent1" w:themeFillTint="33"/>
      </w:tcPr>
    </w:tblStylePr>
  </w:style>
  <w:style w:type="character" w:customStyle="1" w:styleId="Heading6Char">
    <w:name w:val="Heading 6 Char"/>
    <w:basedOn w:val="DefaultParagraphFont"/>
    <w:link w:val="Heading6"/>
    <w:uiPriority w:val="9"/>
    <w:semiHidden/>
    <w:rsid w:val="00D707AB"/>
    <w:rPr>
      <w:rFonts w:asciiTheme="majorHAnsi" w:eastAsiaTheme="majorEastAsia" w:hAnsiTheme="majorHAnsi" w:cstheme="majorBidi"/>
      <w:color w:val="001021" w:themeColor="accent1" w:themeShade="7F"/>
      <w:sz w:val="21"/>
      <w:szCs w:val="20"/>
      <w:lang w:val="en-US"/>
    </w:rPr>
  </w:style>
  <w:style w:type="character" w:customStyle="1" w:styleId="Heading7Char">
    <w:name w:val="Heading 7 Char"/>
    <w:basedOn w:val="DefaultParagraphFont"/>
    <w:link w:val="Heading7"/>
    <w:uiPriority w:val="9"/>
    <w:semiHidden/>
    <w:rsid w:val="00D707AB"/>
    <w:rPr>
      <w:rFonts w:asciiTheme="majorHAnsi" w:eastAsiaTheme="majorEastAsia" w:hAnsiTheme="majorHAnsi" w:cstheme="majorBidi"/>
      <w:i/>
      <w:iCs/>
      <w:color w:val="001021" w:themeColor="accent1" w:themeShade="7F"/>
      <w:sz w:val="21"/>
      <w:szCs w:val="20"/>
      <w:lang w:val="en-US"/>
    </w:rPr>
  </w:style>
  <w:style w:type="character" w:customStyle="1" w:styleId="Heading8Char">
    <w:name w:val="Heading 8 Char"/>
    <w:basedOn w:val="DefaultParagraphFont"/>
    <w:link w:val="Heading8"/>
    <w:uiPriority w:val="9"/>
    <w:semiHidden/>
    <w:rsid w:val="00D707AB"/>
    <w:rPr>
      <w:rFonts w:asciiTheme="majorHAnsi" w:eastAsiaTheme="majorEastAsia" w:hAnsiTheme="majorHAnsi" w:cstheme="majorBidi"/>
      <w:color w:val="313131" w:themeColor="text1" w:themeTint="D8"/>
      <w:sz w:val="21"/>
      <w:szCs w:val="21"/>
      <w:lang w:val="en-US"/>
    </w:rPr>
  </w:style>
  <w:style w:type="character" w:customStyle="1" w:styleId="Heading9Char">
    <w:name w:val="Heading 9 Char"/>
    <w:basedOn w:val="DefaultParagraphFont"/>
    <w:link w:val="Heading9"/>
    <w:uiPriority w:val="9"/>
    <w:semiHidden/>
    <w:rsid w:val="00D707AB"/>
    <w:rPr>
      <w:rFonts w:asciiTheme="majorHAnsi" w:eastAsiaTheme="majorEastAsia" w:hAnsiTheme="majorHAnsi" w:cstheme="majorBidi"/>
      <w:i/>
      <w:iCs/>
      <w:color w:val="313131" w:themeColor="text1" w:themeTint="D8"/>
      <w:sz w:val="21"/>
      <w:szCs w:val="21"/>
      <w:lang w:val="en-US"/>
    </w:rPr>
  </w:style>
  <w:style w:type="paragraph" w:styleId="TOC2">
    <w:name w:val="toc 2"/>
    <w:basedOn w:val="Normal"/>
    <w:next w:val="Normal"/>
    <w:autoRedefine/>
    <w:uiPriority w:val="39"/>
    <w:unhideWhenUsed/>
    <w:rsid w:val="00D707AB"/>
    <w:pPr>
      <w:spacing w:after="100"/>
      <w:ind w:left="210"/>
    </w:pPr>
  </w:style>
  <w:style w:type="paragraph" w:styleId="TOC3">
    <w:name w:val="toc 3"/>
    <w:basedOn w:val="Normal"/>
    <w:next w:val="Normal"/>
    <w:autoRedefine/>
    <w:uiPriority w:val="39"/>
    <w:unhideWhenUsed/>
    <w:rsid w:val="00032649"/>
    <w:pPr>
      <w:spacing w:after="100"/>
      <w:ind w:left="420"/>
    </w:pPr>
  </w:style>
  <w:style w:type="paragraph" w:styleId="TableofFigures">
    <w:name w:val="table of figures"/>
    <w:basedOn w:val="Normal"/>
    <w:next w:val="Normal"/>
    <w:uiPriority w:val="99"/>
    <w:unhideWhenUsed/>
    <w:rsid w:val="00032649"/>
  </w:style>
  <w:style w:type="table" w:styleId="ListTable3-Accent1">
    <w:name w:val="List Table 3 Accent 1"/>
    <w:basedOn w:val="TableNormal"/>
    <w:uiPriority w:val="48"/>
    <w:rsid w:val="00796C7C"/>
    <w:pPr>
      <w:spacing w:after="0" w:line="240" w:lineRule="auto"/>
    </w:pPr>
    <w:tblPr>
      <w:tblStyleRowBandSize w:val="1"/>
      <w:tblStyleColBandSize w:val="1"/>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paragraph" w:styleId="Caption">
    <w:name w:val="caption"/>
    <w:aliases w:val="cap,TF,Fig &amp; Table Title,Label,label,Beschriftung Char1,Beschriftung Char Char1,Beschriftung Ch...,Beschriftung Char2 Char Char1,Beschriftung Char1 Char Char Char,Beschriftung Char Char Char Char Char,Epígrafe,Figure/table"/>
    <w:basedOn w:val="Normal"/>
    <w:next w:val="Normal"/>
    <w:link w:val="CaptionChar"/>
    <w:qFormat/>
    <w:rsid w:val="00017D36"/>
    <w:pPr>
      <w:tabs>
        <w:tab w:val="left" w:pos="851"/>
      </w:tabs>
      <w:spacing w:before="120" w:after="120"/>
    </w:pPr>
    <w:rPr>
      <w:b/>
      <w:color w:val="4C565C"/>
      <w:sz w:val="18"/>
      <w:szCs w:val="22"/>
      <w:lang w:val="en-GB"/>
    </w:rPr>
  </w:style>
  <w:style w:type="character" w:customStyle="1" w:styleId="CaptionChar">
    <w:name w:val="Caption Char"/>
    <w:aliases w:val="cap Char,TF Char,Fig &amp; Table Title Char,Label Char,label Char,Beschriftung Char1 Char,Beschriftung Char Char1 Char,Beschriftung Ch... Char,Beschriftung Char2 Char Char1 Char,Beschriftung Char1 Char Char Char Char,Epígrafe Char"/>
    <w:basedOn w:val="DefaultParagraphFont"/>
    <w:link w:val="Caption"/>
    <w:rsid w:val="00017D36"/>
    <w:rPr>
      <w:rFonts w:ascii="Calibri" w:eastAsia="Times New Roman" w:hAnsi="Calibri" w:cs="Times New Roman"/>
      <w:b/>
      <w:color w:val="4C565C"/>
      <w:sz w:val="18"/>
    </w:rPr>
  </w:style>
  <w:style w:type="character" w:customStyle="1" w:styleId="ListParagraphChar">
    <w:name w:val="List Paragraph Char"/>
    <w:aliases w:val="Lista viñetas Char,Dot pt Char,No Spacing1 Char,List Paragraph Char Char Char Char,Indicator Text Char,Numbered Para 1 Char,Bullet 1 Char,Bullet Points Char,MAIN CONTENT Char,List Paragraph12 Char,F5 List Paragraph Char"/>
    <w:link w:val="ListParagraph"/>
    <w:uiPriority w:val="34"/>
    <w:qFormat/>
    <w:rsid w:val="00017D36"/>
    <w:rPr>
      <w:rFonts w:ascii="Calibri" w:eastAsia="Times New Roman" w:hAnsi="Calibri" w:cs="Times New Roman"/>
      <w:color w:val="484848" w:themeColor="text1" w:themeTint="BF"/>
      <w:sz w:val="21"/>
      <w:szCs w:val="20"/>
      <w:lang w:val="en-US"/>
    </w:rPr>
  </w:style>
  <w:style w:type="table" w:customStyle="1" w:styleId="tabel1">
    <w:name w:val="tabel1"/>
    <w:basedOn w:val="TableNormal"/>
    <w:uiPriority w:val="99"/>
    <w:rsid w:val="00017D36"/>
    <w:pPr>
      <w:keepNext/>
      <w:spacing w:after="0" w:line="240" w:lineRule="auto"/>
    </w:pPr>
    <w:rPr>
      <w:rFonts w:ascii="Times New Roman" w:eastAsia="Times New Roman" w:hAnsi="Times New Roman" w:cs="Times New Roman"/>
      <w:sz w:val="20"/>
      <w:szCs w:val="20"/>
      <w:lang w:val="nl-NL" w:eastAsia="nl-NL"/>
    </w:rPr>
    <w:tblPr>
      <w:tblBorders>
        <w:top w:val="single" w:sz="4" w:space="0" w:color="006487"/>
        <w:left w:val="single" w:sz="4" w:space="0" w:color="006487"/>
        <w:bottom w:val="single" w:sz="4" w:space="0" w:color="006487"/>
        <w:right w:val="single" w:sz="4" w:space="0" w:color="006487"/>
        <w:insideH w:val="single" w:sz="4" w:space="0" w:color="006487"/>
        <w:insideV w:val="single" w:sz="4" w:space="0" w:color="006487"/>
      </w:tblBorders>
    </w:tblPr>
    <w:tcPr>
      <w:shd w:val="clear" w:color="auto" w:fill="E5EFF3"/>
    </w:tcPr>
    <w:tblStylePr w:type="firstRow">
      <w:rPr>
        <w:rFonts w:ascii="Arial" w:hAnsi="Arial"/>
        <w:b/>
        <w:color w:val="FFFFFF"/>
        <w:sz w:val="16"/>
        <w:u w:val="none"/>
      </w:rPr>
      <w:tblPr/>
      <w:tcPr>
        <w:shd w:val="clear" w:color="auto" w:fill="006487"/>
      </w:tcPr>
    </w:tblStylePr>
  </w:style>
  <w:style w:type="table" w:customStyle="1" w:styleId="LightList-Accent121">
    <w:name w:val="Light List - Accent 121"/>
    <w:basedOn w:val="TableNormal"/>
    <w:next w:val="LightList-Accent1"/>
    <w:uiPriority w:val="61"/>
    <w:rsid w:val="00DA1114"/>
    <w:pPr>
      <w:spacing w:after="0" w:line="240" w:lineRule="auto"/>
    </w:pPr>
    <w:rPr>
      <w:lang w:val="es-ES"/>
    </w:rPr>
    <w:tblPr>
      <w:tblStyleRowBandSize w:val="1"/>
      <w:tblStyleColBandSize w:val="1"/>
      <w:tblBorders>
        <w:top w:val="single" w:sz="8" w:space="0" w:color="002244" w:themeColor="accent1"/>
        <w:left w:val="single" w:sz="8" w:space="0" w:color="002244" w:themeColor="accent1"/>
        <w:bottom w:val="single" w:sz="8" w:space="0" w:color="002244" w:themeColor="accent1"/>
        <w:right w:val="single" w:sz="8" w:space="0" w:color="002244" w:themeColor="accent1"/>
      </w:tblBorders>
    </w:tblPr>
    <w:tblStylePr w:type="firstRow">
      <w:pPr>
        <w:spacing w:before="0" w:after="0" w:line="240" w:lineRule="auto"/>
      </w:pPr>
      <w:rPr>
        <w:b/>
        <w:bCs/>
        <w:color w:val="FFFFFF" w:themeColor="background1"/>
      </w:rPr>
      <w:tblPr/>
      <w:tcPr>
        <w:shd w:val="clear" w:color="auto" w:fill="002244" w:themeFill="accent1"/>
      </w:tcPr>
    </w:tblStylePr>
    <w:tblStylePr w:type="lastRow">
      <w:pPr>
        <w:spacing w:before="0" w:after="0" w:line="240" w:lineRule="auto"/>
      </w:pPr>
      <w:rPr>
        <w:b/>
        <w:bCs/>
      </w:rPr>
      <w:tblPr/>
      <w:tcPr>
        <w:tcBorders>
          <w:top w:val="double" w:sz="6" w:space="0" w:color="002244" w:themeColor="accent1"/>
          <w:left w:val="single" w:sz="8" w:space="0" w:color="002244" w:themeColor="accent1"/>
          <w:bottom w:val="single" w:sz="8" w:space="0" w:color="002244" w:themeColor="accent1"/>
          <w:right w:val="single" w:sz="8" w:space="0" w:color="002244" w:themeColor="accent1"/>
        </w:tcBorders>
      </w:tcPr>
    </w:tblStylePr>
    <w:tblStylePr w:type="firstCol">
      <w:rPr>
        <w:b/>
        <w:bCs/>
      </w:rPr>
    </w:tblStylePr>
    <w:tblStylePr w:type="lastCol">
      <w:rPr>
        <w:b/>
        <w:bCs/>
      </w:rPr>
    </w:tblStylePr>
    <w:tblStylePr w:type="band1Vert">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tblStylePr w:type="band1Horz">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style>
  <w:style w:type="table" w:styleId="LightList-Accent1">
    <w:name w:val="Light List Accent 1"/>
    <w:basedOn w:val="TableNormal"/>
    <w:uiPriority w:val="61"/>
    <w:semiHidden/>
    <w:unhideWhenUsed/>
    <w:rsid w:val="00DA1114"/>
    <w:pPr>
      <w:spacing w:after="0" w:line="240" w:lineRule="auto"/>
    </w:pPr>
    <w:tblPr>
      <w:tblStyleRowBandSize w:val="1"/>
      <w:tblStyleColBandSize w:val="1"/>
      <w:tblBorders>
        <w:top w:val="single" w:sz="8" w:space="0" w:color="002244" w:themeColor="accent1"/>
        <w:left w:val="single" w:sz="8" w:space="0" w:color="002244" w:themeColor="accent1"/>
        <w:bottom w:val="single" w:sz="8" w:space="0" w:color="002244" w:themeColor="accent1"/>
        <w:right w:val="single" w:sz="8" w:space="0" w:color="002244" w:themeColor="accent1"/>
      </w:tblBorders>
    </w:tblPr>
    <w:tblStylePr w:type="firstRow">
      <w:pPr>
        <w:spacing w:before="0" w:after="0" w:line="240" w:lineRule="auto"/>
      </w:pPr>
      <w:rPr>
        <w:b/>
        <w:bCs/>
        <w:color w:val="FFFFFF" w:themeColor="background1"/>
      </w:rPr>
      <w:tblPr/>
      <w:tcPr>
        <w:shd w:val="clear" w:color="auto" w:fill="002244" w:themeFill="accent1"/>
      </w:tcPr>
    </w:tblStylePr>
    <w:tblStylePr w:type="lastRow">
      <w:pPr>
        <w:spacing w:before="0" w:after="0" w:line="240" w:lineRule="auto"/>
      </w:pPr>
      <w:rPr>
        <w:b/>
        <w:bCs/>
      </w:rPr>
      <w:tblPr/>
      <w:tcPr>
        <w:tcBorders>
          <w:top w:val="double" w:sz="6" w:space="0" w:color="002244" w:themeColor="accent1"/>
          <w:left w:val="single" w:sz="8" w:space="0" w:color="002244" w:themeColor="accent1"/>
          <w:bottom w:val="single" w:sz="8" w:space="0" w:color="002244" w:themeColor="accent1"/>
          <w:right w:val="single" w:sz="8" w:space="0" w:color="002244" w:themeColor="accent1"/>
        </w:tcBorders>
      </w:tcPr>
    </w:tblStylePr>
    <w:tblStylePr w:type="firstCol">
      <w:rPr>
        <w:b/>
        <w:bCs/>
      </w:rPr>
    </w:tblStylePr>
    <w:tblStylePr w:type="lastCol">
      <w:rPr>
        <w:b/>
        <w:bCs/>
      </w:rPr>
    </w:tblStylePr>
    <w:tblStylePr w:type="band1Vert">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tblStylePr w:type="band1Horz">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style>
  <w:style w:type="character" w:styleId="FollowedHyperlink">
    <w:name w:val="FollowedHyperlink"/>
    <w:basedOn w:val="DefaultParagraphFont"/>
    <w:uiPriority w:val="99"/>
    <w:semiHidden/>
    <w:unhideWhenUsed/>
    <w:rsid w:val="002B02F7"/>
    <w:rPr>
      <w:color w:val="0070C0" w:themeColor="followedHyperlink"/>
      <w:u w:val="single"/>
    </w:rPr>
  </w:style>
  <w:style w:type="paragraph" w:styleId="BalloonText">
    <w:name w:val="Balloon Text"/>
    <w:basedOn w:val="Normal"/>
    <w:link w:val="BalloonTextChar"/>
    <w:uiPriority w:val="99"/>
    <w:semiHidden/>
    <w:unhideWhenUsed/>
    <w:rsid w:val="00FA19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19A8"/>
    <w:rPr>
      <w:rFonts w:ascii="Segoe UI" w:eastAsia="Times New Roman" w:hAnsi="Segoe UI" w:cs="Segoe UI"/>
      <w:color w:val="484848" w:themeColor="text1" w:themeTint="BF"/>
      <w:sz w:val="18"/>
      <w:szCs w:val="18"/>
      <w:lang w:val="en-US"/>
    </w:rPr>
  </w:style>
  <w:style w:type="character" w:styleId="CommentReference">
    <w:name w:val="annotation reference"/>
    <w:basedOn w:val="DefaultParagraphFont"/>
    <w:uiPriority w:val="99"/>
    <w:semiHidden/>
    <w:unhideWhenUsed/>
    <w:rsid w:val="000A72A2"/>
    <w:rPr>
      <w:sz w:val="16"/>
      <w:szCs w:val="16"/>
    </w:rPr>
  </w:style>
  <w:style w:type="paragraph" w:styleId="CommentText">
    <w:name w:val="annotation text"/>
    <w:basedOn w:val="Normal"/>
    <w:link w:val="CommentTextChar"/>
    <w:uiPriority w:val="99"/>
    <w:unhideWhenUsed/>
    <w:rsid w:val="000A72A2"/>
    <w:rPr>
      <w:sz w:val="20"/>
    </w:rPr>
  </w:style>
  <w:style w:type="character" w:customStyle="1" w:styleId="CommentTextChar">
    <w:name w:val="Comment Text Char"/>
    <w:basedOn w:val="DefaultParagraphFont"/>
    <w:link w:val="CommentText"/>
    <w:uiPriority w:val="99"/>
    <w:rsid w:val="000A72A2"/>
    <w:rPr>
      <w:rFonts w:ascii="Calibri" w:eastAsia="Times New Roman" w:hAnsi="Calibri" w:cs="Times New Roman"/>
      <w:color w:val="484848" w:themeColor="text1" w:themeTint="BF"/>
      <w:sz w:val="20"/>
      <w:szCs w:val="20"/>
      <w:lang w:val="en-US"/>
    </w:rPr>
  </w:style>
  <w:style w:type="paragraph" w:styleId="CommentSubject">
    <w:name w:val="annotation subject"/>
    <w:basedOn w:val="CommentText"/>
    <w:next w:val="CommentText"/>
    <w:link w:val="CommentSubjectChar"/>
    <w:uiPriority w:val="99"/>
    <w:semiHidden/>
    <w:unhideWhenUsed/>
    <w:rsid w:val="000A72A2"/>
    <w:rPr>
      <w:b/>
      <w:bCs/>
    </w:rPr>
  </w:style>
  <w:style w:type="character" w:customStyle="1" w:styleId="CommentSubjectChar">
    <w:name w:val="Comment Subject Char"/>
    <w:basedOn w:val="CommentTextChar"/>
    <w:link w:val="CommentSubject"/>
    <w:uiPriority w:val="99"/>
    <w:semiHidden/>
    <w:rsid w:val="000A72A2"/>
    <w:rPr>
      <w:rFonts w:ascii="Calibri" w:eastAsia="Times New Roman" w:hAnsi="Calibri" w:cs="Times New Roman"/>
      <w:b/>
      <w:bCs/>
      <w:color w:val="484848" w:themeColor="text1" w:themeTint="BF"/>
      <w:sz w:val="20"/>
      <w:szCs w:val="20"/>
      <w:lang w:val="en-US"/>
    </w:rPr>
  </w:style>
  <w:style w:type="paragraph" w:styleId="Revision">
    <w:name w:val="Revision"/>
    <w:hidden/>
    <w:uiPriority w:val="99"/>
    <w:semiHidden/>
    <w:rsid w:val="00140821"/>
    <w:pPr>
      <w:spacing w:after="0" w:line="240" w:lineRule="auto"/>
    </w:pPr>
    <w:rPr>
      <w:rFonts w:ascii="Calibri" w:eastAsia="Times New Roman" w:hAnsi="Calibri" w:cs="Times New Roman"/>
      <w:color w:val="484848" w:themeColor="text1" w:themeTint="BF"/>
      <w:sz w:val="21"/>
      <w:szCs w:val="20"/>
      <w:lang w:val="en-US"/>
    </w:rPr>
  </w:style>
  <w:style w:type="paragraph" w:styleId="NoSpacing">
    <w:name w:val="No Spacing"/>
    <w:uiPriority w:val="1"/>
    <w:qFormat/>
    <w:rsid w:val="005E0093"/>
    <w:pPr>
      <w:spacing w:after="0" w:line="240" w:lineRule="auto"/>
      <w:jc w:val="both"/>
    </w:pPr>
    <w:rPr>
      <w:rFonts w:ascii="Calibri" w:eastAsia="Times New Roman" w:hAnsi="Calibri" w:cs="Times New Roman"/>
      <w:color w:val="1F1F1F" w:themeColor="background2" w:themeShade="80"/>
      <w:sz w:val="21"/>
      <w:szCs w:val="20"/>
      <w:lang w:val="en-US"/>
    </w:rPr>
  </w:style>
  <w:style w:type="table" w:customStyle="1" w:styleId="ListTable3-Accent111">
    <w:name w:val="List Table 3 - Accent 111"/>
    <w:basedOn w:val="TableNormal"/>
    <w:uiPriority w:val="48"/>
    <w:rsid w:val="00710F7F"/>
    <w:pPr>
      <w:spacing w:after="0" w:line="240" w:lineRule="auto"/>
    </w:pPr>
    <w:rPr>
      <w:lang w:val="nl-NL"/>
    </w:rPr>
    <w:tblPr>
      <w:tblStyleRowBandSize w:val="1"/>
      <w:tblStyleColBandSize w:val="1"/>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Pr>
    <w:tcPr>
      <w:shd w:val="clear" w:color="auto" w:fill="auto"/>
    </w:tc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table" w:styleId="GridTable1Light">
    <w:name w:val="Grid Table 1 Light"/>
    <w:basedOn w:val="TableNormal"/>
    <w:uiPriority w:val="46"/>
    <w:rsid w:val="002B3D1A"/>
    <w:pPr>
      <w:spacing w:after="0" w:line="240" w:lineRule="auto"/>
    </w:pPr>
    <w:tblPr>
      <w:tblStyleRowBandSize w:val="1"/>
      <w:tblStyleColBandSize w:val="1"/>
      <w:tblBorders>
        <w:top w:val="single" w:sz="4" w:space="0" w:color="9D9D9D" w:themeColor="text1" w:themeTint="66"/>
        <w:left w:val="single" w:sz="4" w:space="0" w:color="9D9D9D" w:themeColor="text1" w:themeTint="66"/>
        <w:bottom w:val="single" w:sz="4" w:space="0" w:color="9D9D9D" w:themeColor="text1" w:themeTint="66"/>
        <w:right w:val="single" w:sz="4" w:space="0" w:color="9D9D9D" w:themeColor="text1" w:themeTint="66"/>
        <w:insideH w:val="single" w:sz="4" w:space="0" w:color="9D9D9D" w:themeColor="text1" w:themeTint="66"/>
        <w:insideV w:val="single" w:sz="4" w:space="0" w:color="9D9D9D" w:themeColor="text1" w:themeTint="66"/>
      </w:tblBorders>
    </w:tblPr>
    <w:tblStylePr w:type="firstRow">
      <w:rPr>
        <w:b/>
        <w:bCs/>
      </w:rPr>
      <w:tblPr/>
      <w:tcPr>
        <w:tcBorders>
          <w:bottom w:val="single" w:sz="12" w:space="0" w:color="6D6D6D" w:themeColor="text1" w:themeTint="99"/>
        </w:tcBorders>
      </w:tcPr>
    </w:tblStylePr>
    <w:tblStylePr w:type="lastRow">
      <w:rPr>
        <w:b/>
        <w:bCs/>
      </w:rPr>
      <w:tblPr/>
      <w:tcPr>
        <w:tcBorders>
          <w:top w:val="double" w:sz="2" w:space="0" w:color="6D6D6D" w:themeColor="text1" w:themeTint="99"/>
        </w:tcBorders>
      </w:tcPr>
    </w:tblStylePr>
    <w:tblStylePr w:type="firstCol">
      <w:rPr>
        <w:b/>
        <w:bCs/>
      </w:rPr>
    </w:tblStylePr>
    <w:tblStylePr w:type="lastCol">
      <w:rPr>
        <w:b/>
        <w:bCs/>
      </w:rPr>
    </w:tblStylePr>
  </w:style>
  <w:style w:type="paragraph" w:customStyle="1" w:styleId="Informal1">
    <w:name w:val="Informal1"/>
    <w:basedOn w:val="Normal"/>
    <w:rsid w:val="0062045F"/>
    <w:pPr>
      <w:spacing w:before="60" w:after="60"/>
      <w:jc w:val="left"/>
    </w:pPr>
    <w:rPr>
      <w:rFonts w:asciiTheme="minorHAnsi" w:hAnsiTheme="minorHAnsi"/>
      <w:color w:val="auto"/>
      <w:sz w:val="24"/>
      <w:lang w:val="en-GB"/>
    </w:rPr>
  </w:style>
  <w:style w:type="paragraph" w:styleId="NormalWeb">
    <w:name w:val="Normal (Web)"/>
    <w:basedOn w:val="Normal"/>
    <w:uiPriority w:val="99"/>
    <w:semiHidden/>
    <w:unhideWhenUsed/>
    <w:rsid w:val="00B70F9E"/>
    <w:pPr>
      <w:spacing w:before="100" w:beforeAutospacing="1" w:after="100" w:afterAutospacing="1"/>
      <w:jc w:val="left"/>
    </w:pPr>
    <w:rPr>
      <w:rFonts w:ascii="Times New Roman" w:hAnsi="Times New Roman"/>
      <w:color w:val="auto"/>
      <w:sz w:val="24"/>
      <w:szCs w:val="24"/>
    </w:rPr>
  </w:style>
  <w:style w:type="character" w:customStyle="1" w:styleId="UnresolvedMention1">
    <w:name w:val="Unresolved Mention1"/>
    <w:basedOn w:val="DefaultParagraphFont"/>
    <w:uiPriority w:val="99"/>
    <w:semiHidden/>
    <w:unhideWhenUsed/>
    <w:rsid w:val="000E35B6"/>
    <w:rPr>
      <w:color w:val="605E5C"/>
      <w:shd w:val="clear" w:color="auto" w:fill="E1DFDD"/>
    </w:rPr>
  </w:style>
  <w:style w:type="character" w:customStyle="1" w:styleId="normaltextrun">
    <w:name w:val="normaltextrun"/>
    <w:basedOn w:val="DefaultParagraphFont"/>
    <w:rsid w:val="006569ED"/>
  </w:style>
  <w:style w:type="character" w:customStyle="1" w:styleId="eop">
    <w:name w:val="eop"/>
    <w:basedOn w:val="DefaultParagraphFont"/>
    <w:rsid w:val="00A11736"/>
  </w:style>
  <w:style w:type="paragraph" w:customStyle="1" w:styleId="paragraph">
    <w:name w:val="paragraph"/>
    <w:basedOn w:val="Normal"/>
    <w:rsid w:val="00340A14"/>
    <w:pPr>
      <w:spacing w:before="100" w:beforeAutospacing="1" w:after="100" w:afterAutospacing="1"/>
      <w:jc w:val="left"/>
    </w:pPr>
    <w:rPr>
      <w:rFonts w:ascii="Times New Roman" w:hAnsi="Times New Roman"/>
      <w:color w:val="auto"/>
      <w:sz w:val="24"/>
      <w:szCs w:val="24"/>
    </w:rPr>
  </w:style>
  <w:style w:type="paragraph" w:styleId="EndnoteText">
    <w:name w:val="endnote text"/>
    <w:basedOn w:val="Normal"/>
    <w:link w:val="EndnoteTextChar"/>
    <w:uiPriority w:val="99"/>
    <w:semiHidden/>
    <w:unhideWhenUsed/>
    <w:rsid w:val="00663E00"/>
    <w:rPr>
      <w:sz w:val="20"/>
    </w:rPr>
  </w:style>
  <w:style w:type="character" w:customStyle="1" w:styleId="EndnoteTextChar">
    <w:name w:val="Endnote Text Char"/>
    <w:basedOn w:val="DefaultParagraphFont"/>
    <w:link w:val="EndnoteText"/>
    <w:uiPriority w:val="99"/>
    <w:semiHidden/>
    <w:rsid w:val="00663E00"/>
    <w:rPr>
      <w:rFonts w:ascii="Calibri" w:eastAsia="Times New Roman" w:hAnsi="Calibri" w:cs="Times New Roman"/>
      <w:color w:val="1F1F1F" w:themeColor="background2" w:themeShade="80"/>
      <w:sz w:val="20"/>
      <w:szCs w:val="20"/>
      <w:lang w:val="en-US"/>
    </w:rPr>
  </w:style>
  <w:style w:type="character" w:styleId="EndnoteReference">
    <w:name w:val="endnote reference"/>
    <w:basedOn w:val="DefaultParagraphFont"/>
    <w:uiPriority w:val="99"/>
    <w:semiHidden/>
    <w:unhideWhenUsed/>
    <w:rsid w:val="00663E0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742443">
      <w:bodyDiv w:val="1"/>
      <w:marLeft w:val="0"/>
      <w:marRight w:val="0"/>
      <w:marTop w:val="0"/>
      <w:marBottom w:val="0"/>
      <w:divBdr>
        <w:top w:val="none" w:sz="0" w:space="0" w:color="auto"/>
        <w:left w:val="none" w:sz="0" w:space="0" w:color="auto"/>
        <w:bottom w:val="none" w:sz="0" w:space="0" w:color="auto"/>
        <w:right w:val="none" w:sz="0" w:space="0" w:color="auto"/>
      </w:divBdr>
      <w:divsChild>
        <w:div w:id="436875054">
          <w:marLeft w:val="0"/>
          <w:marRight w:val="0"/>
          <w:marTop w:val="0"/>
          <w:marBottom w:val="0"/>
          <w:divBdr>
            <w:top w:val="none" w:sz="0" w:space="0" w:color="auto"/>
            <w:left w:val="none" w:sz="0" w:space="0" w:color="auto"/>
            <w:bottom w:val="none" w:sz="0" w:space="0" w:color="auto"/>
            <w:right w:val="none" w:sz="0" w:space="0" w:color="auto"/>
          </w:divBdr>
        </w:div>
        <w:div w:id="292297692">
          <w:marLeft w:val="0"/>
          <w:marRight w:val="0"/>
          <w:marTop w:val="0"/>
          <w:marBottom w:val="0"/>
          <w:divBdr>
            <w:top w:val="none" w:sz="0" w:space="0" w:color="auto"/>
            <w:left w:val="none" w:sz="0" w:space="0" w:color="auto"/>
            <w:bottom w:val="none" w:sz="0" w:space="0" w:color="auto"/>
            <w:right w:val="none" w:sz="0" w:space="0" w:color="auto"/>
          </w:divBdr>
        </w:div>
        <w:div w:id="1271207546">
          <w:marLeft w:val="0"/>
          <w:marRight w:val="0"/>
          <w:marTop w:val="0"/>
          <w:marBottom w:val="0"/>
          <w:divBdr>
            <w:top w:val="none" w:sz="0" w:space="0" w:color="auto"/>
            <w:left w:val="none" w:sz="0" w:space="0" w:color="auto"/>
            <w:bottom w:val="none" w:sz="0" w:space="0" w:color="auto"/>
            <w:right w:val="none" w:sz="0" w:space="0" w:color="auto"/>
          </w:divBdr>
        </w:div>
        <w:div w:id="1240753282">
          <w:marLeft w:val="0"/>
          <w:marRight w:val="0"/>
          <w:marTop w:val="0"/>
          <w:marBottom w:val="0"/>
          <w:divBdr>
            <w:top w:val="none" w:sz="0" w:space="0" w:color="auto"/>
            <w:left w:val="none" w:sz="0" w:space="0" w:color="auto"/>
            <w:bottom w:val="none" w:sz="0" w:space="0" w:color="auto"/>
            <w:right w:val="none" w:sz="0" w:space="0" w:color="auto"/>
          </w:divBdr>
        </w:div>
        <w:div w:id="1781997468">
          <w:marLeft w:val="0"/>
          <w:marRight w:val="0"/>
          <w:marTop w:val="0"/>
          <w:marBottom w:val="0"/>
          <w:divBdr>
            <w:top w:val="none" w:sz="0" w:space="0" w:color="auto"/>
            <w:left w:val="none" w:sz="0" w:space="0" w:color="auto"/>
            <w:bottom w:val="none" w:sz="0" w:space="0" w:color="auto"/>
            <w:right w:val="none" w:sz="0" w:space="0" w:color="auto"/>
          </w:divBdr>
        </w:div>
        <w:div w:id="581524891">
          <w:marLeft w:val="0"/>
          <w:marRight w:val="0"/>
          <w:marTop w:val="0"/>
          <w:marBottom w:val="0"/>
          <w:divBdr>
            <w:top w:val="none" w:sz="0" w:space="0" w:color="auto"/>
            <w:left w:val="none" w:sz="0" w:space="0" w:color="auto"/>
            <w:bottom w:val="none" w:sz="0" w:space="0" w:color="auto"/>
            <w:right w:val="none" w:sz="0" w:space="0" w:color="auto"/>
          </w:divBdr>
        </w:div>
        <w:div w:id="660500491">
          <w:marLeft w:val="0"/>
          <w:marRight w:val="0"/>
          <w:marTop w:val="0"/>
          <w:marBottom w:val="0"/>
          <w:divBdr>
            <w:top w:val="none" w:sz="0" w:space="0" w:color="auto"/>
            <w:left w:val="none" w:sz="0" w:space="0" w:color="auto"/>
            <w:bottom w:val="none" w:sz="0" w:space="0" w:color="auto"/>
            <w:right w:val="none" w:sz="0" w:space="0" w:color="auto"/>
          </w:divBdr>
          <w:divsChild>
            <w:div w:id="1638409193">
              <w:marLeft w:val="0"/>
              <w:marRight w:val="0"/>
              <w:marTop w:val="30"/>
              <w:marBottom w:val="30"/>
              <w:divBdr>
                <w:top w:val="none" w:sz="0" w:space="0" w:color="auto"/>
                <w:left w:val="none" w:sz="0" w:space="0" w:color="auto"/>
                <w:bottom w:val="none" w:sz="0" w:space="0" w:color="auto"/>
                <w:right w:val="none" w:sz="0" w:space="0" w:color="auto"/>
              </w:divBdr>
              <w:divsChild>
                <w:div w:id="1555656786">
                  <w:marLeft w:val="0"/>
                  <w:marRight w:val="0"/>
                  <w:marTop w:val="0"/>
                  <w:marBottom w:val="0"/>
                  <w:divBdr>
                    <w:top w:val="none" w:sz="0" w:space="0" w:color="auto"/>
                    <w:left w:val="none" w:sz="0" w:space="0" w:color="auto"/>
                    <w:bottom w:val="none" w:sz="0" w:space="0" w:color="auto"/>
                    <w:right w:val="none" w:sz="0" w:space="0" w:color="auto"/>
                  </w:divBdr>
                  <w:divsChild>
                    <w:div w:id="564801148">
                      <w:marLeft w:val="0"/>
                      <w:marRight w:val="0"/>
                      <w:marTop w:val="0"/>
                      <w:marBottom w:val="0"/>
                      <w:divBdr>
                        <w:top w:val="none" w:sz="0" w:space="0" w:color="auto"/>
                        <w:left w:val="none" w:sz="0" w:space="0" w:color="auto"/>
                        <w:bottom w:val="none" w:sz="0" w:space="0" w:color="auto"/>
                        <w:right w:val="none" w:sz="0" w:space="0" w:color="auto"/>
                      </w:divBdr>
                    </w:div>
                  </w:divsChild>
                </w:div>
                <w:div w:id="547495929">
                  <w:marLeft w:val="0"/>
                  <w:marRight w:val="0"/>
                  <w:marTop w:val="0"/>
                  <w:marBottom w:val="0"/>
                  <w:divBdr>
                    <w:top w:val="none" w:sz="0" w:space="0" w:color="auto"/>
                    <w:left w:val="none" w:sz="0" w:space="0" w:color="auto"/>
                    <w:bottom w:val="none" w:sz="0" w:space="0" w:color="auto"/>
                    <w:right w:val="none" w:sz="0" w:space="0" w:color="auto"/>
                  </w:divBdr>
                  <w:divsChild>
                    <w:div w:id="487483190">
                      <w:marLeft w:val="0"/>
                      <w:marRight w:val="0"/>
                      <w:marTop w:val="0"/>
                      <w:marBottom w:val="0"/>
                      <w:divBdr>
                        <w:top w:val="none" w:sz="0" w:space="0" w:color="auto"/>
                        <w:left w:val="none" w:sz="0" w:space="0" w:color="auto"/>
                        <w:bottom w:val="none" w:sz="0" w:space="0" w:color="auto"/>
                        <w:right w:val="none" w:sz="0" w:space="0" w:color="auto"/>
                      </w:divBdr>
                    </w:div>
                  </w:divsChild>
                </w:div>
                <w:div w:id="1629628484">
                  <w:marLeft w:val="0"/>
                  <w:marRight w:val="0"/>
                  <w:marTop w:val="0"/>
                  <w:marBottom w:val="0"/>
                  <w:divBdr>
                    <w:top w:val="none" w:sz="0" w:space="0" w:color="auto"/>
                    <w:left w:val="none" w:sz="0" w:space="0" w:color="auto"/>
                    <w:bottom w:val="none" w:sz="0" w:space="0" w:color="auto"/>
                    <w:right w:val="none" w:sz="0" w:space="0" w:color="auto"/>
                  </w:divBdr>
                  <w:divsChild>
                    <w:div w:id="686639552">
                      <w:marLeft w:val="0"/>
                      <w:marRight w:val="0"/>
                      <w:marTop w:val="0"/>
                      <w:marBottom w:val="0"/>
                      <w:divBdr>
                        <w:top w:val="none" w:sz="0" w:space="0" w:color="auto"/>
                        <w:left w:val="none" w:sz="0" w:space="0" w:color="auto"/>
                        <w:bottom w:val="none" w:sz="0" w:space="0" w:color="auto"/>
                        <w:right w:val="none" w:sz="0" w:space="0" w:color="auto"/>
                      </w:divBdr>
                    </w:div>
                  </w:divsChild>
                </w:div>
                <w:div w:id="799960618">
                  <w:marLeft w:val="0"/>
                  <w:marRight w:val="0"/>
                  <w:marTop w:val="0"/>
                  <w:marBottom w:val="0"/>
                  <w:divBdr>
                    <w:top w:val="none" w:sz="0" w:space="0" w:color="auto"/>
                    <w:left w:val="none" w:sz="0" w:space="0" w:color="auto"/>
                    <w:bottom w:val="none" w:sz="0" w:space="0" w:color="auto"/>
                    <w:right w:val="none" w:sz="0" w:space="0" w:color="auto"/>
                  </w:divBdr>
                  <w:divsChild>
                    <w:div w:id="1269310604">
                      <w:marLeft w:val="0"/>
                      <w:marRight w:val="0"/>
                      <w:marTop w:val="0"/>
                      <w:marBottom w:val="0"/>
                      <w:divBdr>
                        <w:top w:val="none" w:sz="0" w:space="0" w:color="auto"/>
                        <w:left w:val="none" w:sz="0" w:space="0" w:color="auto"/>
                        <w:bottom w:val="none" w:sz="0" w:space="0" w:color="auto"/>
                        <w:right w:val="none" w:sz="0" w:space="0" w:color="auto"/>
                      </w:divBdr>
                    </w:div>
                  </w:divsChild>
                </w:div>
                <w:div w:id="213197918">
                  <w:marLeft w:val="0"/>
                  <w:marRight w:val="0"/>
                  <w:marTop w:val="0"/>
                  <w:marBottom w:val="0"/>
                  <w:divBdr>
                    <w:top w:val="none" w:sz="0" w:space="0" w:color="auto"/>
                    <w:left w:val="none" w:sz="0" w:space="0" w:color="auto"/>
                    <w:bottom w:val="none" w:sz="0" w:space="0" w:color="auto"/>
                    <w:right w:val="none" w:sz="0" w:space="0" w:color="auto"/>
                  </w:divBdr>
                  <w:divsChild>
                    <w:div w:id="1498808467">
                      <w:marLeft w:val="0"/>
                      <w:marRight w:val="0"/>
                      <w:marTop w:val="0"/>
                      <w:marBottom w:val="0"/>
                      <w:divBdr>
                        <w:top w:val="none" w:sz="0" w:space="0" w:color="auto"/>
                        <w:left w:val="none" w:sz="0" w:space="0" w:color="auto"/>
                        <w:bottom w:val="none" w:sz="0" w:space="0" w:color="auto"/>
                        <w:right w:val="none" w:sz="0" w:space="0" w:color="auto"/>
                      </w:divBdr>
                    </w:div>
                  </w:divsChild>
                </w:div>
                <w:div w:id="1083917667">
                  <w:marLeft w:val="0"/>
                  <w:marRight w:val="0"/>
                  <w:marTop w:val="0"/>
                  <w:marBottom w:val="0"/>
                  <w:divBdr>
                    <w:top w:val="none" w:sz="0" w:space="0" w:color="auto"/>
                    <w:left w:val="none" w:sz="0" w:space="0" w:color="auto"/>
                    <w:bottom w:val="none" w:sz="0" w:space="0" w:color="auto"/>
                    <w:right w:val="none" w:sz="0" w:space="0" w:color="auto"/>
                  </w:divBdr>
                  <w:divsChild>
                    <w:div w:id="995955835">
                      <w:marLeft w:val="0"/>
                      <w:marRight w:val="0"/>
                      <w:marTop w:val="0"/>
                      <w:marBottom w:val="0"/>
                      <w:divBdr>
                        <w:top w:val="none" w:sz="0" w:space="0" w:color="auto"/>
                        <w:left w:val="none" w:sz="0" w:space="0" w:color="auto"/>
                        <w:bottom w:val="none" w:sz="0" w:space="0" w:color="auto"/>
                        <w:right w:val="none" w:sz="0" w:space="0" w:color="auto"/>
                      </w:divBdr>
                    </w:div>
                  </w:divsChild>
                </w:div>
                <w:div w:id="36781351">
                  <w:marLeft w:val="0"/>
                  <w:marRight w:val="0"/>
                  <w:marTop w:val="0"/>
                  <w:marBottom w:val="0"/>
                  <w:divBdr>
                    <w:top w:val="none" w:sz="0" w:space="0" w:color="auto"/>
                    <w:left w:val="none" w:sz="0" w:space="0" w:color="auto"/>
                    <w:bottom w:val="none" w:sz="0" w:space="0" w:color="auto"/>
                    <w:right w:val="none" w:sz="0" w:space="0" w:color="auto"/>
                  </w:divBdr>
                  <w:divsChild>
                    <w:div w:id="289481964">
                      <w:marLeft w:val="0"/>
                      <w:marRight w:val="0"/>
                      <w:marTop w:val="0"/>
                      <w:marBottom w:val="0"/>
                      <w:divBdr>
                        <w:top w:val="none" w:sz="0" w:space="0" w:color="auto"/>
                        <w:left w:val="none" w:sz="0" w:space="0" w:color="auto"/>
                        <w:bottom w:val="none" w:sz="0" w:space="0" w:color="auto"/>
                        <w:right w:val="none" w:sz="0" w:space="0" w:color="auto"/>
                      </w:divBdr>
                    </w:div>
                  </w:divsChild>
                </w:div>
                <w:div w:id="1012535925">
                  <w:marLeft w:val="0"/>
                  <w:marRight w:val="0"/>
                  <w:marTop w:val="0"/>
                  <w:marBottom w:val="0"/>
                  <w:divBdr>
                    <w:top w:val="none" w:sz="0" w:space="0" w:color="auto"/>
                    <w:left w:val="none" w:sz="0" w:space="0" w:color="auto"/>
                    <w:bottom w:val="none" w:sz="0" w:space="0" w:color="auto"/>
                    <w:right w:val="none" w:sz="0" w:space="0" w:color="auto"/>
                  </w:divBdr>
                  <w:divsChild>
                    <w:div w:id="572423749">
                      <w:marLeft w:val="0"/>
                      <w:marRight w:val="0"/>
                      <w:marTop w:val="0"/>
                      <w:marBottom w:val="0"/>
                      <w:divBdr>
                        <w:top w:val="none" w:sz="0" w:space="0" w:color="auto"/>
                        <w:left w:val="none" w:sz="0" w:space="0" w:color="auto"/>
                        <w:bottom w:val="none" w:sz="0" w:space="0" w:color="auto"/>
                        <w:right w:val="none" w:sz="0" w:space="0" w:color="auto"/>
                      </w:divBdr>
                    </w:div>
                  </w:divsChild>
                </w:div>
                <w:div w:id="811564026">
                  <w:marLeft w:val="0"/>
                  <w:marRight w:val="0"/>
                  <w:marTop w:val="0"/>
                  <w:marBottom w:val="0"/>
                  <w:divBdr>
                    <w:top w:val="none" w:sz="0" w:space="0" w:color="auto"/>
                    <w:left w:val="none" w:sz="0" w:space="0" w:color="auto"/>
                    <w:bottom w:val="none" w:sz="0" w:space="0" w:color="auto"/>
                    <w:right w:val="none" w:sz="0" w:space="0" w:color="auto"/>
                  </w:divBdr>
                  <w:divsChild>
                    <w:div w:id="463543416">
                      <w:marLeft w:val="0"/>
                      <w:marRight w:val="0"/>
                      <w:marTop w:val="0"/>
                      <w:marBottom w:val="0"/>
                      <w:divBdr>
                        <w:top w:val="none" w:sz="0" w:space="0" w:color="auto"/>
                        <w:left w:val="none" w:sz="0" w:space="0" w:color="auto"/>
                        <w:bottom w:val="none" w:sz="0" w:space="0" w:color="auto"/>
                        <w:right w:val="none" w:sz="0" w:space="0" w:color="auto"/>
                      </w:divBdr>
                    </w:div>
                  </w:divsChild>
                </w:div>
                <w:div w:id="882710878">
                  <w:marLeft w:val="0"/>
                  <w:marRight w:val="0"/>
                  <w:marTop w:val="0"/>
                  <w:marBottom w:val="0"/>
                  <w:divBdr>
                    <w:top w:val="none" w:sz="0" w:space="0" w:color="auto"/>
                    <w:left w:val="none" w:sz="0" w:space="0" w:color="auto"/>
                    <w:bottom w:val="none" w:sz="0" w:space="0" w:color="auto"/>
                    <w:right w:val="none" w:sz="0" w:space="0" w:color="auto"/>
                  </w:divBdr>
                  <w:divsChild>
                    <w:div w:id="1304457702">
                      <w:marLeft w:val="0"/>
                      <w:marRight w:val="0"/>
                      <w:marTop w:val="0"/>
                      <w:marBottom w:val="0"/>
                      <w:divBdr>
                        <w:top w:val="none" w:sz="0" w:space="0" w:color="auto"/>
                        <w:left w:val="none" w:sz="0" w:space="0" w:color="auto"/>
                        <w:bottom w:val="none" w:sz="0" w:space="0" w:color="auto"/>
                        <w:right w:val="none" w:sz="0" w:space="0" w:color="auto"/>
                      </w:divBdr>
                    </w:div>
                  </w:divsChild>
                </w:div>
                <w:div w:id="1888255146">
                  <w:marLeft w:val="0"/>
                  <w:marRight w:val="0"/>
                  <w:marTop w:val="0"/>
                  <w:marBottom w:val="0"/>
                  <w:divBdr>
                    <w:top w:val="none" w:sz="0" w:space="0" w:color="auto"/>
                    <w:left w:val="none" w:sz="0" w:space="0" w:color="auto"/>
                    <w:bottom w:val="none" w:sz="0" w:space="0" w:color="auto"/>
                    <w:right w:val="none" w:sz="0" w:space="0" w:color="auto"/>
                  </w:divBdr>
                  <w:divsChild>
                    <w:div w:id="835461429">
                      <w:marLeft w:val="0"/>
                      <w:marRight w:val="0"/>
                      <w:marTop w:val="0"/>
                      <w:marBottom w:val="0"/>
                      <w:divBdr>
                        <w:top w:val="none" w:sz="0" w:space="0" w:color="auto"/>
                        <w:left w:val="none" w:sz="0" w:space="0" w:color="auto"/>
                        <w:bottom w:val="none" w:sz="0" w:space="0" w:color="auto"/>
                        <w:right w:val="none" w:sz="0" w:space="0" w:color="auto"/>
                      </w:divBdr>
                    </w:div>
                  </w:divsChild>
                </w:div>
                <w:div w:id="1002707247">
                  <w:marLeft w:val="0"/>
                  <w:marRight w:val="0"/>
                  <w:marTop w:val="0"/>
                  <w:marBottom w:val="0"/>
                  <w:divBdr>
                    <w:top w:val="none" w:sz="0" w:space="0" w:color="auto"/>
                    <w:left w:val="none" w:sz="0" w:space="0" w:color="auto"/>
                    <w:bottom w:val="none" w:sz="0" w:space="0" w:color="auto"/>
                    <w:right w:val="none" w:sz="0" w:space="0" w:color="auto"/>
                  </w:divBdr>
                  <w:divsChild>
                    <w:div w:id="1118454066">
                      <w:marLeft w:val="0"/>
                      <w:marRight w:val="0"/>
                      <w:marTop w:val="0"/>
                      <w:marBottom w:val="0"/>
                      <w:divBdr>
                        <w:top w:val="none" w:sz="0" w:space="0" w:color="auto"/>
                        <w:left w:val="none" w:sz="0" w:space="0" w:color="auto"/>
                        <w:bottom w:val="none" w:sz="0" w:space="0" w:color="auto"/>
                        <w:right w:val="none" w:sz="0" w:space="0" w:color="auto"/>
                      </w:divBdr>
                    </w:div>
                  </w:divsChild>
                </w:div>
                <w:div w:id="436408334">
                  <w:marLeft w:val="0"/>
                  <w:marRight w:val="0"/>
                  <w:marTop w:val="0"/>
                  <w:marBottom w:val="0"/>
                  <w:divBdr>
                    <w:top w:val="none" w:sz="0" w:space="0" w:color="auto"/>
                    <w:left w:val="none" w:sz="0" w:space="0" w:color="auto"/>
                    <w:bottom w:val="none" w:sz="0" w:space="0" w:color="auto"/>
                    <w:right w:val="none" w:sz="0" w:space="0" w:color="auto"/>
                  </w:divBdr>
                  <w:divsChild>
                    <w:div w:id="954677079">
                      <w:marLeft w:val="0"/>
                      <w:marRight w:val="0"/>
                      <w:marTop w:val="0"/>
                      <w:marBottom w:val="0"/>
                      <w:divBdr>
                        <w:top w:val="none" w:sz="0" w:space="0" w:color="auto"/>
                        <w:left w:val="none" w:sz="0" w:space="0" w:color="auto"/>
                        <w:bottom w:val="none" w:sz="0" w:space="0" w:color="auto"/>
                        <w:right w:val="none" w:sz="0" w:space="0" w:color="auto"/>
                      </w:divBdr>
                    </w:div>
                  </w:divsChild>
                </w:div>
                <w:div w:id="2052069183">
                  <w:marLeft w:val="0"/>
                  <w:marRight w:val="0"/>
                  <w:marTop w:val="0"/>
                  <w:marBottom w:val="0"/>
                  <w:divBdr>
                    <w:top w:val="none" w:sz="0" w:space="0" w:color="auto"/>
                    <w:left w:val="none" w:sz="0" w:space="0" w:color="auto"/>
                    <w:bottom w:val="none" w:sz="0" w:space="0" w:color="auto"/>
                    <w:right w:val="none" w:sz="0" w:space="0" w:color="auto"/>
                  </w:divBdr>
                  <w:divsChild>
                    <w:div w:id="1949849626">
                      <w:marLeft w:val="0"/>
                      <w:marRight w:val="0"/>
                      <w:marTop w:val="0"/>
                      <w:marBottom w:val="0"/>
                      <w:divBdr>
                        <w:top w:val="none" w:sz="0" w:space="0" w:color="auto"/>
                        <w:left w:val="none" w:sz="0" w:space="0" w:color="auto"/>
                        <w:bottom w:val="none" w:sz="0" w:space="0" w:color="auto"/>
                        <w:right w:val="none" w:sz="0" w:space="0" w:color="auto"/>
                      </w:divBdr>
                    </w:div>
                  </w:divsChild>
                </w:div>
                <w:div w:id="743331025">
                  <w:marLeft w:val="0"/>
                  <w:marRight w:val="0"/>
                  <w:marTop w:val="0"/>
                  <w:marBottom w:val="0"/>
                  <w:divBdr>
                    <w:top w:val="none" w:sz="0" w:space="0" w:color="auto"/>
                    <w:left w:val="none" w:sz="0" w:space="0" w:color="auto"/>
                    <w:bottom w:val="none" w:sz="0" w:space="0" w:color="auto"/>
                    <w:right w:val="none" w:sz="0" w:space="0" w:color="auto"/>
                  </w:divBdr>
                  <w:divsChild>
                    <w:div w:id="1723403363">
                      <w:marLeft w:val="0"/>
                      <w:marRight w:val="0"/>
                      <w:marTop w:val="0"/>
                      <w:marBottom w:val="0"/>
                      <w:divBdr>
                        <w:top w:val="none" w:sz="0" w:space="0" w:color="auto"/>
                        <w:left w:val="none" w:sz="0" w:space="0" w:color="auto"/>
                        <w:bottom w:val="none" w:sz="0" w:space="0" w:color="auto"/>
                        <w:right w:val="none" w:sz="0" w:space="0" w:color="auto"/>
                      </w:divBdr>
                    </w:div>
                  </w:divsChild>
                </w:div>
                <w:div w:id="1755738341">
                  <w:marLeft w:val="0"/>
                  <w:marRight w:val="0"/>
                  <w:marTop w:val="0"/>
                  <w:marBottom w:val="0"/>
                  <w:divBdr>
                    <w:top w:val="none" w:sz="0" w:space="0" w:color="auto"/>
                    <w:left w:val="none" w:sz="0" w:space="0" w:color="auto"/>
                    <w:bottom w:val="none" w:sz="0" w:space="0" w:color="auto"/>
                    <w:right w:val="none" w:sz="0" w:space="0" w:color="auto"/>
                  </w:divBdr>
                  <w:divsChild>
                    <w:div w:id="1730298670">
                      <w:marLeft w:val="0"/>
                      <w:marRight w:val="0"/>
                      <w:marTop w:val="0"/>
                      <w:marBottom w:val="0"/>
                      <w:divBdr>
                        <w:top w:val="none" w:sz="0" w:space="0" w:color="auto"/>
                        <w:left w:val="none" w:sz="0" w:space="0" w:color="auto"/>
                        <w:bottom w:val="none" w:sz="0" w:space="0" w:color="auto"/>
                        <w:right w:val="none" w:sz="0" w:space="0" w:color="auto"/>
                      </w:divBdr>
                    </w:div>
                  </w:divsChild>
                </w:div>
                <w:div w:id="689793258">
                  <w:marLeft w:val="0"/>
                  <w:marRight w:val="0"/>
                  <w:marTop w:val="0"/>
                  <w:marBottom w:val="0"/>
                  <w:divBdr>
                    <w:top w:val="none" w:sz="0" w:space="0" w:color="auto"/>
                    <w:left w:val="none" w:sz="0" w:space="0" w:color="auto"/>
                    <w:bottom w:val="none" w:sz="0" w:space="0" w:color="auto"/>
                    <w:right w:val="none" w:sz="0" w:space="0" w:color="auto"/>
                  </w:divBdr>
                  <w:divsChild>
                    <w:div w:id="461920643">
                      <w:marLeft w:val="0"/>
                      <w:marRight w:val="0"/>
                      <w:marTop w:val="0"/>
                      <w:marBottom w:val="0"/>
                      <w:divBdr>
                        <w:top w:val="none" w:sz="0" w:space="0" w:color="auto"/>
                        <w:left w:val="none" w:sz="0" w:space="0" w:color="auto"/>
                        <w:bottom w:val="none" w:sz="0" w:space="0" w:color="auto"/>
                        <w:right w:val="none" w:sz="0" w:space="0" w:color="auto"/>
                      </w:divBdr>
                    </w:div>
                  </w:divsChild>
                </w:div>
                <w:div w:id="800658202">
                  <w:marLeft w:val="0"/>
                  <w:marRight w:val="0"/>
                  <w:marTop w:val="0"/>
                  <w:marBottom w:val="0"/>
                  <w:divBdr>
                    <w:top w:val="none" w:sz="0" w:space="0" w:color="auto"/>
                    <w:left w:val="none" w:sz="0" w:space="0" w:color="auto"/>
                    <w:bottom w:val="none" w:sz="0" w:space="0" w:color="auto"/>
                    <w:right w:val="none" w:sz="0" w:space="0" w:color="auto"/>
                  </w:divBdr>
                  <w:divsChild>
                    <w:div w:id="1945383981">
                      <w:marLeft w:val="0"/>
                      <w:marRight w:val="0"/>
                      <w:marTop w:val="0"/>
                      <w:marBottom w:val="0"/>
                      <w:divBdr>
                        <w:top w:val="none" w:sz="0" w:space="0" w:color="auto"/>
                        <w:left w:val="none" w:sz="0" w:space="0" w:color="auto"/>
                        <w:bottom w:val="none" w:sz="0" w:space="0" w:color="auto"/>
                        <w:right w:val="none" w:sz="0" w:space="0" w:color="auto"/>
                      </w:divBdr>
                    </w:div>
                  </w:divsChild>
                </w:div>
                <w:div w:id="1161460222">
                  <w:marLeft w:val="0"/>
                  <w:marRight w:val="0"/>
                  <w:marTop w:val="0"/>
                  <w:marBottom w:val="0"/>
                  <w:divBdr>
                    <w:top w:val="none" w:sz="0" w:space="0" w:color="auto"/>
                    <w:left w:val="none" w:sz="0" w:space="0" w:color="auto"/>
                    <w:bottom w:val="none" w:sz="0" w:space="0" w:color="auto"/>
                    <w:right w:val="none" w:sz="0" w:space="0" w:color="auto"/>
                  </w:divBdr>
                  <w:divsChild>
                    <w:div w:id="1318026557">
                      <w:marLeft w:val="0"/>
                      <w:marRight w:val="0"/>
                      <w:marTop w:val="0"/>
                      <w:marBottom w:val="0"/>
                      <w:divBdr>
                        <w:top w:val="none" w:sz="0" w:space="0" w:color="auto"/>
                        <w:left w:val="none" w:sz="0" w:space="0" w:color="auto"/>
                        <w:bottom w:val="none" w:sz="0" w:space="0" w:color="auto"/>
                        <w:right w:val="none" w:sz="0" w:space="0" w:color="auto"/>
                      </w:divBdr>
                    </w:div>
                  </w:divsChild>
                </w:div>
                <w:div w:id="2145539665">
                  <w:marLeft w:val="0"/>
                  <w:marRight w:val="0"/>
                  <w:marTop w:val="0"/>
                  <w:marBottom w:val="0"/>
                  <w:divBdr>
                    <w:top w:val="none" w:sz="0" w:space="0" w:color="auto"/>
                    <w:left w:val="none" w:sz="0" w:space="0" w:color="auto"/>
                    <w:bottom w:val="none" w:sz="0" w:space="0" w:color="auto"/>
                    <w:right w:val="none" w:sz="0" w:space="0" w:color="auto"/>
                  </w:divBdr>
                  <w:divsChild>
                    <w:div w:id="620185792">
                      <w:marLeft w:val="0"/>
                      <w:marRight w:val="0"/>
                      <w:marTop w:val="0"/>
                      <w:marBottom w:val="0"/>
                      <w:divBdr>
                        <w:top w:val="none" w:sz="0" w:space="0" w:color="auto"/>
                        <w:left w:val="none" w:sz="0" w:space="0" w:color="auto"/>
                        <w:bottom w:val="none" w:sz="0" w:space="0" w:color="auto"/>
                        <w:right w:val="none" w:sz="0" w:space="0" w:color="auto"/>
                      </w:divBdr>
                    </w:div>
                  </w:divsChild>
                </w:div>
                <w:div w:id="565530413">
                  <w:marLeft w:val="0"/>
                  <w:marRight w:val="0"/>
                  <w:marTop w:val="0"/>
                  <w:marBottom w:val="0"/>
                  <w:divBdr>
                    <w:top w:val="none" w:sz="0" w:space="0" w:color="auto"/>
                    <w:left w:val="none" w:sz="0" w:space="0" w:color="auto"/>
                    <w:bottom w:val="none" w:sz="0" w:space="0" w:color="auto"/>
                    <w:right w:val="none" w:sz="0" w:space="0" w:color="auto"/>
                  </w:divBdr>
                  <w:divsChild>
                    <w:div w:id="306594211">
                      <w:marLeft w:val="0"/>
                      <w:marRight w:val="0"/>
                      <w:marTop w:val="0"/>
                      <w:marBottom w:val="0"/>
                      <w:divBdr>
                        <w:top w:val="none" w:sz="0" w:space="0" w:color="auto"/>
                        <w:left w:val="none" w:sz="0" w:space="0" w:color="auto"/>
                        <w:bottom w:val="none" w:sz="0" w:space="0" w:color="auto"/>
                        <w:right w:val="none" w:sz="0" w:space="0" w:color="auto"/>
                      </w:divBdr>
                    </w:div>
                  </w:divsChild>
                </w:div>
                <w:div w:id="405424074">
                  <w:marLeft w:val="0"/>
                  <w:marRight w:val="0"/>
                  <w:marTop w:val="0"/>
                  <w:marBottom w:val="0"/>
                  <w:divBdr>
                    <w:top w:val="none" w:sz="0" w:space="0" w:color="auto"/>
                    <w:left w:val="none" w:sz="0" w:space="0" w:color="auto"/>
                    <w:bottom w:val="none" w:sz="0" w:space="0" w:color="auto"/>
                    <w:right w:val="none" w:sz="0" w:space="0" w:color="auto"/>
                  </w:divBdr>
                  <w:divsChild>
                    <w:div w:id="493179880">
                      <w:marLeft w:val="0"/>
                      <w:marRight w:val="0"/>
                      <w:marTop w:val="0"/>
                      <w:marBottom w:val="0"/>
                      <w:divBdr>
                        <w:top w:val="none" w:sz="0" w:space="0" w:color="auto"/>
                        <w:left w:val="none" w:sz="0" w:space="0" w:color="auto"/>
                        <w:bottom w:val="none" w:sz="0" w:space="0" w:color="auto"/>
                        <w:right w:val="none" w:sz="0" w:space="0" w:color="auto"/>
                      </w:divBdr>
                    </w:div>
                  </w:divsChild>
                </w:div>
                <w:div w:id="1772779853">
                  <w:marLeft w:val="0"/>
                  <w:marRight w:val="0"/>
                  <w:marTop w:val="0"/>
                  <w:marBottom w:val="0"/>
                  <w:divBdr>
                    <w:top w:val="none" w:sz="0" w:space="0" w:color="auto"/>
                    <w:left w:val="none" w:sz="0" w:space="0" w:color="auto"/>
                    <w:bottom w:val="none" w:sz="0" w:space="0" w:color="auto"/>
                    <w:right w:val="none" w:sz="0" w:space="0" w:color="auto"/>
                  </w:divBdr>
                  <w:divsChild>
                    <w:div w:id="457142986">
                      <w:marLeft w:val="0"/>
                      <w:marRight w:val="0"/>
                      <w:marTop w:val="0"/>
                      <w:marBottom w:val="0"/>
                      <w:divBdr>
                        <w:top w:val="none" w:sz="0" w:space="0" w:color="auto"/>
                        <w:left w:val="none" w:sz="0" w:space="0" w:color="auto"/>
                        <w:bottom w:val="none" w:sz="0" w:space="0" w:color="auto"/>
                        <w:right w:val="none" w:sz="0" w:space="0" w:color="auto"/>
                      </w:divBdr>
                    </w:div>
                  </w:divsChild>
                </w:div>
                <w:div w:id="79838373">
                  <w:marLeft w:val="0"/>
                  <w:marRight w:val="0"/>
                  <w:marTop w:val="0"/>
                  <w:marBottom w:val="0"/>
                  <w:divBdr>
                    <w:top w:val="none" w:sz="0" w:space="0" w:color="auto"/>
                    <w:left w:val="none" w:sz="0" w:space="0" w:color="auto"/>
                    <w:bottom w:val="none" w:sz="0" w:space="0" w:color="auto"/>
                    <w:right w:val="none" w:sz="0" w:space="0" w:color="auto"/>
                  </w:divBdr>
                  <w:divsChild>
                    <w:div w:id="1031222212">
                      <w:marLeft w:val="0"/>
                      <w:marRight w:val="0"/>
                      <w:marTop w:val="0"/>
                      <w:marBottom w:val="0"/>
                      <w:divBdr>
                        <w:top w:val="none" w:sz="0" w:space="0" w:color="auto"/>
                        <w:left w:val="none" w:sz="0" w:space="0" w:color="auto"/>
                        <w:bottom w:val="none" w:sz="0" w:space="0" w:color="auto"/>
                        <w:right w:val="none" w:sz="0" w:space="0" w:color="auto"/>
                      </w:divBdr>
                    </w:div>
                  </w:divsChild>
                </w:div>
                <w:div w:id="1923952159">
                  <w:marLeft w:val="0"/>
                  <w:marRight w:val="0"/>
                  <w:marTop w:val="0"/>
                  <w:marBottom w:val="0"/>
                  <w:divBdr>
                    <w:top w:val="none" w:sz="0" w:space="0" w:color="auto"/>
                    <w:left w:val="none" w:sz="0" w:space="0" w:color="auto"/>
                    <w:bottom w:val="none" w:sz="0" w:space="0" w:color="auto"/>
                    <w:right w:val="none" w:sz="0" w:space="0" w:color="auto"/>
                  </w:divBdr>
                  <w:divsChild>
                    <w:div w:id="746608686">
                      <w:marLeft w:val="0"/>
                      <w:marRight w:val="0"/>
                      <w:marTop w:val="0"/>
                      <w:marBottom w:val="0"/>
                      <w:divBdr>
                        <w:top w:val="none" w:sz="0" w:space="0" w:color="auto"/>
                        <w:left w:val="none" w:sz="0" w:space="0" w:color="auto"/>
                        <w:bottom w:val="none" w:sz="0" w:space="0" w:color="auto"/>
                        <w:right w:val="none" w:sz="0" w:space="0" w:color="auto"/>
                      </w:divBdr>
                    </w:div>
                  </w:divsChild>
                </w:div>
                <w:div w:id="1731151049">
                  <w:marLeft w:val="0"/>
                  <w:marRight w:val="0"/>
                  <w:marTop w:val="0"/>
                  <w:marBottom w:val="0"/>
                  <w:divBdr>
                    <w:top w:val="none" w:sz="0" w:space="0" w:color="auto"/>
                    <w:left w:val="none" w:sz="0" w:space="0" w:color="auto"/>
                    <w:bottom w:val="none" w:sz="0" w:space="0" w:color="auto"/>
                    <w:right w:val="none" w:sz="0" w:space="0" w:color="auto"/>
                  </w:divBdr>
                  <w:divsChild>
                    <w:div w:id="1839686722">
                      <w:marLeft w:val="0"/>
                      <w:marRight w:val="0"/>
                      <w:marTop w:val="0"/>
                      <w:marBottom w:val="0"/>
                      <w:divBdr>
                        <w:top w:val="none" w:sz="0" w:space="0" w:color="auto"/>
                        <w:left w:val="none" w:sz="0" w:space="0" w:color="auto"/>
                        <w:bottom w:val="none" w:sz="0" w:space="0" w:color="auto"/>
                        <w:right w:val="none" w:sz="0" w:space="0" w:color="auto"/>
                      </w:divBdr>
                    </w:div>
                  </w:divsChild>
                </w:div>
                <w:div w:id="1535995448">
                  <w:marLeft w:val="0"/>
                  <w:marRight w:val="0"/>
                  <w:marTop w:val="0"/>
                  <w:marBottom w:val="0"/>
                  <w:divBdr>
                    <w:top w:val="none" w:sz="0" w:space="0" w:color="auto"/>
                    <w:left w:val="none" w:sz="0" w:space="0" w:color="auto"/>
                    <w:bottom w:val="none" w:sz="0" w:space="0" w:color="auto"/>
                    <w:right w:val="none" w:sz="0" w:space="0" w:color="auto"/>
                  </w:divBdr>
                  <w:divsChild>
                    <w:div w:id="1944921813">
                      <w:marLeft w:val="0"/>
                      <w:marRight w:val="0"/>
                      <w:marTop w:val="0"/>
                      <w:marBottom w:val="0"/>
                      <w:divBdr>
                        <w:top w:val="none" w:sz="0" w:space="0" w:color="auto"/>
                        <w:left w:val="none" w:sz="0" w:space="0" w:color="auto"/>
                        <w:bottom w:val="none" w:sz="0" w:space="0" w:color="auto"/>
                        <w:right w:val="none" w:sz="0" w:space="0" w:color="auto"/>
                      </w:divBdr>
                    </w:div>
                  </w:divsChild>
                </w:div>
                <w:div w:id="333142739">
                  <w:marLeft w:val="0"/>
                  <w:marRight w:val="0"/>
                  <w:marTop w:val="0"/>
                  <w:marBottom w:val="0"/>
                  <w:divBdr>
                    <w:top w:val="none" w:sz="0" w:space="0" w:color="auto"/>
                    <w:left w:val="none" w:sz="0" w:space="0" w:color="auto"/>
                    <w:bottom w:val="none" w:sz="0" w:space="0" w:color="auto"/>
                    <w:right w:val="none" w:sz="0" w:space="0" w:color="auto"/>
                  </w:divBdr>
                  <w:divsChild>
                    <w:div w:id="2002393974">
                      <w:marLeft w:val="0"/>
                      <w:marRight w:val="0"/>
                      <w:marTop w:val="0"/>
                      <w:marBottom w:val="0"/>
                      <w:divBdr>
                        <w:top w:val="none" w:sz="0" w:space="0" w:color="auto"/>
                        <w:left w:val="none" w:sz="0" w:space="0" w:color="auto"/>
                        <w:bottom w:val="none" w:sz="0" w:space="0" w:color="auto"/>
                        <w:right w:val="none" w:sz="0" w:space="0" w:color="auto"/>
                      </w:divBdr>
                    </w:div>
                  </w:divsChild>
                </w:div>
                <w:div w:id="776751768">
                  <w:marLeft w:val="0"/>
                  <w:marRight w:val="0"/>
                  <w:marTop w:val="0"/>
                  <w:marBottom w:val="0"/>
                  <w:divBdr>
                    <w:top w:val="none" w:sz="0" w:space="0" w:color="auto"/>
                    <w:left w:val="none" w:sz="0" w:space="0" w:color="auto"/>
                    <w:bottom w:val="none" w:sz="0" w:space="0" w:color="auto"/>
                    <w:right w:val="none" w:sz="0" w:space="0" w:color="auto"/>
                  </w:divBdr>
                  <w:divsChild>
                    <w:div w:id="2082411195">
                      <w:marLeft w:val="0"/>
                      <w:marRight w:val="0"/>
                      <w:marTop w:val="0"/>
                      <w:marBottom w:val="0"/>
                      <w:divBdr>
                        <w:top w:val="none" w:sz="0" w:space="0" w:color="auto"/>
                        <w:left w:val="none" w:sz="0" w:space="0" w:color="auto"/>
                        <w:bottom w:val="none" w:sz="0" w:space="0" w:color="auto"/>
                        <w:right w:val="none" w:sz="0" w:space="0" w:color="auto"/>
                      </w:divBdr>
                    </w:div>
                  </w:divsChild>
                </w:div>
                <w:div w:id="768235817">
                  <w:marLeft w:val="0"/>
                  <w:marRight w:val="0"/>
                  <w:marTop w:val="0"/>
                  <w:marBottom w:val="0"/>
                  <w:divBdr>
                    <w:top w:val="none" w:sz="0" w:space="0" w:color="auto"/>
                    <w:left w:val="none" w:sz="0" w:space="0" w:color="auto"/>
                    <w:bottom w:val="none" w:sz="0" w:space="0" w:color="auto"/>
                    <w:right w:val="none" w:sz="0" w:space="0" w:color="auto"/>
                  </w:divBdr>
                  <w:divsChild>
                    <w:div w:id="1455520894">
                      <w:marLeft w:val="0"/>
                      <w:marRight w:val="0"/>
                      <w:marTop w:val="0"/>
                      <w:marBottom w:val="0"/>
                      <w:divBdr>
                        <w:top w:val="none" w:sz="0" w:space="0" w:color="auto"/>
                        <w:left w:val="none" w:sz="0" w:space="0" w:color="auto"/>
                        <w:bottom w:val="none" w:sz="0" w:space="0" w:color="auto"/>
                        <w:right w:val="none" w:sz="0" w:space="0" w:color="auto"/>
                      </w:divBdr>
                    </w:div>
                  </w:divsChild>
                </w:div>
                <w:div w:id="1142456276">
                  <w:marLeft w:val="0"/>
                  <w:marRight w:val="0"/>
                  <w:marTop w:val="0"/>
                  <w:marBottom w:val="0"/>
                  <w:divBdr>
                    <w:top w:val="none" w:sz="0" w:space="0" w:color="auto"/>
                    <w:left w:val="none" w:sz="0" w:space="0" w:color="auto"/>
                    <w:bottom w:val="none" w:sz="0" w:space="0" w:color="auto"/>
                    <w:right w:val="none" w:sz="0" w:space="0" w:color="auto"/>
                  </w:divBdr>
                  <w:divsChild>
                    <w:div w:id="410659708">
                      <w:marLeft w:val="0"/>
                      <w:marRight w:val="0"/>
                      <w:marTop w:val="0"/>
                      <w:marBottom w:val="0"/>
                      <w:divBdr>
                        <w:top w:val="none" w:sz="0" w:space="0" w:color="auto"/>
                        <w:left w:val="none" w:sz="0" w:space="0" w:color="auto"/>
                        <w:bottom w:val="none" w:sz="0" w:space="0" w:color="auto"/>
                        <w:right w:val="none" w:sz="0" w:space="0" w:color="auto"/>
                      </w:divBdr>
                    </w:div>
                  </w:divsChild>
                </w:div>
                <w:div w:id="1964310975">
                  <w:marLeft w:val="0"/>
                  <w:marRight w:val="0"/>
                  <w:marTop w:val="0"/>
                  <w:marBottom w:val="0"/>
                  <w:divBdr>
                    <w:top w:val="none" w:sz="0" w:space="0" w:color="auto"/>
                    <w:left w:val="none" w:sz="0" w:space="0" w:color="auto"/>
                    <w:bottom w:val="none" w:sz="0" w:space="0" w:color="auto"/>
                    <w:right w:val="none" w:sz="0" w:space="0" w:color="auto"/>
                  </w:divBdr>
                  <w:divsChild>
                    <w:div w:id="395276022">
                      <w:marLeft w:val="0"/>
                      <w:marRight w:val="0"/>
                      <w:marTop w:val="0"/>
                      <w:marBottom w:val="0"/>
                      <w:divBdr>
                        <w:top w:val="none" w:sz="0" w:space="0" w:color="auto"/>
                        <w:left w:val="none" w:sz="0" w:space="0" w:color="auto"/>
                        <w:bottom w:val="none" w:sz="0" w:space="0" w:color="auto"/>
                        <w:right w:val="none" w:sz="0" w:space="0" w:color="auto"/>
                      </w:divBdr>
                    </w:div>
                  </w:divsChild>
                </w:div>
                <w:div w:id="704675652">
                  <w:marLeft w:val="0"/>
                  <w:marRight w:val="0"/>
                  <w:marTop w:val="0"/>
                  <w:marBottom w:val="0"/>
                  <w:divBdr>
                    <w:top w:val="none" w:sz="0" w:space="0" w:color="auto"/>
                    <w:left w:val="none" w:sz="0" w:space="0" w:color="auto"/>
                    <w:bottom w:val="none" w:sz="0" w:space="0" w:color="auto"/>
                    <w:right w:val="none" w:sz="0" w:space="0" w:color="auto"/>
                  </w:divBdr>
                  <w:divsChild>
                    <w:div w:id="2095322451">
                      <w:marLeft w:val="0"/>
                      <w:marRight w:val="0"/>
                      <w:marTop w:val="0"/>
                      <w:marBottom w:val="0"/>
                      <w:divBdr>
                        <w:top w:val="none" w:sz="0" w:space="0" w:color="auto"/>
                        <w:left w:val="none" w:sz="0" w:space="0" w:color="auto"/>
                        <w:bottom w:val="none" w:sz="0" w:space="0" w:color="auto"/>
                        <w:right w:val="none" w:sz="0" w:space="0" w:color="auto"/>
                      </w:divBdr>
                    </w:div>
                  </w:divsChild>
                </w:div>
                <w:div w:id="203178509">
                  <w:marLeft w:val="0"/>
                  <w:marRight w:val="0"/>
                  <w:marTop w:val="0"/>
                  <w:marBottom w:val="0"/>
                  <w:divBdr>
                    <w:top w:val="none" w:sz="0" w:space="0" w:color="auto"/>
                    <w:left w:val="none" w:sz="0" w:space="0" w:color="auto"/>
                    <w:bottom w:val="none" w:sz="0" w:space="0" w:color="auto"/>
                    <w:right w:val="none" w:sz="0" w:space="0" w:color="auto"/>
                  </w:divBdr>
                  <w:divsChild>
                    <w:div w:id="2041394834">
                      <w:marLeft w:val="0"/>
                      <w:marRight w:val="0"/>
                      <w:marTop w:val="0"/>
                      <w:marBottom w:val="0"/>
                      <w:divBdr>
                        <w:top w:val="none" w:sz="0" w:space="0" w:color="auto"/>
                        <w:left w:val="none" w:sz="0" w:space="0" w:color="auto"/>
                        <w:bottom w:val="none" w:sz="0" w:space="0" w:color="auto"/>
                        <w:right w:val="none" w:sz="0" w:space="0" w:color="auto"/>
                      </w:divBdr>
                    </w:div>
                  </w:divsChild>
                </w:div>
                <w:div w:id="1306815463">
                  <w:marLeft w:val="0"/>
                  <w:marRight w:val="0"/>
                  <w:marTop w:val="0"/>
                  <w:marBottom w:val="0"/>
                  <w:divBdr>
                    <w:top w:val="none" w:sz="0" w:space="0" w:color="auto"/>
                    <w:left w:val="none" w:sz="0" w:space="0" w:color="auto"/>
                    <w:bottom w:val="none" w:sz="0" w:space="0" w:color="auto"/>
                    <w:right w:val="none" w:sz="0" w:space="0" w:color="auto"/>
                  </w:divBdr>
                  <w:divsChild>
                    <w:div w:id="344749613">
                      <w:marLeft w:val="0"/>
                      <w:marRight w:val="0"/>
                      <w:marTop w:val="0"/>
                      <w:marBottom w:val="0"/>
                      <w:divBdr>
                        <w:top w:val="none" w:sz="0" w:space="0" w:color="auto"/>
                        <w:left w:val="none" w:sz="0" w:space="0" w:color="auto"/>
                        <w:bottom w:val="none" w:sz="0" w:space="0" w:color="auto"/>
                        <w:right w:val="none" w:sz="0" w:space="0" w:color="auto"/>
                      </w:divBdr>
                    </w:div>
                  </w:divsChild>
                </w:div>
                <w:div w:id="1522623880">
                  <w:marLeft w:val="0"/>
                  <w:marRight w:val="0"/>
                  <w:marTop w:val="0"/>
                  <w:marBottom w:val="0"/>
                  <w:divBdr>
                    <w:top w:val="none" w:sz="0" w:space="0" w:color="auto"/>
                    <w:left w:val="none" w:sz="0" w:space="0" w:color="auto"/>
                    <w:bottom w:val="none" w:sz="0" w:space="0" w:color="auto"/>
                    <w:right w:val="none" w:sz="0" w:space="0" w:color="auto"/>
                  </w:divBdr>
                  <w:divsChild>
                    <w:div w:id="599337085">
                      <w:marLeft w:val="0"/>
                      <w:marRight w:val="0"/>
                      <w:marTop w:val="0"/>
                      <w:marBottom w:val="0"/>
                      <w:divBdr>
                        <w:top w:val="none" w:sz="0" w:space="0" w:color="auto"/>
                        <w:left w:val="none" w:sz="0" w:space="0" w:color="auto"/>
                        <w:bottom w:val="none" w:sz="0" w:space="0" w:color="auto"/>
                        <w:right w:val="none" w:sz="0" w:space="0" w:color="auto"/>
                      </w:divBdr>
                    </w:div>
                  </w:divsChild>
                </w:div>
                <w:div w:id="1171800059">
                  <w:marLeft w:val="0"/>
                  <w:marRight w:val="0"/>
                  <w:marTop w:val="0"/>
                  <w:marBottom w:val="0"/>
                  <w:divBdr>
                    <w:top w:val="none" w:sz="0" w:space="0" w:color="auto"/>
                    <w:left w:val="none" w:sz="0" w:space="0" w:color="auto"/>
                    <w:bottom w:val="none" w:sz="0" w:space="0" w:color="auto"/>
                    <w:right w:val="none" w:sz="0" w:space="0" w:color="auto"/>
                  </w:divBdr>
                  <w:divsChild>
                    <w:div w:id="898594269">
                      <w:marLeft w:val="0"/>
                      <w:marRight w:val="0"/>
                      <w:marTop w:val="0"/>
                      <w:marBottom w:val="0"/>
                      <w:divBdr>
                        <w:top w:val="none" w:sz="0" w:space="0" w:color="auto"/>
                        <w:left w:val="none" w:sz="0" w:space="0" w:color="auto"/>
                        <w:bottom w:val="none" w:sz="0" w:space="0" w:color="auto"/>
                        <w:right w:val="none" w:sz="0" w:space="0" w:color="auto"/>
                      </w:divBdr>
                    </w:div>
                  </w:divsChild>
                </w:div>
                <w:div w:id="1577668376">
                  <w:marLeft w:val="0"/>
                  <w:marRight w:val="0"/>
                  <w:marTop w:val="0"/>
                  <w:marBottom w:val="0"/>
                  <w:divBdr>
                    <w:top w:val="none" w:sz="0" w:space="0" w:color="auto"/>
                    <w:left w:val="none" w:sz="0" w:space="0" w:color="auto"/>
                    <w:bottom w:val="none" w:sz="0" w:space="0" w:color="auto"/>
                    <w:right w:val="none" w:sz="0" w:space="0" w:color="auto"/>
                  </w:divBdr>
                  <w:divsChild>
                    <w:div w:id="167985175">
                      <w:marLeft w:val="0"/>
                      <w:marRight w:val="0"/>
                      <w:marTop w:val="0"/>
                      <w:marBottom w:val="0"/>
                      <w:divBdr>
                        <w:top w:val="none" w:sz="0" w:space="0" w:color="auto"/>
                        <w:left w:val="none" w:sz="0" w:space="0" w:color="auto"/>
                        <w:bottom w:val="none" w:sz="0" w:space="0" w:color="auto"/>
                        <w:right w:val="none" w:sz="0" w:space="0" w:color="auto"/>
                      </w:divBdr>
                    </w:div>
                  </w:divsChild>
                </w:div>
                <w:div w:id="1768697977">
                  <w:marLeft w:val="0"/>
                  <w:marRight w:val="0"/>
                  <w:marTop w:val="0"/>
                  <w:marBottom w:val="0"/>
                  <w:divBdr>
                    <w:top w:val="none" w:sz="0" w:space="0" w:color="auto"/>
                    <w:left w:val="none" w:sz="0" w:space="0" w:color="auto"/>
                    <w:bottom w:val="none" w:sz="0" w:space="0" w:color="auto"/>
                    <w:right w:val="none" w:sz="0" w:space="0" w:color="auto"/>
                  </w:divBdr>
                  <w:divsChild>
                    <w:div w:id="1757313999">
                      <w:marLeft w:val="0"/>
                      <w:marRight w:val="0"/>
                      <w:marTop w:val="0"/>
                      <w:marBottom w:val="0"/>
                      <w:divBdr>
                        <w:top w:val="none" w:sz="0" w:space="0" w:color="auto"/>
                        <w:left w:val="none" w:sz="0" w:space="0" w:color="auto"/>
                        <w:bottom w:val="none" w:sz="0" w:space="0" w:color="auto"/>
                        <w:right w:val="none" w:sz="0" w:space="0" w:color="auto"/>
                      </w:divBdr>
                    </w:div>
                  </w:divsChild>
                </w:div>
                <w:div w:id="2023162965">
                  <w:marLeft w:val="0"/>
                  <w:marRight w:val="0"/>
                  <w:marTop w:val="0"/>
                  <w:marBottom w:val="0"/>
                  <w:divBdr>
                    <w:top w:val="none" w:sz="0" w:space="0" w:color="auto"/>
                    <w:left w:val="none" w:sz="0" w:space="0" w:color="auto"/>
                    <w:bottom w:val="none" w:sz="0" w:space="0" w:color="auto"/>
                    <w:right w:val="none" w:sz="0" w:space="0" w:color="auto"/>
                  </w:divBdr>
                  <w:divsChild>
                    <w:div w:id="360278030">
                      <w:marLeft w:val="0"/>
                      <w:marRight w:val="0"/>
                      <w:marTop w:val="0"/>
                      <w:marBottom w:val="0"/>
                      <w:divBdr>
                        <w:top w:val="none" w:sz="0" w:space="0" w:color="auto"/>
                        <w:left w:val="none" w:sz="0" w:space="0" w:color="auto"/>
                        <w:bottom w:val="none" w:sz="0" w:space="0" w:color="auto"/>
                        <w:right w:val="none" w:sz="0" w:space="0" w:color="auto"/>
                      </w:divBdr>
                    </w:div>
                  </w:divsChild>
                </w:div>
                <w:div w:id="1394818349">
                  <w:marLeft w:val="0"/>
                  <w:marRight w:val="0"/>
                  <w:marTop w:val="0"/>
                  <w:marBottom w:val="0"/>
                  <w:divBdr>
                    <w:top w:val="none" w:sz="0" w:space="0" w:color="auto"/>
                    <w:left w:val="none" w:sz="0" w:space="0" w:color="auto"/>
                    <w:bottom w:val="none" w:sz="0" w:space="0" w:color="auto"/>
                    <w:right w:val="none" w:sz="0" w:space="0" w:color="auto"/>
                  </w:divBdr>
                  <w:divsChild>
                    <w:div w:id="1282148825">
                      <w:marLeft w:val="0"/>
                      <w:marRight w:val="0"/>
                      <w:marTop w:val="0"/>
                      <w:marBottom w:val="0"/>
                      <w:divBdr>
                        <w:top w:val="none" w:sz="0" w:space="0" w:color="auto"/>
                        <w:left w:val="none" w:sz="0" w:space="0" w:color="auto"/>
                        <w:bottom w:val="none" w:sz="0" w:space="0" w:color="auto"/>
                        <w:right w:val="none" w:sz="0" w:space="0" w:color="auto"/>
                      </w:divBdr>
                    </w:div>
                  </w:divsChild>
                </w:div>
                <w:div w:id="2015254098">
                  <w:marLeft w:val="0"/>
                  <w:marRight w:val="0"/>
                  <w:marTop w:val="0"/>
                  <w:marBottom w:val="0"/>
                  <w:divBdr>
                    <w:top w:val="none" w:sz="0" w:space="0" w:color="auto"/>
                    <w:left w:val="none" w:sz="0" w:space="0" w:color="auto"/>
                    <w:bottom w:val="none" w:sz="0" w:space="0" w:color="auto"/>
                    <w:right w:val="none" w:sz="0" w:space="0" w:color="auto"/>
                  </w:divBdr>
                  <w:divsChild>
                    <w:div w:id="2085761978">
                      <w:marLeft w:val="0"/>
                      <w:marRight w:val="0"/>
                      <w:marTop w:val="0"/>
                      <w:marBottom w:val="0"/>
                      <w:divBdr>
                        <w:top w:val="none" w:sz="0" w:space="0" w:color="auto"/>
                        <w:left w:val="none" w:sz="0" w:space="0" w:color="auto"/>
                        <w:bottom w:val="none" w:sz="0" w:space="0" w:color="auto"/>
                        <w:right w:val="none" w:sz="0" w:space="0" w:color="auto"/>
                      </w:divBdr>
                    </w:div>
                  </w:divsChild>
                </w:div>
                <w:div w:id="763262745">
                  <w:marLeft w:val="0"/>
                  <w:marRight w:val="0"/>
                  <w:marTop w:val="0"/>
                  <w:marBottom w:val="0"/>
                  <w:divBdr>
                    <w:top w:val="none" w:sz="0" w:space="0" w:color="auto"/>
                    <w:left w:val="none" w:sz="0" w:space="0" w:color="auto"/>
                    <w:bottom w:val="none" w:sz="0" w:space="0" w:color="auto"/>
                    <w:right w:val="none" w:sz="0" w:space="0" w:color="auto"/>
                  </w:divBdr>
                  <w:divsChild>
                    <w:div w:id="792406397">
                      <w:marLeft w:val="0"/>
                      <w:marRight w:val="0"/>
                      <w:marTop w:val="0"/>
                      <w:marBottom w:val="0"/>
                      <w:divBdr>
                        <w:top w:val="none" w:sz="0" w:space="0" w:color="auto"/>
                        <w:left w:val="none" w:sz="0" w:space="0" w:color="auto"/>
                        <w:bottom w:val="none" w:sz="0" w:space="0" w:color="auto"/>
                        <w:right w:val="none" w:sz="0" w:space="0" w:color="auto"/>
                      </w:divBdr>
                    </w:div>
                  </w:divsChild>
                </w:div>
                <w:div w:id="568229368">
                  <w:marLeft w:val="0"/>
                  <w:marRight w:val="0"/>
                  <w:marTop w:val="0"/>
                  <w:marBottom w:val="0"/>
                  <w:divBdr>
                    <w:top w:val="none" w:sz="0" w:space="0" w:color="auto"/>
                    <w:left w:val="none" w:sz="0" w:space="0" w:color="auto"/>
                    <w:bottom w:val="none" w:sz="0" w:space="0" w:color="auto"/>
                    <w:right w:val="none" w:sz="0" w:space="0" w:color="auto"/>
                  </w:divBdr>
                  <w:divsChild>
                    <w:div w:id="692458168">
                      <w:marLeft w:val="0"/>
                      <w:marRight w:val="0"/>
                      <w:marTop w:val="0"/>
                      <w:marBottom w:val="0"/>
                      <w:divBdr>
                        <w:top w:val="none" w:sz="0" w:space="0" w:color="auto"/>
                        <w:left w:val="none" w:sz="0" w:space="0" w:color="auto"/>
                        <w:bottom w:val="none" w:sz="0" w:space="0" w:color="auto"/>
                        <w:right w:val="none" w:sz="0" w:space="0" w:color="auto"/>
                      </w:divBdr>
                    </w:div>
                  </w:divsChild>
                </w:div>
                <w:div w:id="1291863300">
                  <w:marLeft w:val="0"/>
                  <w:marRight w:val="0"/>
                  <w:marTop w:val="0"/>
                  <w:marBottom w:val="0"/>
                  <w:divBdr>
                    <w:top w:val="none" w:sz="0" w:space="0" w:color="auto"/>
                    <w:left w:val="none" w:sz="0" w:space="0" w:color="auto"/>
                    <w:bottom w:val="none" w:sz="0" w:space="0" w:color="auto"/>
                    <w:right w:val="none" w:sz="0" w:space="0" w:color="auto"/>
                  </w:divBdr>
                  <w:divsChild>
                    <w:div w:id="856895056">
                      <w:marLeft w:val="0"/>
                      <w:marRight w:val="0"/>
                      <w:marTop w:val="0"/>
                      <w:marBottom w:val="0"/>
                      <w:divBdr>
                        <w:top w:val="none" w:sz="0" w:space="0" w:color="auto"/>
                        <w:left w:val="none" w:sz="0" w:space="0" w:color="auto"/>
                        <w:bottom w:val="none" w:sz="0" w:space="0" w:color="auto"/>
                        <w:right w:val="none" w:sz="0" w:space="0" w:color="auto"/>
                      </w:divBdr>
                    </w:div>
                  </w:divsChild>
                </w:div>
                <w:div w:id="1339429249">
                  <w:marLeft w:val="0"/>
                  <w:marRight w:val="0"/>
                  <w:marTop w:val="0"/>
                  <w:marBottom w:val="0"/>
                  <w:divBdr>
                    <w:top w:val="none" w:sz="0" w:space="0" w:color="auto"/>
                    <w:left w:val="none" w:sz="0" w:space="0" w:color="auto"/>
                    <w:bottom w:val="none" w:sz="0" w:space="0" w:color="auto"/>
                    <w:right w:val="none" w:sz="0" w:space="0" w:color="auto"/>
                  </w:divBdr>
                  <w:divsChild>
                    <w:div w:id="1129742294">
                      <w:marLeft w:val="0"/>
                      <w:marRight w:val="0"/>
                      <w:marTop w:val="0"/>
                      <w:marBottom w:val="0"/>
                      <w:divBdr>
                        <w:top w:val="none" w:sz="0" w:space="0" w:color="auto"/>
                        <w:left w:val="none" w:sz="0" w:space="0" w:color="auto"/>
                        <w:bottom w:val="none" w:sz="0" w:space="0" w:color="auto"/>
                        <w:right w:val="none" w:sz="0" w:space="0" w:color="auto"/>
                      </w:divBdr>
                    </w:div>
                  </w:divsChild>
                </w:div>
                <w:div w:id="464009496">
                  <w:marLeft w:val="0"/>
                  <w:marRight w:val="0"/>
                  <w:marTop w:val="0"/>
                  <w:marBottom w:val="0"/>
                  <w:divBdr>
                    <w:top w:val="none" w:sz="0" w:space="0" w:color="auto"/>
                    <w:left w:val="none" w:sz="0" w:space="0" w:color="auto"/>
                    <w:bottom w:val="none" w:sz="0" w:space="0" w:color="auto"/>
                    <w:right w:val="none" w:sz="0" w:space="0" w:color="auto"/>
                  </w:divBdr>
                  <w:divsChild>
                    <w:div w:id="173614066">
                      <w:marLeft w:val="0"/>
                      <w:marRight w:val="0"/>
                      <w:marTop w:val="0"/>
                      <w:marBottom w:val="0"/>
                      <w:divBdr>
                        <w:top w:val="none" w:sz="0" w:space="0" w:color="auto"/>
                        <w:left w:val="none" w:sz="0" w:space="0" w:color="auto"/>
                        <w:bottom w:val="none" w:sz="0" w:space="0" w:color="auto"/>
                        <w:right w:val="none" w:sz="0" w:space="0" w:color="auto"/>
                      </w:divBdr>
                    </w:div>
                  </w:divsChild>
                </w:div>
                <w:div w:id="212083216">
                  <w:marLeft w:val="0"/>
                  <w:marRight w:val="0"/>
                  <w:marTop w:val="0"/>
                  <w:marBottom w:val="0"/>
                  <w:divBdr>
                    <w:top w:val="none" w:sz="0" w:space="0" w:color="auto"/>
                    <w:left w:val="none" w:sz="0" w:space="0" w:color="auto"/>
                    <w:bottom w:val="none" w:sz="0" w:space="0" w:color="auto"/>
                    <w:right w:val="none" w:sz="0" w:space="0" w:color="auto"/>
                  </w:divBdr>
                  <w:divsChild>
                    <w:div w:id="1553348609">
                      <w:marLeft w:val="0"/>
                      <w:marRight w:val="0"/>
                      <w:marTop w:val="0"/>
                      <w:marBottom w:val="0"/>
                      <w:divBdr>
                        <w:top w:val="none" w:sz="0" w:space="0" w:color="auto"/>
                        <w:left w:val="none" w:sz="0" w:space="0" w:color="auto"/>
                        <w:bottom w:val="none" w:sz="0" w:space="0" w:color="auto"/>
                        <w:right w:val="none" w:sz="0" w:space="0" w:color="auto"/>
                      </w:divBdr>
                    </w:div>
                  </w:divsChild>
                </w:div>
                <w:div w:id="432557578">
                  <w:marLeft w:val="0"/>
                  <w:marRight w:val="0"/>
                  <w:marTop w:val="0"/>
                  <w:marBottom w:val="0"/>
                  <w:divBdr>
                    <w:top w:val="none" w:sz="0" w:space="0" w:color="auto"/>
                    <w:left w:val="none" w:sz="0" w:space="0" w:color="auto"/>
                    <w:bottom w:val="none" w:sz="0" w:space="0" w:color="auto"/>
                    <w:right w:val="none" w:sz="0" w:space="0" w:color="auto"/>
                  </w:divBdr>
                  <w:divsChild>
                    <w:div w:id="1162894433">
                      <w:marLeft w:val="0"/>
                      <w:marRight w:val="0"/>
                      <w:marTop w:val="0"/>
                      <w:marBottom w:val="0"/>
                      <w:divBdr>
                        <w:top w:val="none" w:sz="0" w:space="0" w:color="auto"/>
                        <w:left w:val="none" w:sz="0" w:space="0" w:color="auto"/>
                        <w:bottom w:val="none" w:sz="0" w:space="0" w:color="auto"/>
                        <w:right w:val="none" w:sz="0" w:space="0" w:color="auto"/>
                      </w:divBdr>
                    </w:div>
                  </w:divsChild>
                </w:div>
                <w:div w:id="1041780613">
                  <w:marLeft w:val="0"/>
                  <w:marRight w:val="0"/>
                  <w:marTop w:val="0"/>
                  <w:marBottom w:val="0"/>
                  <w:divBdr>
                    <w:top w:val="none" w:sz="0" w:space="0" w:color="auto"/>
                    <w:left w:val="none" w:sz="0" w:space="0" w:color="auto"/>
                    <w:bottom w:val="none" w:sz="0" w:space="0" w:color="auto"/>
                    <w:right w:val="none" w:sz="0" w:space="0" w:color="auto"/>
                  </w:divBdr>
                  <w:divsChild>
                    <w:div w:id="1980304690">
                      <w:marLeft w:val="0"/>
                      <w:marRight w:val="0"/>
                      <w:marTop w:val="0"/>
                      <w:marBottom w:val="0"/>
                      <w:divBdr>
                        <w:top w:val="none" w:sz="0" w:space="0" w:color="auto"/>
                        <w:left w:val="none" w:sz="0" w:space="0" w:color="auto"/>
                        <w:bottom w:val="none" w:sz="0" w:space="0" w:color="auto"/>
                        <w:right w:val="none" w:sz="0" w:space="0" w:color="auto"/>
                      </w:divBdr>
                    </w:div>
                  </w:divsChild>
                </w:div>
                <w:div w:id="195508862">
                  <w:marLeft w:val="0"/>
                  <w:marRight w:val="0"/>
                  <w:marTop w:val="0"/>
                  <w:marBottom w:val="0"/>
                  <w:divBdr>
                    <w:top w:val="none" w:sz="0" w:space="0" w:color="auto"/>
                    <w:left w:val="none" w:sz="0" w:space="0" w:color="auto"/>
                    <w:bottom w:val="none" w:sz="0" w:space="0" w:color="auto"/>
                    <w:right w:val="none" w:sz="0" w:space="0" w:color="auto"/>
                  </w:divBdr>
                  <w:divsChild>
                    <w:div w:id="1003894141">
                      <w:marLeft w:val="0"/>
                      <w:marRight w:val="0"/>
                      <w:marTop w:val="0"/>
                      <w:marBottom w:val="0"/>
                      <w:divBdr>
                        <w:top w:val="none" w:sz="0" w:space="0" w:color="auto"/>
                        <w:left w:val="none" w:sz="0" w:space="0" w:color="auto"/>
                        <w:bottom w:val="none" w:sz="0" w:space="0" w:color="auto"/>
                        <w:right w:val="none" w:sz="0" w:space="0" w:color="auto"/>
                      </w:divBdr>
                    </w:div>
                  </w:divsChild>
                </w:div>
                <w:div w:id="1236015511">
                  <w:marLeft w:val="0"/>
                  <w:marRight w:val="0"/>
                  <w:marTop w:val="0"/>
                  <w:marBottom w:val="0"/>
                  <w:divBdr>
                    <w:top w:val="none" w:sz="0" w:space="0" w:color="auto"/>
                    <w:left w:val="none" w:sz="0" w:space="0" w:color="auto"/>
                    <w:bottom w:val="none" w:sz="0" w:space="0" w:color="auto"/>
                    <w:right w:val="none" w:sz="0" w:space="0" w:color="auto"/>
                  </w:divBdr>
                  <w:divsChild>
                    <w:div w:id="497812862">
                      <w:marLeft w:val="0"/>
                      <w:marRight w:val="0"/>
                      <w:marTop w:val="0"/>
                      <w:marBottom w:val="0"/>
                      <w:divBdr>
                        <w:top w:val="none" w:sz="0" w:space="0" w:color="auto"/>
                        <w:left w:val="none" w:sz="0" w:space="0" w:color="auto"/>
                        <w:bottom w:val="none" w:sz="0" w:space="0" w:color="auto"/>
                        <w:right w:val="none" w:sz="0" w:space="0" w:color="auto"/>
                      </w:divBdr>
                    </w:div>
                  </w:divsChild>
                </w:div>
                <w:div w:id="1663043814">
                  <w:marLeft w:val="0"/>
                  <w:marRight w:val="0"/>
                  <w:marTop w:val="0"/>
                  <w:marBottom w:val="0"/>
                  <w:divBdr>
                    <w:top w:val="none" w:sz="0" w:space="0" w:color="auto"/>
                    <w:left w:val="none" w:sz="0" w:space="0" w:color="auto"/>
                    <w:bottom w:val="none" w:sz="0" w:space="0" w:color="auto"/>
                    <w:right w:val="none" w:sz="0" w:space="0" w:color="auto"/>
                  </w:divBdr>
                  <w:divsChild>
                    <w:div w:id="1227951604">
                      <w:marLeft w:val="0"/>
                      <w:marRight w:val="0"/>
                      <w:marTop w:val="0"/>
                      <w:marBottom w:val="0"/>
                      <w:divBdr>
                        <w:top w:val="none" w:sz="0" w:space="0" w:color="auto"/>
                        <w:left w:val="none" w:sz="0" w:space="0" w:color="auto"/>
                        <w:bottom w:val="none" w:sz="0" w:space="0" w:color="auto"/>
                        <w:right w:val="none" w:sz="0" w:space="0" w:color="auto"/>
                      </w:divBdr>
                    </w:div>
                  </w:divsChild>
                </w:div>
                <w:div w:id="2104297642">
                  <w:marLeft w:val="0"/>
                  <w:marRight w:val="0"/>
                  <w:marTop w:val="0"/>
                  <w:marBottom w:val="0"/>
                  <w:divBdr>
                    <w:top w:val="none" w:sz="0" w:space="0" w:color="auto"/>
                    <w:left w:val="none" w:sz="0" w:space="0" w:color="auto"/>
                    <w:bottom w:val="none" w:sz="0" w:space="0" w:color="auto"/>
                    <w:right w:val="none" w:sz="0" w:space="0" w:color="auto"/>
                  </w:divBdr>
                  <w:divsChild>
                    <w:div w:id="2084178201">
                      <w:marLeft w:val="0"/>
                      <w:marRight w:val="0"/>
                      <w:marTop w:val="0"/>
                      <w:marBottom w:val="0"/>
                      <w:divBdr>
                        <w:top w:val="none" w:sz="0" w:space="0" w:color="auto"/>
                        <w:left w:val="none" w:sz="0" w:space="0" w:color="auto"/>
                        <w:bottom w:val="none" w:sz="0" w:space="0" w:color="auto"/>
                        <w:right w:val="none" w:sz="0" w:space="0" w:color="auto"/>
                      </w:divBdr>
                    </w:div>
                  </w:divsChild>
                </w:div>
                <w:div w:id="355084984">
                  <w:marLeft w:val="0"/>
                  <w:marRight w:val="0"/>
                  <w:marTop w:val="0"/>
                  <w:marBottom w:val="0"/>
                  <w:divBdr>
                    <w:top w:val="none" w:sz="0" w:space="0" w:color="auto"/>
                    <w:left w:val="none" w:sz="0" w:space="0" w:color="auto"/>
                    <w:bottom w:val="none" w:sz="0" w:space="0" w:color="auto"/>
                    <w:right w:val="none" w:sz="0" w:space="0" w:color="auto"/>
                  </w:divBdr>
                  <w:divsChild>
                    <w:div w:id="1843663333">
                      <w:marLeft w:val="0"/>
                      <w:marRight w:val="0"/>
                      <w:marTop w:val="0"/>
                      <w:marBottom w:val="0"/>
                      <w:divBdr>
                        <w:top w:val="none" w:sz="0" w:space="0" w:color="auto"/>
                        <w:left w:val="none" w:sz="0" w:space="0" w:color="auto"/>
                        <w:bottom w:val="none" w:sz="0" w:space="0" w:color="auto"/>
                        <w:right w:val="none" w:sz="0" w:space="0" w:color="auto"/>
                      </w:divBdr>
                    </w:div>
                  </w:divsChild>
                </w:div>
                <w:div w:id="880483675">
                  <w:marLeft w:val="0"/>
                  <w:marRight w:val="0"/>
                  <w:marTop w:val="0"/>
                  <w:marBottom w:val="0"/>
                  <w:divBdr>
                    <w:top w:val="none" w:sz="0" w:space="0" w:color="auto"/>
                    <w:left w:val="none" w:sz="0" w:space="0" w:color="auto"/>
                    <w:bottom w:val="none" w:sz="0" w:space="0" w:color="auto"/>
                    <w:right w:val="none" w:sz="0" w:space="0" w:color="auto"/>
                  </w:divBdr>
                  <w:divsChild>
                    <w:div w:id="1528986847">
                      <w:marLeft w:val="0"/>
                      <w:marRight w:val="0"/>
                      <w:marTop w:val="0"/>
                      <w:marBottom w:val="0"/>
                      <w:divBdr>
                        <w:top w:val="none" w:sz="0" w:space="0" w:color="auto"/>
                        <w:left w:val="none" w:sz="0" w:space="0" w:color="auto"/>
                        <w:bottom w:val="none" w:sz="0" w:space="0" w:color="auto"/>
                        <w:right w:val="none" w:sz="0" w:space="0" w:color="auto"/>
                      </w:divBdr>
                    </w:div>
                  </w:divsChild>
                </w:div>
                <w:div w:id="1912150987">
                  <w:marLeft w:val="0"/>
                  <w:marRight w:val="0"/>
                  <w:marTop w:val="0"/>
                  <w:marBottom w:val="0"/>
                  <w:divBdr>
                    <w:top w:val="none" w:sz="0" w:space="0" w:color="auto"/>
                    <w:left w:val="none" w:sz="0" w:space="0" w:color="auto"/>
                    <w:bottom w:val="none" w:sz="0" w:space="0" w:color="auto"/>
                    <w:right w:val="none" w:sz="0" w:space="0" w:color="auto"/>
                  </w:divBdr>
                  <w:divsChild>
                    <w:div w:id="1016615871">
                      <w:marLeft w:val="0"/>
                      <w:marRight w:val="0"/>
                      <w:marTop w:val="0"/>
                      <w:marBottom w:val="0"/>
                      <w:divBdr>
                        <w:top w:val="none" w:sz="0" w:space="0" w:color="auto"/>
                        <w:left w:val="none" w:sz="0" w:space="0" w:color="auto"/>
                        <w:bottom w:val="none" w:sz="0" w:space="0" w:color="auto"/>
                        <w:right w:val="none" w:sz="0" w:space="0" w:color="auto"/>
                      </w:divBdr>
                    </w:div>
                  </w:divsChild>
                </w:div>
                <w:div w:id="19209735">
                  <w:marLeft w:val="0"/>
                  <w:marRight w:val="0"/>
                  <w:marTop w:val="0"/>
                  <w:marBottom w:val="0"/>
                  <w:divBdr>
                    <w:top w:val="none" w:sz="0" w:space="0" w:color="auto"/>
                    <w:left w:val="none" w:sz="0" w:space="0" w:color="auto"/>
                    <w:bottom w:val="none" w:sz="0" w:space="0" w:color="auto"/>
                    <w:right w:val="none" w:sz="0" w:space="0" w:color="auto"/>
                  </w:divBdr>
                  <w:divsChild>
                    <w:div w:id="1286350857">
                      <w:marLeft w:val="0"/>
                      <w:marRight w:val="0"/>
                      <w:marTop w:val="0"/>
                      <w:marBottom w:val="0"/>
                      <w:divBdr>
                        <w:top w:val="none" w:sz="0" w:space="0" w:color="auto"/>
                        <w:left w:val="none" w:sz="0" w:space="0" w:color="auto"/>
                        <w:bottom w:val="none" w:sz="0" w:space="0" w:color="auto"/>
                        <w:right w:val="none" w:sz="0" w:space="0" w:color="auto"/>
                      </w:divBdr>
                    </w:div>
                  </w:divsChild>
                </w:div>
                <w:div w:id="2105609799">
                  <w:marLeft w:val="0"/>
                  <w:marRight w:val="0"/>
                  <w:marTop w:val="0"/>
                  <w:marBottom w:val="0"/>
                  <w:divBdr>
                    <w:top w:val="none" w:sz="0" w:space="0" w:color="auto"/>
                    <w:left w:val="none" w:sz="0" w:space="0" w:color="auto"/>
                    <w:bottom w:val="none" w:sz="0" w:space="0" w:color="auto"/>
                    <w:right w:val="none" w:sz="0" w:space="0" w:color="auto"/>
                  </w:divBdr>
                  <w:divsChild>
                    <w:div w:id="269747400">
                      <w:marLeft w:val="0"/>
                      <w:marRight w:val="0"/>
                      <w:marTop w:val="0"/>
                      <w:marBottom w:val="0"/>
                      <w:divBdr>
                        <w:top w:val="none" w:sz="0" w:space="0" w:color="auto"/>
                        <w:left w:val="none" w:sz="0" w:space="0" w:color="auto"/>
                        <w:bottom w:val="none" w:sz="0" w:space="0" w:color="auto"/>
                        <w:right w:val="none" w:sz="0" w:space="0" w:color="auto"/>
                      </w:divBdr>
                    </w:div>
                  </w:divsChild>
                </w:div>
                <w:div w:id="1604918150">
                  <w:marLeft w:val="0"/>
                  <w:marRight w:val="0"/>
                  <w:marTop w:val="0"/>
                  <w:marBottom w:val="0"/>
                  <w:divBdr>
                    <w:top w:val="none" w:sz="0" w:space="0" w:color="auto"/>
                    <w:left w:val="none" w:sz="0" w:space="0" w:color="auto"/>
                    <w:bottom w:val="none" w:sz="0" w:space="0" w:color="auto"/>
                    <w:right w:val="none" w:sz="0" w:space="0" w:color="auto"/>
                  </w:divBdr>
                  <w:divsChild>
                    <w:div w:id="988559026">
                      <w:marLeft w:val="0"/>
                      <w:marRight w:val="0"/>
                      <w:marTop w:val="0"/>
                      <w:marBottom w:val="0"/>
                      <w:divBdr>
                        <w:top w:val="none" w:sz="0" w:space="0" w:color="auto"/>
                        <w:left w:val="none" w:sz="0" w:space="0" w:color="auto"/>
                        <w:bottom w:val="none" w:sz="0" w:space="0" w:color="auto"/>
                        <w:right w:val="none" w:sz="0" w:space="0" w:color="auto"/>
                      </w:divBdr>
                    </w:div>
                  </w:divsChild>
                </w:div>
                <w:div w:id="237710068">
                  <w:marLeft w:val="0"/>
                  <w:marRight w:val="0"/>
                  <w:marTop w:val="0"/>
                  <w:marBottom w:val="0"/>
                  <w:divBdr>
                    <w:top w:val="none" w:sz="0" w:space="0" w:color="auto"/>
                    <w:left w:val="none" w:sz="0" w:space="0" w:color="auto"/>
                    <w:bottom w:val="none" w:sz="0" w:space="0" w:color="auto"/>
                    <w:right w:val="none" w:sz="0" w:space="0" w:color="auto"/>
                  </w:divBdr>
                  <w:divsChild>
                    <w:div w:id="1651519772">
                      <w:marLeft w:val="0"/>
                      <w:marRight w:val="0"/>
                      <w:marTop w:val="0"/>
                      <w:marBottom w:val="0"/>
                      <w:divBdr>
                        <w:top w:val="none" w:sz="0" w:space="0" w:color="auto"/>
                        <w:left w:val="none" w:sz="0" w:space="0" w:color="auto"/>
                        <w:bottom w:val="none" w:sz="0" w:space="0" w:color="auto"/>
                        <w:right w:val="none" w:sz="0" w:space="0" w:color="auto"/>
                      </w:divBdr>
                    </w:div>
                  </w:divsChild>
                </w:div>
                <w:div w:id="283537391">
                  <w:marLeft w:val="0"/>
                  <w:marRight w:val="0"/>
                  <w:marTop w:val="0"/>
                  <w:marBottom w:val="0"/>
                  <w:divBdr>
                    <w:top w:val="none" w:sz="0" w:space="0" w:color="auto"/>
                    <w:left w:val="none" w:sz="0" w:space="0" w:color="auto"/>
                    <w:bottom w:val="none" w:sz="0" w:space="0" w:color="auto"/>
                    <w:right w:val="none" w:sz="0" w:space="0" w:color="auto"/>
                  </w:divBdr>
                  <w:divsChild>
                    <w:div w:id="1461799498">
                      <w:marLeft w:val="0"/>
                      <w:marRight w:val="0"/>
                      <w:marTop w:val="0"/>
                      <w:marBottom w:val="0"/>
                      <w:divBdr>
                        <w:top w:val="none" w:sz="0" w:space="0" w:color="auto"/>
                        <w:left w:val="none" w:sz="0" w:space="0" w:color="auto"/>
                        <w:bottom w:val="none" w:sz="0" w:space="0" w:color="auto"/>
                        <w:right w:val="none" w:sz="0" w:space="0" w:color="auto"/>
                      </w:divBdr>
                    </w:div>
                  </w:divsChild>
                </w:div>
                <w:div w:id="1973439207">
                  <w:marLeft w:val="0"/>
                  <w:marRight w:val="0"/>
                  <w:marTop w:val="0"/>
                  <w:marBottom w:val="0"/>
                  <w:divBdr>
                    <w:top w:val="none" w:sz="0" w:space="0" w:color="auto"/>
                    <w:left w:val="none" w:sz="0" w:space="0" w:color="auto"/>
                    <w:bottom w:val="none" w:sz="0" w:space="0" w:color="auto"/>
                    <w:right w:val="none" w:sz="0" w:space="0" w:color="auto"/>
                  </w:divBdr>
                  <w:divsChild>
                    <w:div w:id="1287540104">
                      <w:marLeft w:val="0"/>
                      <w:marRight w:val="0"/>
                      <w:marTop w:val="0"/>
                      <w:marBottom w:val="0"/>
                      <w:divBdr>
                        <w:top w:val="none" w:sz="0" w:space="0" w:color="auto"/>
                        <w:left w:val="none" w:sz="0" w:space="0" w:color="auto"/>
                        <w:bottom w:val="none" w:sz="0" w:space="0" w:color="auto"/>
                        <w:right w:val="none" w:sz="0" w:space="0" w:color="auto"/>
                      </w:divBdr>
                    </w:div>
                  </w:divsChild>
                </w:div>
                <w:div w:id="1699506728">
                  <w:marLeft w:val="0"/>
                  <w:marRight w:val="0"/>
                  <w:marTop w:val="0"/>
                  <w:marBottom w:val="0"/>
                  <w:divBdr>
                    <w:top w:val="none" w:sz="0" w:space="0" w:color="auto"/>
                    <w:left w:val="none" w:sz="0" w:space="0" w:color="auto"/>
                    <w:bottom w:val="none" w:sz="0" w:space="0" w:color="auto"/>
                    <w:right w:val="none" w:sz="0" w:space="0" w:color="auto"/>
                  </w:divBdr>
                  <w:divsChild>
                    <w:div w:id="547574619">
                      <w:marLeft w:val="0"/>
                      <w:marRight w:val="0"/>
                      <w:marTop w:val="0"/>
                      <w:marBottom w:val="0"/>
                      <w:divBdr>
                        <w:top w:val="none" w:sz="0" w:space="0" w:color="auto"/>
                        <w:left w:val="none" w:sz="0" w:space="0" w:color="auto"/>
                        <w:bottom w:val="none" w:sz="0" w:space="0" w:color="auto"/>
                        <w:right w:val="none" w:sz="0" w:space="0" w:color="auto"/>
                      </w:divBdr>
                    </w:div>
                  </w:divsChild>
                </w:div>
                <w:div w:id="1834026429">
                  <w:marLeft w:val="0"/>
                  <w:marRight w:val="0"/>
                  <w:marTop w:val="0"/>
                  <w:marBottom w:val="0"/>
                  <w:divBdr>
                    <w:top w:val="none" w:sz="0" w:space="0" w:color="auto"/>
                    <w:left w:val="none" w:sz="0" w:space="0" w:color="auto"/>
                    <w:bottom w:val="none" w:sz="0" w:space="0" w:color="auto"/>
                    <w:right w:val="none" w:sz="0" w:space="0" w:color="auto"/>
                  </w:divBdr>
                  <w:divsChild>
                    <w:div w:id="870264384">
                      <w:marLeft w:val="0"/>
                      <w:marRight w:val="0"/>
                      <w:marTop w:val="0"/>
                      <w:marBottom w:val="0"/>
                      <w:divBdr>
                        <w:top w:val="none" w:sz="0" w:space="0" w:color="auto"/>
                        <w:left w:val="none" w:sz="0" w:space="0" w:color="auto"/>
                        <w:bottom w:val="none" w:sz="0" w:space="0" w:color="auto"/>
                        <w:right w:val="none" w:sz="0" w:space="0" w:color="auto"/>
                      </w:divBdr>
                    </w:div>
                  </w:divsChild>
                </w:div>
                <w:div w:id="410012007">
                  <w:marLeft w:val="0"/>
                  <w:marRight w:val="0"/>
                  <w:marTop w:val="0"/>
                  <w:marBottom w:val="0"/>
                  <w:divBdr>
                    <w:top w:val="none" w:sz="0" w:space="0" w:color="auto"/>
                    <w:left w:val="none" w:sz="0" w:space="0" w:color="auto"/>
                    <w:bottom w:val="none" w:sz="0" w:space="0" w:color="auto"/>
                    <w:right w:val="none" w:sz="0" w:space="0" w:color="auto"/>
                  </w:divBdr>
                  <w:divsChild>
                    <w:div w:id="636103700">
                      <w:marLeft w:val="0"/>
                      <w:marRight w:val="0"/>
                      <w:marTop w:val="0"/>
                      <w:marBottom w:val="0"/>
                      <w:divBdr>
                        <w:top w:val="none" w:sz="0" w:space="0" w:color="auto"/>
                        <w:left w:val="none" w:sz="0" w:space="0" w:color="auto"/>
                        <w:bottom w:val="none" w:sz="0" w:space="0" w:color="auto"/>
                        <w:right w:val="none" w:sz="0" w:space="0" w:color="auto"/>
                      </w:divBdr>
                    </w:div>
                  </w:divsChild>
                </w:div>
                <w:div w:id="1658878489">
                  <w:marLeft w:val="0"/>
                  <w:marRight w:val="0"/>
                  <w:marTop w:val="0"/>
                  <w:marBottom w:val="0"/>
                  <w:divBdr>
                    <w:top w:val="none" w:sz="0" w:space="0" w:color="auto"/>
                    <w:left w:val="none" w:sz="0" w:space="0" w:color="auto"/>
                    <w:bottom w:val="none" w:sz="0" w:space="0" w:color="auto"/>
                    <w:right w:val="none" w:sz="0" w:space="0" w:color="auto"/>
                  </w:divBdr>
                  <w:divsChild>
                    <w:div w:id="2145000272">
                      <w:marLeft w:val="0"/>
                      <w:marRight w:val="0"/>
                      <w:marTop w:val="0"/>
                      <w:marBottom w:val="0"/>
                      <w:divBdr>
                        <w:top w:val="none" w:sz="0" w:space="0" w:color="auto"/>
                        <w:left w:val="none" w:sz="0" w:space="0" w:color="auto"/>
                        <w:bottom w:val="none" w:sz="0" w:space="0" w:color="auto"/>
                        <w:right w:val="none" w:sz="0" w:space="0" w:color="auto"/>
                      </w:divBdr>
                    </w:div>
                  </w:divsChild>
                </w:div>
                <w:div w:id="335041884">
                  <w:marLeft w:val="0"/>
                  <w:marRight w:val="0"/>
                  <w:marTop w:val="0"/>
                  <w:marBottom w:val="0"/>
                  <w:divBdr>
                    <w:top w:val="none" w:sz="0" w:space="0" w:color="auto"/>
                    <w:left w:val="none" w:sz="0" w:space="0" w:color="auto"/>
                    <w:bottom w:val="none" w:sz="0" w:space="0" w:color="auto"/>
                    <w:right w:val="none" w:sz="0" w:space="0" w:color="auto"/>
                  </w:divBdr>
                  <w:divsChild>
                    <w:div w:id="1057633331">
                      <w:marLeft w:val="0"/>
                      <w:marRight w:val="0"/>
                      <w:marTop w:val="0"/>
                      <w:marBottom w:val="0"/>
                      <w:divBdr>
                        <w:top w:val="none" w:sz="0" w:space="0" w:color="auto"/>
                        <w:left w:val="none" w:sz="0" w:space="0" w:color="auto"/>
                        <w:bottom w:val="none" w:sz="0" w:space="0" w:color="auto"/>
                        <w:right w:val="none" w:sz="0" w:space="0" w:color="auto"/>
                      </w:divBdr>
                    </w:div>
                  </w:divsChild>
                </w:div>
                <w:div w:id="358052415">
                  <w:marLeft w:val="0"/>
                  <w:marRight w:val="0"/>
                  <w:marTop w:val="0"/>
                  <w:marBottom w:val="0"/>
                  <w:divBdr>
                    <w:top w:val="none" w:sz="0" w:space="0" w:color="auto"/>
                    <w:left w:val="none" w:sz="0" w:space="0" w:color="auto"/>
                    <w:bottom w:val="none" w:sz="0" w:space="0" w:color="auto"/>
                    <w:right w:val="none" w:sz="0" w:space="0" w:color="auto"/>
                  </w:divBdr>
                  <w:divsChild>
                    <w:div w:id="1301225378">
                      <w:marLeft w:val="0"/>
                      <w:marRight w:val="0"/>
                      <w:marTop w:val="0"/>
                      <w:marBottom w:val="0"/>
                      <w:divBdr>
                        <w:top w:val="none" w:sz="0" w:space="0" w:color="auto"/>
                        <w:left w:val="none" w:sz="0" w:space="0" w:color="auto"/>
                        <w:bottom w:val="none" w:sz="0" w:space="0" w:color="auto"/>
                        <w:right w:val="none" w:sz="0" w:space="0" w:color="auto"/>
                      </w:divBdr>
                    </w:div>
                  </w:divsChild>
                </w:div>
                <w:div w:id="1666780742">
                  <w:marLeft w:val="0"/>
                  <w:marRight w:val="0"/>
                  <w:marTop w:val="0"/>
                  <w:marBottom w:val="0"/>
                  <w:divBdr>
                    <w:top w:val="none" w:sz="0" w:space="0" w:color="auto"/>
                    <w:left w:val="none" w:sz="0" w:space="0" w:color="auto"/>
                    <w:bottom w:val="none" w:sz="0" w:space="0" w:color="auto"/>
                    <w:right w:val="none" w:sz="0" w:space="0" w:color="auto"/>
                  </w:divBdr>
                  <w:divsChild>
                    <w:div w:id="376246716">
                      <w:marLeft w:val="0"/>
                      <w:marRight w:val="0"/>
                      <w:marTop w:val="0"/>
                      <w:marBottom w:val="0"/>
                      <w:divBdr>
                        <w:top w:val="none" w:sz="0" w:space="0" w:color="auto"/>
                        <w:left w:val="none" w:sz="0" w:space="0" w:color="auto"/>
                        <w:bottom w:val="none" w:sz="0" w:space="0" w:color="auto"/>
                        <w:right w:val="none" w:sz="0" w:space="0" w:color="auto"/>
                      </w:divBdr>
                    </w:div>
                  </w:divsChild>
                </w:div>
                <w:div w:id="1012143393">
                  <w:marLeft w:val="0"/>
                  <w:marRight w:val="0"/>
                  <w:marTop w:val="0"/>
                  <w:marBottom w:val="0"/>
                  <w:divBdr>
                    <w:top w:val="none" w:sz="0" w:space="0" w:color="auto"/>
                    <w:left w:val="none" w:sz="0" w:space="0" w:color="auto"/>
                    <w:bottom w:val="none" w:sz="0" w:space="0" w:color="auto"/>
                    <w:right w:val="none" w:sz="0" w:space="0" w:color="auto"/>
                  </w:divBdr>
                  <w:divsChild>
                    <w:div w:id="499733681">
                      <w:marLeft w:val="0"/>
                      <w:marRight w:val="0"/>
                      <w:marTop w:val="0"/>
                      <w:marBottom w:val="0"/>
                      <w:divBdr>
                        <w:top w:val="none" w:sz="0" w:space="0" w:color="auto"/>
                        <w:left w:val="none" w:sz="0" w:space="0" w:color="auto"/>
                        <w:bottom w:val="none" w:sz="0" w:space="0" w:color="auto"/>
                        <w:right w:val="none" w:sz="0" w:space="0" w:color="auto"/>
                      </w:divBdr>
                    </w:div>
                  </w:divsChild>
                </w:div>
                <w:div w:id="192768929">
                  <w:marLeft w:val="0"/>
                  <w:marRight w:val="0"/>
                  <w:marTop w:val="0"/>
                  <w:marBottom w:val="0"/>
                  <w:divBdr>
                    <w:top w:val="none" w:sz="0" w:space="0" w:color="auto"/>
                    <w:left w:val="none" w:sz="0" w:space="0" w:color="auto"/>
                    <w:bottom w:val="none" w:sz="0" w:space="0" w:color="auto"/>
                    <w:right w:val="none" w:sz="0" w:space="0" w:color="auto"/>
                  </w:divBdr>
                  <w:divsChild>
                    <w:div w:id="690910016">
                      <w:marLeft w:val="0"/>
                      <w:marRight w:val="0"/>
                      <w:marTop w:val="0"/>
                      <w:marBottom w:val="0"/>
                      <w:divBdr>
                        <w:top w:val="none" w:sz="0" w:space="0" w:color="auto"/>
                        <w:left w:val="none" w:sz="0" w:space="0" w:color="auto"/>
                        <w:bottom w:val="none" w:sz="0" w:space="0" w:color="auto"/>
                        <w:right w:val="none" w:sz="0" w:space="0" w:color="auto"/>
                      </w:divBdr>
                    </w:div>
                  </w:divsChild>
                </w:div>
                <w:div w:id="322396070">
                  <w:marLeft w:val="0"/>
                  <w:marRight w:val="0"/>
                  <w:marTop w:val="0"/>
                  <w:marBottom w:val="0"/>
                  <w:divBdr>
                    <w:top w:val="none" w:sz="0" w:space="0" w:color="auto"/>
                    <w:left w:val="none" w:sz="0" w:space="0" w:color="auto"/>
                    <w:bottom w:val="none" w:sz="0" w:space="0" w:color="auto"/>
                    <w:right w:val="none" w:sz="0" w:space="0" w:color="auto"/>
                  </w:divBdr>
                  <w:divsChild>
                    <w:div w:id="771435687">
                      <w:marLeft w:val="0"/>
                      <w:marRight w:val="0"/>
                      <w:marTop w:val="0"/>
                      <w:marBottom w:val="0"/>
                      <w:divBdr>
                        <w:top w:val="none" w:sz="0" w:space="0" w:color="auto"/>
                        <w:left w:val="none" w:sz="0" w:space="0" w:color="auto"/>
                        <w:bottom w:val="none" w:sz="0" w:space="0" w:color="auto"/>
                        <w:right w:val="none" w:sz="0" w:space="0" w:color="auto"/>
                      </w:divBdr>
                    </w:div>
                  </w:divsChild>
                </w:div>
                <w:div w:id="637539425">
                  <w:marLeft w:val="0"/>
                  <w:marRight w:val="0"/>
                  <w:marTop w:val="0"/>
                  <w:marBottom w:val="0"/>
                  <w:divBdr>
                    <w:top w:val="none" w:sz="0" w:space="0" w:color="auto"/>
                    <w:left w:val="none" w:sz="0" w:space="0" w:color="auto"/>
                    <w:bottom w:val="none" w:sz="0" w:space="0" w:color="auto"/>
                    <w:right w:val="none" w:sz="0" w:space="0" w:color="auto"/>
                  </w:divBdr>
                  <w:divsChild>
                    <w:div w:id="304939199">
                      <w:marLeft w:val="0"/>
                      <w:marRight w:val="0"/>
                      <w:marTop w:val="0"/>
                      <w:marBottom w:val="0"/>
                      <w:divBdr>
                        <w:top w:val="none" w:sz="0" w:space="0" w:color="auto"/>
                        <w:left w:val="none" w:sz="0" w:space="0" w:color="auto"/>
                        <w:bottom w:val="none" w:sz="0" w:space="0" w:color="auto"/>
                        <w:right w:val="none" w:sz="0" w:space="0" w:color="auto"/>
                      </w:divBdr>
                    </w:div>
                  </w:divsChild>
                </w:div>
                <w:div w:id="182714668">
                  <w:marLeft w:val="0"/>
                  <w:marRight w:val="0"/>
                  <w:marTop w:val="0"/>
                  <w:marBottom w:val="0"/>
                  <w:divBdr>
                    <w:top w:val="none" w:sz="0" w:space="0" w:color="auto"/>
                    <w:left w:val="none" w:sz="0" w:space="0" w:color="auto"/>
                    <w:bottom w:val="none" w:sz="0" w:space="0" w:color="auto"/>
                    <w:right w:val="none" w:sz="0" w:space="0" w:color="auto"/>
                  </w:divBdr>
                  <w:divsChild>
                    <w:div w:id="1554001643">
                      <w:marLeft w:val="0"/>
                      <w:marRight w:val="0"/>
                      <w:marTop w:val="0"/>
                      <w:marBottom w:val="0"/>
                      <w:divBdr>
                        <w:top w:val="none" w:sz="0" w:space="0" w:color="auto"/>
                        <w:left w:val="none" w:sz="0" w:space="0" w:color="auto"/>
                        <w:bottom w:val="none" w:sz="0" w:space="0" w:color="auto"/>
                        <w:right w:val="none" w:sz="0" w:space="0" w:color="auto"/>
                      </w:divBdr>
                    </w:div>
                  </w:divsChild>
                </w:div>
                <w:div w:id="94179402">
                  <w:marLeft w:val="0"/>
                  <w:marRight w:val="0"/>
                  <w:marTop w:val="0"/>
                  <w:marBottom w:val="0"/>
                  <w:divBdr>
                    <w:top w:val="none" w:sz="0" w:space="0" w:color="auto"/>
                    <w:left w:val="none" w:sz="0" w:space="0" w:color="auto"/>
                    <w:bottom w:val="none" w:sz="0" w:space="0" w:color="auto"/>
                    <w:right w:val="none" w:sz="0" w:space="0" w:color="auto"/>
                  </w:divBdr>
                  <w:divsChild>
                    <w:div w:id="1786383124">
                      <w:marLeft w:val="0"/>
                      <w:marRight w:val="0"/>
                      <w:marTop w:val="0"/>
                      <w:marBottom w:val="0"/>
                      <w:divBdr>
                        <w:top w:val="none" w:sz="0" w:space="0" w:color="auto"/>
                        <w:left w:val="none" w:sz="0" w:space="0" w:color="auto"/>
                        <w:bottom w:val="none" w:sz="0" w:space="0" w:color="auto"/>
                        <w:right w:val="none" w:sz="0" w:space="0" w:color="auto"/>
                      </w:divBdr>
                    </w:div>
                  </w:divsChild>
                </w:div>
                <w:div w:id="628170551">
                  <w:marLeft w:val="0"/>
                  <w:marRight w:val="0"/>
                  <w:marTop w:val="0"/>
                  <w:marBottom w:val="0"/>
                  <w:divBdr>
                    <w:top w:val="none" w:sz="0" w:space="0" w:color="auto"/>
                    <w:left w:val="none" w:sz="0" w:space="0" w:color="auto"/>
                    <w:bottom w:val="none" w:sz="0" w:space="0" w:color="auto"/>
                    <w:right w:val="none" w:sz="0" w:space="0" w:color="auto"/>
                  </w:divBdr>
                  <w:divsChild>
                    <w:div w:id="12730547">
                      <w:marLeft w:val="0"/>
                      <w:marRight w:val="0"/>
                      <w:marTop w:val="0"/>
                      <w:marBottom w:val="0"/>
                      <w:divBdr>
                        <w:top w:val="none" w:sz="0" w:space="0" w:color="auto"/>
                        <w:left w:val="none" w:sz="0" w:space="0" w:color="auto"/>
                        <w:bottom w:val="none" w:sz="0" w:space="0" w:color="auto"/>
                        <w:right w:val="none" w:sz="0" w:space="0" w:color="auto"/>
                      </w:divBdr>
                    </w:div>
                  </w:divsChild>
                </w:div>
                <w:div w:id="257255673">
                  <w:marLeft w:val="0"/>
                  <w:marRight w:val="0"/>
                  <w:marTop w:val="0"/>
                  <w:marBottom w:val="0"/>
                  <w:divBdr>
                    <w:top w:val="none" w:sz="0" w:space="0" w:color="auto"/>
                    <w:left w:val="none" w:sz="0" w:space="0" w:color="auto"/>
                    <w:bottom w:val="none" w:sz="0" w:space="0" w:color="auto"/>
                    <w:right w:val="none" w:sz="0" w:space="0" w:color="auto"/>
                  </w:divBdr>
                  <w:divsChild>
                    <w:div w:id="121848433">
                      <w:marLeft w:val="0"/>
                      <w:marRight w:val="0"/>
                      <w:marTop w:val="0"/>
                      <w:marBottom w:val="0"/>
                      <w:divBdr>
                        <w:top w:val="none" w:sz="0" w:space="0" w:color="auto"/>
                        <w:left w:val="none" w:sz="0" w:space="0" w:color="auto"/>
                        <w:bottom w:val="none" w:sz="0" w:space="0" w:color="auto"/>
                        <w:right w:val="none" w:sz="0" w:space="0" w:color="auto"/>
                      </w:divBdr>
                    </w:div>
                  </w:divsChild>
                </w:div>
                <w:div w:id="627930930">
                  <w:marLeft w:val="0"/>
                  <w:marRight w:val="0"/>
                  <w:marTop w:val="0"/>
                  <w:marBottom w:val="0"/>
                  <w:divBdr>
                    <w:top w:val="none" w:sz="0" w:space="0" w:color="auto"/>
                    <w:left w:val="none" w:sz="0" w:space="0" w:color="auto"/>
                    <w:bottom w:val="none" w:sz="0" w:space="0" w:color="auto"/>
                    <w:right w:val="none" w:sz="0" w:space="0" w:color="auto"/>
                  </w:divBdr>
                  <w:divsChild>
                    <w:div w:id="960456275">
                      <w:marLeft w:val="0"/>
                      <w:marRight w:val="0"/>
                      <w:marTop w:val="0"/>
                      <w:marBottom w:val="0"/>
                      <w:divBdr>
                        <w:top w:val="none" w:sz="0" w:space="0" w:color="auto"/>
                        <w:left w:val="none" w:sz="0" w:space="0" w:color="auto"/>
                        <w:bottom w:val="none" w:sz="0" w:space="0" w:color="auto"/>
                        <w:right w:val="none" w:sz="0" w:space="0" w:color="auto"/>
                      </w:divBdr>
                    </w:div>
                  </w:divsChild>
                </w:div>
                <w:div w:id="126626481">
                  <w:marLeft w:val="0"/>
                  <w:marRight w:val="0"/>
                  <w:marTop w:val="0"/>
                  <w:marBottom w:val="0"/>
                  <w:divBdr>
                    <w:top w:val="none" w:sz="0" w:space="0" w:color="auto"/>
                    <w:left w:val="none" w:sz="0" w:space="0" w:color="auto"/>
                    <w:bottom w:val="none" w:sz="0" w:space="0" w:color="auto"/>
                    <w:right w:val="none" w:sz="0" w:space="0" w:color="auto"/>
                  </w:divBdr>
                  <w:divsChild>
                    <w:div w:id="1817649505">
                      <w:marLeft w:val="0"/>
                      <w:marRight w:val="0"/>
                      <w:marTop w:val="0"/>
                      <w:marBottom w:val="0"/>
                      <w:divBdr>
                        <w:top w:val="none" w:sz="0" w:space="0" w:color="auto"/>
                        <w:left w:val="none" w:sz="0" w:space="0" w:color="auto"/>
                        <w:bottom w:val="none" w:sz="0" w:space="0" w:color="auto"/>
                        <w:right w:val="none" w:sz="0" w:space="0" w:color="auto"/>
                      </w:divBdr>
                    </w:div>
                  </w:divsChild>
                </w:div>
                <w:div w:id="864095431">
                  <w:marLeft w:val="0"/>
                  <w:marRight w:val="0"/>
                  <w:marTop w:val="0"/>
                  <w:marBottom w:val="0"/>
                  <w:divBdr>
                    <w:top w:val="none" w:sz="0" w:space="0" w:color="auto"/>
                    <w:left w:val="none" w:sz="0" w:space="0" w:color="auto"/>
                    <w:bottom w:val="none" w:sz="0" w:space="0" w:color="auto"/>
                    <w:right w:val="none" w:sz="0" w:space="0" w:color="auto"/>
                  </w:divBdr>
                  <w:divsChild>
                    <w:div w:id="1333413357">
                      <w:marLeft w:val="0"/>
                      <w:marRight w:val="0"/>
                      <w:marTop w:val="0"/>
                      <w:marBottom w:val="0"/>
                      <w:divBdr>
                        <w:top w:val="none" w:sz="0" w:space="0" w:color="auto"/>
                        <w:left w:val="none" w:sz="0" w:space="0" w:color="auto"/>
                        <w:bottom w:val="none" w:sz="0" w:space="0" w:color="auto"/>
                        <w:right w:val="none" w:sz="0" w:space="0" w:color="auto"/>
                      </w:divBdr>
                    </w:div>
                  </w:divsChild>
                </w:div>
                <w:div w:id="865098519">
                  <w:marLeft w:val="0"/>
                  <w:marRight w:val="0"/>
                  <w:marTop w:val="0"/>
                  <w:marBottom w:val="0"/>
                  <w:divBdr>
                    <w:top w:val="none" w:sz="0" w:space="0" w:color="auto"/>
                    <w:left w:val="none" w:sz="0" w:space="0" w:color="auto"/>
                    <w:bottom w:val="none" w:sz="0" w:space="0" w:color="auto"/>
                    <w:right w:val="none" w:sz="0" w:space="0" w:color="auto"/>
                  </w:divBdr>
                  <w:divsChild>
                    <w:div w:id="908230573">
                      <w:marLeft w:val="0"/>
                      <w:marRight w:val="0"/>
                      <w:marTop w:val="0"/>
                      <w:marBottom w:val="0"/>
                      <w:divBdr>
                        <w:top w:val="none" w:sz="0" w:space="0" w:color="auto"/>
                        <w:left w:val="none" w:sz="0" w:space="0" w:color="auto"/>
                        <w:bottom w:val="none" w:sz="0" w:space="0" w:color="auto"/>
                        <w:right w:val="none" w:sz="0" w:space="0" w:color="auto"/>
                      </w:divBdr>
                    </w:div>
                  </w:divsChild>
                </w:div>
                <w:div w:id="1998803884">
                  <w:marLeft w:val="0"/>
                  <w:marRight w:val="0"/>
                  <w:marTop w:val="0"/>
                  <w:marBottom w:val="0"/>
                  <w:divBdr>
                    <w:top w:val="none" w:sz="0" w:space="0" w:color="auto"/>
                    <w:left w:val="none" w:sz="0" w:space="0" w:color="auto"/>
                    <w:bottom w:val="none" w:sz="0" w:space="0" w:color="auto"/>
                    <w:right w:val="none" w:sz="0" w:space="0" w:color="auto"/>
                  </w:divBdr>
                  <w:divsChild>
                    <w:div w:id="929047244">
                      <w:marLeft w:val="0"/>
                      <w:marRight w:val="0"/>
                      <w:marTop w:val="0"/>
                      <w:marBottom w:val="0"/>
                      <w:divBdr>
                        <w:top w:val="none" w:sz="0" w:space="0" w:color="auto"/>
                        <w:left w:val="none" w:sz="0" w:space="0" w:color="auto"/>
                        <w:bottom w:val="none" w:sz="0" w:space="0" w:color="auto"/>
                        <w:right w:val="none" w:sz="0" w:space="0" w:color="auto"/>
                      </w:divBdr>
                    </w:div>
                  </w:divsChild>
                </w:div>
                <w:div w:id="1425300072">
                  <w:marLeft w:val="0"/>
                  <w:marRight w:val="0"/>
                  <w:marTop w:val="0"/>
                  <w:marBottom w:val="0"/>
                  <w:divBdr>
                    <w:top w:val="none" w:sz="0" w:space="0" w:color="auto"/>
                    <w:left w:val="none" w:sz="0" w:space="0" w:color="auto"/>
                    <w:bottom w:val="none" w:sz="0" w:space="0" w:color="auto"/>
                    <w:right w:val="none" w:sz="0" w:space="0" w:color="auto"/>
                  </w:divBdr>
                  <w:divsChild>
                    <w:div w:id="2091390469">
                      <w:marLeft w:val="0"/>
                      <w:marRight w:val="0"/>
                      <w:marTop w:val="0"/>
                      <w:marBottom w:val="0"/>
                      <w:divBdr>
                        <w:top w:val="none" w:sz="0" w:space="0" w:color="auto"/>
                        <w:left w:val="none" w:sz="0" w:space="0" w:color="auto"/>
                        <w:bottom w:val="none" w:sz="0" w:space="0" w:color="auto"/>
                        <w:right w:val="none" w:sz="0" w:space="0" w:color="auto"/>
                      </w:divBdr>
                    </w:div>
                  </w:divsChild>
                </w:div>
                <w:div w:id="1146163613">
                  <w:marLeft w:val="0"/>
                  <w:marRight w:val="0"/>
                  <w:marTop w:val="0"/>
                  <w:marBottom w:val="0"/>
                  <w:divBdr>
                    <w:top w:val="none" w:sz="0" w:space="0" w:color="auto"/>
                    <w:left w:val="none" w:sz="0" w:space="0" w:color="auto"/>
                    <w:bottom w:val="none" w:sz="0" w:space="0" w:color="auto"/>
                    <w:right w:val="none" w:sz="0" w:space="0" w:color="auto"/>
                  </w:divBdr>
                  <w:divsChild>
                    <w:div w:id="1747145048">
                      <w:marLeft w:val="0"/>
                      <w:marRight w:val="0"/>
                      <w:marTop w:val="0"/>
                      <w:marBottom w:val="0"/>
                      <w:divBdr>
                        <w:top w:val="none" w:sz="0" w:space="0" w:color="auto"/>
                        <w:left w:val="none" w:sz="0" w:space="0" w:color="auto"/>
                        <w:bottom w:val="none" w:sz="0" w:space="0" w:color="auto"/>
                        <w:right w:val="none" w:sz="0" w:space="0" w:color="auto"/>
                      </w:divBdr>
                    </w:div>
                  </w:divsChild>
                </w:div>
                <w:div w:id="653219365">
                  <w:marLeft w:val="0"/>
                  <w:marRight w:val="0"/>
                  <w:marTop w:val="0"/>
                  <w:marBottom w:val="0"/>
                  <w:divBdr>
                    <w:top w:val="none" w:sz="0" w:space="0" w:color="auto"/>
                    <w:left w:val="none" w:sz="0" w:space="0" w:color="auto"/>
                    <w:bottom w:val="none" w:sz="0" w:space="0" w:color="auto"/>
                    <w:right w:val="none" w:sz="0" w:space="0" w:color="auto"/>
                  </w:divBdr>
                  <w:divsChild>
                    <w:div w:id="862671902">
                      <w:marLeft w:val="0"/>
                      <w:marRight w:val="0"/>
                      <w:marTop w:val="0"/>
                      <w:marBottom w:val="0"/>
                      <w:divBdr>
                        <w:top w:val="none" w:sz="0" w:space="0" w:color="auto"/>
                        <w:left w:val="none" w:sz="0" w:space="0" w:color="auto"/>
                        <w:bottom w:val="none" w:sz="0" w:space="0" w:color="auto"/>
                        <w:right w:val="none" w:sz="0" w:space="0" w:color="auto"/>
                      </w:divBdr>
                    </w:div>
                  </w:divsChild>
                </w:div>
                <w:div w:id="2024429556">
                  <w:marLeft w:val="0"/>
                  <w:marRight w:val="0"/>
                  <w:marTop w:val="0"/>
                  <w:marBottom w:val="0"/>
                  <w:divBdr>
                    <w:top w:val="none" w:sz="0" w:space="0" w:color="auto"/>
                    <w:left w:val="none" w:sz="0" w:space="0" w:color="auto"/>
                    <w:bottom w:val="none" w:sz="0" w:space="0" w:color="auto"/>
                    <w:right w:val="none" w:sz="0" w:space="0" w:color="auto"/>
                  </w:divBdr>
                  <w:divsChild>
                    <w:div w:id="2041005814">
                      <w:marLeft w:val="0"/>
                      <w:marRight w:val="0"/>
                      <w:marTop w:val="0"/>
                      <w:marBottom w:val="0"/>
                      <w:divBdr>
                        <w:top w:val="none" w:sz="0" w:space="0" w:color="auto"/>
                        <w:left w:val="none" w:sz="0" w:space="0" w:color="auto"/>
                        <w:bottom w:val="none" w:sz="0" w:space="0" w:color="auto"/>
                        <w:right w:val="none" w:sz="0" w:space="0" w:color="auto"/>
                      </w:divBdr>
                    </w:div>
                  </w:divsChild>
                </w:div>
                <w:div w:id="1532105535">
                  <w:marLeft w:val="0"/>
                  <w:marRight w:val="0"/>
                  <w:marTop w:val="0"/>
                  <w:marBottom w:val="0"/>
                  <w:divBdr>
                    <w:top w:val="none" w:sz="0" w:space="0" w:color="auto"/>
                    <w:left w:val="none" w:sz="0" w:space="0" w:color="auto"/>
                    <w:bottom w:val="none" w:sz="0" w:space="0" w:color="auto"/>
                    <w:right w:val="none" w:sz="0" w:space="0" w:color="auto"/>
                  </w:divBdr>
                  <w:divsChild>
                    <w:div w:id="1216623315">
                      <w:marLeft w:val="0"/>
                      <w:marRight w:val="0"/>
                      <w:marTop w:val="0"/>
                      <w:marBottom w:val="0"/>
                      <w:divBdr>
                        <w:top w:val="none" w:sz="0" w:space="0" w:color="auto"/>
                        <w:left w:val="none" w:sz="0" w:space="0" w:color="auto"/>
                        <w:bottom w:val="none" w:sz="0" w:space="0" w:color="auto"/>
                        <w:right w:val="none" w:sz="0" w:space="0" w:color="auto"/>
                      </w:divBdr>
                    </w:div>
                  </w:divsChild>
                </w:div>
                <w:div w:id="1749571570">
                  <w:marLeft w:val="0"/>
                  <w:marRight w:val="0"/>
                  <w:marTop w:val="0"/>
                  <w:marBottom w:val="0"/>
                  <w:divBdr>
                    <w:top w:val="none" w:sz="0" w:space="0" w:color="auto"/>
                    <w:left w:val="none" w:sz="0" w:space="0" w:color="auto"/>
                    <w:bottom w:val="none" w:sz="0" w:space="0" w:color="auto"/>
                    <w:right w:val="none" w:sz="0" w:space="0" w:color="auto"/>
                  </w:divBdr>
                  <w:divsChild>
                    <w:div w:id="1886983953">
                      <w:marLeft w:val="0"/>
                      <w:marRight w:val="0"/>
                      <w:marTop w:val="0"/>
                      <w:marBottom w:val="0"/>
                      <w:divBdr>
                        <w:top w:val="none" w:sz="0" w:space="0" w:color="auto"/>
                        <w:left w:val="none" w:sz="0" w:space="0" w:color="auto"/>
                        <w:bottom w:val="none" w:sz="0" w:space="0" w:color="auto"/>
                        <w:right w:val="none" w:sz="0" w:space="0" w:color="auto"/>
                      </w:divBdr>
                    </w:div>
                  </w:divsChild>
                </w:div>
                <w:div w:id="1681663589">
                  <w:marLeft w:val="0"/>
                  <w:marRight w:val="0"/>
                  <w:marTop w:val="0"/>
                  <w:marBottom w:val="0"/>
                  <w:divBdr>
                    <w:top w:val="none" w:sz="0" w:space="0" w:color="auto"/>
                    <w:left w:val="none" w:sz="0" w:space="0" w:color="auto"/>
                    <w:bottom w:val="none" w:sz="0" w:space="0" w:color="auto"/>
                    <w:right w:val="none" w:sz="0" w:space="0" w:color="auto"/>
                  </w:divBdr>
                  <w:divsChild>
                    <w:div w:id="1885871208">
                      <w:marLeft w:val="0"/>
                      <w:marRight w:val="0"/>
                      <w:marTop w:val="0"/>
                      <w:marBottom w:val="0"/>
                      <w:divBdr>
                        <w:top w:val="none" w:sz="0" w:space="0" w:color="auto"/>
                        <w:left w:val="none" w:sz="0" w:space="0" w:color="auto"/>
                        <w:bottom w:val="none" w:sz="0" w:space="0" w:color="auto"/>
                        <w:right w:val="none" w:sz="0" w:space="0" w:color="auto"/>
                      </w:divBdr>
                    </w:div>
                  </w:divsChild>
                </w:div>
                <w:div w:id="1022629063">
                  <w:marLeft w:val="0"/>
                  <w:marRight w:val="0"/>
                  <w:marTop w:val="0"/>
                  <w:marBottom w:val="0"/>
                  <w:divBdr>
                    <w:top w:val="none" w:sz="0" w:space="0" w:color="auto"/>
                    <w:left w:val="none" w:sz="0" w:space="0" w:color="auto"/>
                    <w:bottom w:val="none" w:sz="0" w:space="0" w:color="auto"/>
                    <w:right w:val="none" w:sz="0" w:space="0" w:color="auto"/>
                  </w:divBdr>
                  <w:divsChild>
                    <w:div w:id="44261468">
                      <w:marLeft w:val="0"/>
                      <w:marRight w:val="0"/>
                      <w:marTop w:val="0"/>
                      <w:marBottom w:val="0"/>
                      <w:divBdr>
                        <w:top w:val="none" w:sz="0" w:space="0" w:color="auto"/>
                        <w:left w:val="none" w:sz="0" w:space="0" w:color="auto"/>
                        <w:bottom w:val="none" w:sz="0" w:space="0" w:color="auto"/>
                        <w:right w:val="none" w:sz="0" w:space="0" w:color="auto"/>
                      </w:divBdr>
                    </w:div>
                  </w:divsChild>
                </w:div>
                <w:div w:id="1376738601">
                  <w:marLeft w:val="0"/>
                  <w:marRight w:val="0"/>
                  <w:marTop w:val="0"/>
                  <w:marBottom w:val="0"/>
                  <w:divBdr>
                    <w:top w:val="none" w:sz="0" w:space="0" w:color="auto"/>
                    <w:left w:val="none" w:sz="0" w:space="0" w:color="auto"/>
                    <w:bottom w:val="none" w:sz="0" w:space="0" w:color="auto"/>
                    <w:right w:val="none" w:sz="0" w:space="0" w:color="auto"/>
                  </w:divBdr>
                  <w:divsChild>
                    <w:div w:id="786049743">
                      <w:marLeft w:val="0"/>
                      <w:marRight w:val="0"/>
                      <w:marTop w:val="0"/>
                      <w:marBottom w:val="0"/>
                      <w:divBdr>
                        <w:top w:val="none" w:sz="0" w:space="0" w:color="auto"/>
                        <w:left w:val="none" w:sz="0" w:space="0" w:color="auto"/>
                        <w:bottom w:val="none" w:sz="0" w:space="0" w:color="auto"/>
                        <w:right w:val="none" w:sz="0" w:space="0" w:color="auto"/>
                      </w:divBdr>
                    </w:div>
                  </w:divsChild>
                </w:div>
                <w:div w:id="1142162240">
                  <w:marLeft w:val="0"/>
                  <w:marRight w:val="0"/>
                  <w:marTop w:val="0"/>
                  <w:marBottom w:val="0"/>
                  <w:divBdr>
                    <w:top w:val="none" w:sz="0" w:space="0" w:color="auto"/>
                    <w:left w:val="none" w:sz="0" w:space="0" w:color="auto"/>
                    <w:bottom w:val="none" w:sz="0" w:space="0" w:color="auto"/>
                    <w:right w:val="none" w:sz="0" w:space="0" w:color="auto"/>
                  </w:divBdr>
                  <w:divsChild>
                    <w:div w:id="110981843">
                      <w:marLeft w:val="0"/>
                      <w:marRight w:val="0"/>
                      <w:marTop w:val="0"/>
                      <w:marBottom w:val="0"/>
                      <w:divBdr>
                        <w:top w:val="none" w:sz="0" w:space="0" w:color="auto"/>
                        <w:left w:val="none" w:sz="0" w:space="0" w:color="auto"/>
                        <w:bottom w:val="none" w:sz="0" w:space="0" w:color="auto"/>
                        <w:right w:val="none" w:sz="0" w:space="0" w:color="auto"/>
                      </w:divBdr>
                    </w:div>
                  </w:divsChild>
                </w:div>
                <w:div w:id="434792088">
                  <w:marLeft w:val="0"/>
                  <w:marRight w:val="0"/>
                  <w:marTop w:val="0"/>
                  <w:marBottom w:val="0"/>
                  <w:divBdr>
                    <w:top w:val="none" w:sz="0" w:space="0" w:color="auto"/>
                    <w:left w:val="none" w:sz="0" w:space="0" w:color="auto"/>
                    <w:bottom w:val="none" w:sz="0" w:space="0" w:color="auto"/>
                    <w:right w:val="none" w:sz="0" w:space="0" w:color="auto"/>
                  </w:divBdr>
                  <w:divsChild>
                    <w:div w:id="78427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109486">
      <w:bodyDiv w:val="1"/>
      <w:marLeft w:val="0"/>
      <w:marRight w:val="0"/>
      <w:marTop w:val="0"/>
      <w:marBottom w:val="0"/>
      <w:divBdr>
        <w:top w:val="none" w:sz="0" w:space="0" w:color="auto"/>
        <w:left w:val="none" w:sz="0" w:space="0" w:color="auto"/>
        <w:bottom w:val="none" w:sz="0" w:space="0" w:color="auto"/>
        <w:right w:val="none" w:sz="0" w:space="0" w:color="auto"/>
      </w:divBdr>
    </w:div>
    <w:div w:id="531842963">
      <w:bodyDiv w:val="1"/>
      <w:marLeft w:val="0"/>
      <w:marRight w:val="0"/>
      <w:marTop w:val="0"/>
      <w:marBottom w:val="0"/>
      <w:divBdr>
        <w:top w:val="none" w:sz="0" w:space="0" w:color="auto"/>
        <w:left w:val="none" w:sz="0" w:space="0" w:color="auto"/>
        <w:bottom w:val="none" w:sz="0" w:space="0" w:color="auto"/>
        <w:right w:val="none" w:sz="0" w:space="0" w:color="auto"/>
      </w:divBdr>
    </w:div>
    <w:div w:id="722754086">
      <w:bodyDiv w:val="1"/>
      <w:marLeft w:val="0"/>
      <w:marRight w:val="0"/>
      <w:marTop w:val="0"/>
      <w:marBottom w:val="0"/>
      <w:divBdr>
        <w:top w:val="none" w:sz="0" w:space="0" w:color="auto"/>
        <w:left w:val="none" w:sz="0" w:space="0" w:color="auto"/>
        <w:bottom w:val="none" w:sz="0" w:space="0" w:color="auto"/>
        <w:right w:val="none" w:sz="0" w:space="0" w:color="auto"/>
      </w:divBdr>
      <w:divsChild>
        <w:div w:id="1720320322">
          <w:marLeft w:val="0"/>
          <w:marRight w:val="0"/>
          <w:marTop w:val="0"/>
          <w:marBottom w:val="0"/>
          <w:divBdr>
            <w:top w:val="none" w:sz="0" w:space="0" w:color="auto"/>
            <w:left w:val="none" w:sz="0" w:space="0" w:color="auto"/>
            <w:bottom w:val="none" w:sz="0" w:space="0" w:color="auto"/>
            <w:right w:val="none" w:sz="0" w:space="0" w:color="auto"/>
          </w:divBdr>
          <w:divsChild>
            <w:div w:id="1267419594">
              <w:marLeft w:val="0"/>
              <w:marRight w:val="0"/>
              <w:marTop w:val="0"/>
              <w:marBottom w:val="0"/>
              <w:divBdr>
                <w:top w:val="none" w:sz="0" w:space="0" w:color="auto"/>
                <w:left w:val="none" w:sz="0" w:space="0" w:color="auto"/>
                <w:bottom w:val="none" w:sz="0" w:space="0" w:color="auto"/>
                <w:right w:val="none" w:sz="0" w:space="0" w:color="auto"/>
              </w:divBdr>
            </w:div>
          </w:divsChild>
        </w:div>
        <w:div w:id="915555698">
          <w:marLeft w:val="0"/>
          <w:marRight w:val="0"/>
          <w:marTop w:val="0"/>
          <w:marBottom w:val="0"/>
          <w:divBdr>
            <w:top w:val="none" w:sz="0" w:space="0" w:color="auto"/>
            <w:left w:val="none" w:sz="0" w:space="0" w:color="auto"/>
            <w:bottom w:val="none" w:sz="0" w:space="0" w:color="auto"/>
            <w:right w:val="none" w:sz="0" w:space="0" w:color="auto"/>
          </w:divBdr>
          <w:divsChild>
            <w:div w:id="908926356">
              <w:marLeft w:val="0"/>
              <w:marRight w:val="0"/>
              <w:marTop w:val="0"/>
              <w:marBottom w:val="0"/>
              <w:divBdr>
                <w:top w:val="none" w:sz="0" w:space="0" w:color="auto"/>
                <w:left w:val="none" w:sz="0" w:space="0" w:color="auto"/>
                <w:bottom w:val="none" w:sz="0" w:space="0" w:color="auto"/>
                <w:right w:val="none" w:sz="0" w:space="0" w:color="auto"/>
              </w:divBdr>
            </w:div>
          </w:divsChild>
        </w:div>
        <w:div w:id="1227914275">
          <w:marLeft w:val="0"/>
          <w:marRight w:val="0"/>
          <w:marTop w:val="0"/>
          <w:marBottom w:val="0"/>
          <w:divBdr>
            <w:top w:val="none" w:sz="0" w:space="0" w:color="auto"/>
            <w:left w:val="none" w:sz="0" w:space="0" w:color="auto"/>
            <w:bottom w:val="none" w:sz="0" w:space="0" w:color="auto"/>
            <w:right w:val="none" w:sz="0" w:space="0" w:color="auto"/>
          </w:divBdr>
          <w:divsChild>
            <w:div w:id="843859047">
              <w:marLeft w:val="0"/>
              <w:marRight w:val="0"/>
              <w:marTop w:val="0"/>
              <w:marBottom w:val="0"/>
              <w:divBdr>
                <w:top w:val="none" w:sz="0" w:space="0" w:color="auto"/>
                <w:left w:val="none" w:sz="0" w:space="0" w:color="auto"/>
                <w:bottom w:val="none" w:sz="0" w:space="0" w:color="auto"/>
                <w:right w:val="none" w:sz="0" w:space="0" w:color="auto"/>
              </w:divBdr>
            </w:div>
          </w:divsChild>
        </w:div>
        <w:div w:id="847332666">
          <w:marLeft w:val="0"/>
          <w:marRight w:val="0"/>
          <w:marTop w:val="0"/>
          <w:marBottom w:val="0"/>
          <w:divBdr>
            <w:top w:val="none" w:sz="0" w:space="0" w:color="auto"/>
            <w:left w:val="none" w:sz="0" w:space="0" w:color="auto"/>
            <w:bottom w:val="none" w:sz="0" w:space="0" w:color="auto"/>
            <w:right w:val="none" w:sz="0" w:space="0" w:color="auto"/>
          </w:divBdr>
          <w:divsChild>
            <w:div w:id="182820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977102">
      <w:bodyDiv w:val="1"/>
      <w:marLeft w:val="0"/>
      <w:marRight w:val="0"/>
      <w:marTop w:val="0"/>
      <w:marBottom w:val="0"/>
      <w:divBdr>
        <w:top w:val="none" w:sz="0" w:space="0" w:color="auto"/>
        <w:left w:val="none" w:sz="0" w:space="0" w:color="auto"/>
        <w:bottom w:val="none" w:sz="0" w:space="0" w:color="auto"/>
        <w:right w:val="none" w:sz="0" w:space="0" w:color="auto"/>
      </w:divBdr>
      <w:divsChild>
        <w:div w:id="2082407992">
          <w:marLeft w:val="0"/>
          <w:marRight w:val="0"/>
          <w:marTop w:val="0"/>
          <w:marBottom w:val="0"/>
          <w:divBdr>
            <w:top w:val="none" w:sz="0" w:space="0" w:color="auto"/>
            <w:left w:val="none" w:sz="0" w:space="0" w:color="auto"/>
            <w:bottom w:val="none" w:sz="0" w:space="0" w:color="auto"/>
            <w:right w:val="none" w:sz="0" w:space="0" w:color="auto"/>
          </w:divBdr>
          <w:divsChild>
            <w:div w:id="673726905">
              <w:marLeft w:val="0"/>
              <w:marRight w:val="0"/>
              <w:marTop w:val="0"/>
              <w:marBottom w:val="0"/>
              <w:divBdr>
                <w:top w:val="none" w:sz="0" w:space="0" w:color="auto"/>
                <w:left w:val="none" w:sz="0" w:space="0" w:color="auto"/>
                <w:bottom w:val="none" w:sz="0" w:space="0" w:color="auto"/>
                <w:right w:val="none" w:sz="0" w:space="0" w:color="auto"/>
              </w:divBdr>
              <w:divsChild>
                <w:div w:id="119638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311653">
      <w:bodyDiv w:val="1"/>
      <w:marLeft w:val="0"/>
      <w:marRight w:val="0"/>
      <w:marTop w:val="0"/>
      <w:marBottom w:val="0"/>
      <w:divBdr>
        <w:top w:val="none" w:sz="0" w:space="0" w:color="auto"/>
        <w:left w:val="none" w:sz="0" w:space="0" w:color="auto"/>
        <w:bottom w:val="none" w:sz="0" w:space="0" w:color="auto"/>
        <w:right w:val="none" w:sz="0" w:space="0" w:color="auto"/>
      </w:divBdr>
      <w:divsChild>
        <w:div w:id="584412447">
          <w:marLeft w:val="0"/>
          <w:marRight w:val="0"/>
          <w:marTop w:val="0"/>
          <w:marBottom w:val="0"/>
          <w:divBdr>
            <w:top w:val="none" w:sz="0" w:space="0" w:color="auto"/>
            <w:left w:val="none" w:sz="0" w:space="0" w:color="auto"/>
            <w:bottom w:val="none" w:sz="0" w:space="0" w:color="auto"/>
            <w:right w:val="none" w:sz="0" w:space="0" w:color="auto"/>
          </w:divBdr>
          <w:divsChild>
            <w:div w:id="1128400403">
              <w:marLeft w:val="0"/>
              <w:marRight w:val="0"/>
              <w:marTop w:val="0"/>
              <w:marBottom w:val="0"/>
              <w:divBdr>
                <w:top w:val="none" w:sz="0" w:space="0" w:color="auto"/>
                <w:left w:val="none" w:sz="0" w:space="0" w:color="auto"/>
                <w:bottom w:val="none" w:sz="0" w:space="0" w:color="auto"/>
                <w:right w:val="none" w:sz="0" w:space="0" w:color="auto"/>
              </w:divBdr>
            </w:div>
          </w:divsChild>
        </w:div>
        <w:div w:id="494343170">
          <w:marLeft w:val="0"/>
          <w:marRight w:val="0"/>
          <w:marTop w:val="0"/>
          <w:marBottom w:val="0"/>
          <w:divBdr>
            <w:top w:val="none" w:sz="0" w:space="0" w:color="auto"/>
            <w:left w:val="none" w:sz="0" w:space="0" w:color="auto"/>
            <w:bottom w:val="none" w:sz="0" w:space="0" w:color="auto"/>
            <w:right w:val="none" w:sz="0" w:space="0" w:color="auto"/>
          </w:divBdr>
          <w:divsChild>
            <w:div w:id="2024671026">
              <w:marLeft w:val="0"/>
              <w:marRight w:val="0"/>
              <w:marTop w:val="0"/>
              <w:marBottom w:val="0"/>
              <w:divBdr>
                <w:top w:val="none" w:sz="0" w:space="0" w:color="auto"/>
                <w:left w:val="none" w:sz="0" w:space="0" w:color="auto"/>
                <w:bottom w:val="none" w:sz="0" w:space="0" w:color="auto"/>
                <w:right w:val="none" w:sz="0" w:space="0" w:color="auto"/>
              </w:divBdr>
            </w:div>
          </w:divsChild>
        </w:div>
        <w:div w:id="2119983299">
          <w:marLeft w:val="0"/>
          <w:marRight w:val="0"/>
          <w:marTop w:val="0"/>
          <w:marBottom w:val="0"/>
          <w:divBdr>
            <w:top w:val="none" w:sz="0" w:space="0" w:color="auto"/>
            <w:left w:val="none" w:sz="0" w:space="0" w:color="auto"/>
            <w:bottom w:val="none" w:sz="0" w:space="0" w:color="auto"/>
            <w:right w:val="none" w:sz="0" w:space="0" w:color="auto"/>
          </w:divBdr>
          <w:divsChild>
            <w:div w:id="367874517">
              <w:marLeft w:val="0"/>
              <w:marRight w:val="0"/>
              <w:marTop w:val="0"/>
              <w:marBottom w:val="0"/>
              <w:divBdr>
                <w:top w:val="none" w:sz="0" w:space="0" w:color="auto"/>
                <w:left w:val="none" w:sz="0" w:space="0" w:color="auto"/>
                <w:bottom w:val="none" w:sz="0" w:space="0" w:color="auto"/>
                <w:right w:val="none" w:sz="0" w:space="0" w:color="auto"/>
              </w:divBdr>
            </w:div>
          </w:divsChild>
        </w:div>
        <w:div w:id="196813893">
          <w:marLeft w:val="0"/>
          <w:marRight w:val="0"/>
          <w:marTop w:val="0"/>
          <w:marBottom w:val="0"/>
          <w:divBdr>
            <w:top w:val="none" w:sz="0" w:space="0" w:color="auto"/>
            <w:left w:val="none" w:sz="0" w:space="0" w:color="auto"/>
            <w:bottom w:val="none" w:sz="0" w:space="0" w:color="auto"/>
            <w:right w:val="none" w:sz="0" w:space="0" w:color="auto"/>
          </w:divBdr>
          <w:divsChild>
            <w:div w:id="764688985">
              <w:marLeft w:val="0"/>
              <w:marRight w:val="0"/>
              <w:marTop w:val="0"/>
              <w:marBottom w:val="0"/>
              <w:divBdr>
                <w:top w:val="none" w:sz="0" w:space="0" w:color="auto"/>
                <w:left w:val="none" w:sz="0" w:space="0" w:color="auto"/>
                <w:bottom w:val="none" w:sz="0" w:space="0" w:color="auto"/>
                <w:right w:val="none" w:sz="0" w:space="0" w:color="auto"/>
              </w:divBdr>
            </w:div>
          </w:divsChild>
        </w:div>
        <w:div w:id="1591697839">
          <w:marLeft w:val="0"/>
          <w:marRight w:val="0"/>
          <w:marTop w:val="0"/>
          <w:marBottom w:val="0"/>
          <w:divBdr>
            <w:top w:val="none" w:sz="0" w:space="0" w:color="auto"/>
            <w:left w:val="none" w:sz="0" w:space="0" w:color="auto"/>
            <w:bottom w:val="none" w:sz="0" w:space="0" w:color="auto"/>
            <w:right w:val="none" w:sz="0" w:space="0" w:color="auto"/>
          </w:divBdr>
          <w:divsChild>
            <w:div w:id="242956898">
              <w:marLeft w:val="0"/>
              <w:marRight w:val="0"/>
              <w:marTop w:val="0"/>
              <w:marBottom w:val="0"/>
              <w:divBdr>
                <w:top w:val="none" w:sz="0" w:space="0" w:color="auto"/>
                <w:left w:val="none" w:sz="0" w:space="0" w:color="auto"/>
                <w:bottom w:val="none" w:sz="0" w:space="0" w:color="auto"/>
                <w:right w:val="none" w:sz="0" w:space="0" w:color="auto"/>
              </w:divBdr>
            </w:div>
          </w:divsChild>
        </w:div>
        <w:div w:id="1335689895">
          <w:marLeft w:val="0"/>
          <w:marRight w:val="0"/>
          <w:marTop w:val="0"/>
          <w:marBottom w:val="0"/>
          <w:divBdr>
            <w:top w:val="none" w:sz="0" w:space="0" w:color="auto"/>
            <w:left w:val="none" w:sz="0" w:space="0" w:color="auto"/>
            <w:bottom w:val="none" w:sz="0" w:space="0" w:color="auto"/>
            <w:right w:val="none" w:sz="0" w:space="0" w:color="auto"/>
          </w:divBdr>
          <w:divsChild>
            <w:div w:id="672151668">
              <w:marLeft w:val="0"/>
              <w:marRight w:val="0"/>
              <w:marTop w:val="0"/>
              <w:marBottom w:val="0"/>
              <w:divBdr>
                <w:top w:val="none" w:sz="0" w:space="0" w:color="auto"/>
                <w:left w:val="none" w:sz="0" w:space="0" w:color="auto"/>
                <w:bottom w:val="none" w:sz="0" w:space="0" w:color="auto"/>
                <w:right w:val="none" w:sz="0" w:space="0" w:color="auto"/>
              </w:divBdr>
            </w:div>
          </w:divsChild>
        </w:div>
        <w:div w:id="127360724">
          <w:marLeft w:val="0"/>
          <w:marRight w:val="0"/>
          <w:marTop w:val="0"/>
          <w:marBottom w:val="0"/>
          <w:divBdr>
            <w:top w:val="none" w:sz="0" w:space="0" w:color="auto"/>
            <w:left w:val="none" w:sz="0" w:space="0" w:color="auto"/>
            <w:bottom w:val="none" w:sz="0" w:space="0" w:color="auto"/>
            <w:right w:val="none" w:sz="0" w:space="0" w:color="auto"/>
          </w:divBdr>
          <w:divsChild>
            <w:div w:id="1238907451">
              <w:marLeft w:val="0"/>
              <w:marRight w:val="0"/>
              <w:marTop w:val="0"/>
              <w:marBottom w:val="0"/>
              <w:divBdr>
                <w:top w:val="none" w:sz="0" w:space="0" w:color="auto"/>
                <w:left w:val="none" w:sz="0" w:space="0" w:color="auto"/>
                <w:bottom w:val="none" w:sz="0" w:space="0" w:color="auto"/>
                <w:right w:val="none" w:sz="0" w:space="0" w:color="auto"/>
              </w:divBdr>
            </w:div>
          </w:divsChild>
        </w:div>
        <w:div w:id="1516991858">
          <w:marLeft w:val="0"/>
          <w:marRight w:val="0"/>
          <w:marTop w:val="0"/>
          <w:marBottom w:val="0"/>
          <w:divBdr>
            <w:top w:val="none" w:sz="0" w:space="0" w:color="auto"/>
            <w:left w:val="none" w:sz="0" w:space="0" w:color="auto"/>
            <w:bottom w:val="none" w:sz="0" w:space="0" w:color="auto"/>
            <w:right w:val="none" w:sz="0" w:space="0" w:color="auto"/>
          </w:divBdr>
          <w:divsChild>
            <w:div w:id="2085298184">
              <w:marLeft w:val="0"/>
              <w:marRight w:val="0"/>
              <w:marTop w:val="0"/>
              <w:marBottom w:val="0"/>
              <w:divBdr>
                <w:top w:val="none" w:sz="0" w:space="0" w:color="auto"/>
                <w:left w:val="none" w:sz="0" w:space="0" w:color="auto"/>
                <w:bottom w:val="none" w:sz="0" w:space="0" w:color="auto"/>
                <w:right w:val="none" w:sz="0" w:space="0" w:color="auto"/>
              </w:divBdr>
            </w:div>
          </w:divsChild>
        </w:div>
        <w:div w:id="2056738070">
          <w:marLeft w:val="0"/>
          <w:marRight w:val="0"/>
          <w:marTop w:val="0"/>
          <w:marBottom w:val="0"/>
          <w:divBdr>
            <w:top w:val="none" w:sz="0" w:space="0" w:color="auto"/>
            <w:left w:val="none" w:sz="0" w:space="0" w:color="auto"/>
            <w:bottom w:val="none" w:sz="0" w:space="0" w:color="auto"/>
            <w:right w:val="none" w:sz="0" w:space="0" w:color="auto"/>
          </w:divBdr>
          <w:divsChild>
            <w:div w:id="1070032356">
              <w:marLeft w:val="0"/>
              <w:marRight w:val="0"/>
              <w:marTop w:val="0"/>
              <w:marBottom w:val="0"/>
              <w:divBdr>
                <w:top w:val="none" w:sz="0" w:space="0" w:color="auto"/>
                <w:left w:val="none" w:sz="0" w:space="0" w:color="auto"/>
                <w:bottom w:val="none" w:sz="0" w:space="0" w:color="auto"/>
                <w:right w:val="none" w:sz="0" w:space="0" w:color="auto"/>
              </w:divBdr>
            </w:div>
          </w:divsChild>
        </w:div>
        <w:div w:id="1544365043">
          <w:marLeft w:val="0"/>
          <w:marRight w:val="0"/>
          <w:marTop w:val="0"/>
          <w:marBottom w:val="0"/>
          <w:divBdr>
            <w:top w:val="none" w:sz="0" w:space="0" w:color="auto"/>
            <w:left w:val="none" w:sz="0" w:space="0" w:color="auto"/>
            <w:bottom w:val="none" w:sz="0" w:space="0" w:color="auto"/>
            <w:right w:val="none" w:sz="0" w:space="0" w:color="auto"/>
          </w:divBdr>
          <w:divsChild>
            <w:div w:id="1427379657">
              <w:marLeft w:val="0"/>
              <w:marRight w:val="0"/>
              <w:marTop w:val="0"/>
              <w:marBottom w:val="0"/>
              <w:divBdr>
                <w:top w:val="none" w:sz="0" w:space="0" w:color="auto"/>
                <w:left w:val="none" w:sz="0" w:space="0" w:color="auto"/>
                <w:bottom w:val="none" w:sz="0" w:space="0" w:color="auto"/>
                <w:right w:val="none" w:sz="0" w:space="0" w:color="auto"/>
              </w:divBdr>
            </w:div>
          </w:divsChild>
        </w:div>
        <w:div w:id="1277327881">
          <w:marLeft w:val="0"/>
          <w:marRight w:val="0"/>
          <w:marTop w:val="0"/>
          <w:marBottom w:val="0"/>
          <w:divBdr>
            <w:top w:val="none" w:sz="0" w:space="0" w:color="auto"/>
            <w:left w:val="none" w:sz="0" w:space="0" w:color="auto"/>
            <w:bottom w:val="none" w:sz="0" w:space="0" w:color="auto"/>
            <w:right w:val="none" w:sz="0" w:space="0" w:color="auto"/>
          </w:divBdr>
          <w:divsChild>
            <w:div w:id="684283648">
              <w:marLeft w:val="0"/>
              <w:marRight w:val="0"/>
              <w:marTop w:val="0"/>
              <w:marBottom w:val="0"/>
              <w:divBdr>
                <w:top w:val="none" w:sz="0" w:space="0" w:color="auto"/>
                <w:left w:val="none" w:sz="0" w:space="0" w:color="auto"/>
                <w:bottom w:val="none" w:sz="0" w:space="0" w:color="auto"/>
                <w:right w:val="none" w:sz="0" w:space="0" w:color="auto"/>
              </w:divBdr>
            </w:div>
          </w:divsChild>
        </w:div>
        <w:div w:id="1873303869">
          <w:marLeft w:val="0"/>
          <w:marRight w:val="0"/>
          <w:marTop w:val="0"/>
          <w:marBottom w:val="0"/>
          <w:divBdr>
            <w:top w:val="none" w:sz="0" w:space="0" w:color="auto"/>
            <w:left w:val="none" w:sz="0" w:space="0" w:color="auto"/>
            <w:bottom w:val="none" w:sz="0" w:space="0" w:color="auto"/>
            <w:right w:val="none" w:sz="0" w:space="0" w:color="auto"/>
          </w:divBdr>
          <w:divsChild>
            <w:div w:id="1271933728">
              <w:marLeft w:val="0"/>
              <w:marRight w:val="0"/>
              <w:marTop w:val="0"/>
              <w:marBottom w:val="0"/>
              <w:divBdr>
                <w:top w:val="none" w:sz="0" w:space="0" w:color="auto"/>
                <w:left w:val="none" w:sz="0" w:space="0" w:color="auto"/>
                <w:bottom w:val="none" w:sz="0" w:space="0" w:color="auto"/>
                <w:right w:val="none" w:sz="0" w:space="0" w:color="auto"/>
              </w:divBdr>
            </w:div>
          </w:divsChild>
        </w:div>
        <w:div w:id="1027098566">
          <w:marLeft w:val="0"/>
          <w:marRight w:val="0"/>
          <w:marTop w:val="0"/>
          <w:marBottom w:val="0"/>
          <w:divBdr>
            <w:top w:val="none" w:sz="0" w:space="0" w:color="auto"/>
            <w:left w:val="none" w:sz="0" w:space="0" w:color="auto"/>
            <w:bottom w:val="none" w:sz="0" w:space="0" w:color="auto"/>
            <w:right w:val="none" w:sz="0" w:space="0" w:color="auto"/>
          </w:divBdr>
          <w:divsChild>
            <w:div w:id="742531366">
              <w:marLeft w:val="0"/>
              <w:marRight w:val="0"/>
              <w:marTop w:val="0"/>
              <w:marBottom w:val="0"/>
              <w:divBdr>
                <w:top w:val="none" w:sz="0" w:space="0" w:color="auto"/>
                <w:left w:val="none" w:sz="0" w:space="0" w:color="auto"/>
                <w:bottom w:val="none" w:sz="0" w:space="0" w:color="auto"/>
                <w:right w:val="none" w:sz="0" w:space="0" w:color="auto"/>
              </w:divBdr>
            </w:div>
          </w:divsChild>
        </w:div>
        <w:div w:id="452402459">
          <w:marLeft w:val="0"/>
          <w:marRight w:val="0"/>
          <w:marTop w:val="0"/>
          <w:marBottom w:val="0"/>
          <w:divBdr>
            <w:top w:val="none" w:sz="0" w:space="0" w:color="auto"/>
            <w:left w:val="none" w:sz="0" w:space="0" w:color="auto"/>
            <w:bottom w:val="none" w:sz="0" w:space="0" w:color="auto"/>
            <w:right w:val="none" w:sz="0" w:space="0" w:color="auto"/>
          </w:divBdr>
          <w:divsChild>
            <w:div w:id="652954520">
              <w:marLeft w:val="0"/>
              <w:marRight w:val="0"/>
              <w:marTop w:val="0"/>
              <w:marBottom w:val="0"/>
              <w:divBdr>
                <w:top w:val="none" w:sz="0" w:space="0" w:color="auto"/>
                <w:left w:val="none" w:sz="0" w:space="0" w:color="auto"/>
                <w:bottom w:val="none" w:sz="0" w:space="0" w:color="auto"/>
                <w:right w:val="none" w:sz="0" w:space="0" w:color="auto"/>
              </w:divBdr>
            </w:div>
          </w:divsChild>
        </w:div>
        <w:div w:id="667828345">
          <w:marLeft w:val="0"/>
          <w:marRight w:val="0"/>
          <w:marTop w:val="0"/>
          <w:marBottom w:val="0"/>
          <w:divBdr>
            <w:top w:val="none" w:sz="0" w:space="0" w:color="auto"/>
            <w:left w:val="none" w:sz="0" w:space="0" w:color="auto"/>
            <w:bottom w:val="none" w:sz="0" w:space="0" w:color="auto"/>
            <w:right w:val="none" w:sz="0" w:space="0" w:color="auto"/>
          </w:divBdr>
          <w:divsChild>
            <w:div w:id="844633611">
              <w:marLeft w:val="0"/>
              <w:marRight w:val="0"/>
              <w:marTop w:val="0"/>
              <w:marBottom w:val="0"/>
              <w:divBdr>
                <w:top w:val="none" w:sz="0" w:space="0" w:color="auto"/>
                <w:left w:val="none" w:sz="0" w:space="0" w:color="auto"/>
                <w:bottom w:val="none" w:sz="0" w:space="0" w:color="auto"/>
                <w:right w:val="none" w:sz="0" w:space="0" w:color="auto"/>
              </w:divBdr>
            </w:div>
          </w:divsChild>
        </w:div>
        <w:div w:id="523179082">
          <w:marLeft w:val="0"/>
          <w:marRight w:val="0"/>
          <w:marTop w:val="0"/>
          <w:marBottom w:val="0"/>
          <w:divBdr>
            <w:top w:val="none" w:sz="0" w:space="0" w:color="auto"/>
            <w:left w:val="none" w:sz="0" w:space="0" w:color="auto"/>
            <w:bottom w:val="none" w:sz="0" w:space="0" w:color="auto"/>
            <w:right w:val="none" w:sz="0" w:space="0" w:color="auto"/>
          </w:divBdr>
          <w:divsChild>
            <w:div w:id="1964576636">
              <w:marLeft w:val="0"/>
              <w:marRight w:val="0"/>
              <w:marTop w:val="0"/>
              <w:marBottom w:val="0"/>
              <w:divBdr>
                <w:top w:val="none" w:sz="0" w:space="0" w:color="auto"/>
                <w:left w:val="none" w:sz="0" w:space="0" w:color="auto"/>
                <w:bottom w:val="none" w:sz="0" w:space="0" w:color="auto"/>
                <w:right w:val="none" w:sz="0" w:space="0" w:color="auto"/>
              </w:divBdr>
            </w:div>
          </w:divsChild>
        </w:div>
        <w:div w:id="614362677">
          <w:marLeft w:val="0"/>
          <w:marRight w:val="0"/>
          <w:marTop w:val="0"/>
          <w:marBottom w:val="0"/>
          <w:divBdr>
            <w:top w:val="none" w:sz="0" w:space="0" w:color="auto"/>
            <w:left w:val="none" w:sz="0" w:space="0" w:color="auto"/>
            <w:bottom w:val="none" w:sz="0" w:space="0" w:color="auto"/>
            <w:right w:val="none" w:sz="0" w:space="0" w:color="auto"/>
          </w:divBdr>
          <w:divsChild>
            <w:div w:id="2054578284">
              <w:marLeft w:val="0"/>
              <w:marRight w:val="0"/>
              <w:marTop w:val="0"/>
              <w:marBottom w:val="0"/>
              <w:divBdr>
                <w:top w:val="none" w:sz="0" w:space="0" w:color="auto"/>
                <w:left w:val="none" w:sz="0" w:space="0" w:color="auto"/>
                <w:bottom w:val="none" w:sz="0" w:space="0" w:color="auto"/>
                <w:right w:val="none" w:sz="0" w:space="0" w:color="auto"/>
              </w:divBdr>
            </w:div>
          </w:divsChild>
        </w:div>
        <w:div w:id="1821386131">
          <w:marLeft w:val="0"/>
          <w:marRight w:val="0"/>
          <w:marTop w:val="0"/>
          <w:marBottom w:val="0"/>
          <w:divBdr>
            <w:top w:val="none" w:sz="0" w:space="0" w:color="auto"/>
            <w:left w:val="none" w:sz="0" w:space="0" w:color="auto"/>
            <w:bottom w:val="none" w:sz="0" w:space="0" w:color="auto"/>
            <w:right w:val="none" w:sz="0" w:space="0" w:color="auto"/>
          </w:divBdr>
          <w:divsChild>
            <w:div w:id="510417512">
              <w:marLeft w:val="0"/>
              <w:marRight w:val="0"/>
              <w:marTop w:val="0"/>
              <w:marBottom w:val="0"/>
              <w:divBdr>
                <w:top w:val="none" w:sz="0" w:space="0" w:color="auto"/>
                <w:left w:val="none" w:sz="0" w:space="0" w:color="auto"/>
                <w:bottom w:val="none" w:sz="0" w:space="0" w:color="auto"/>
                <w:right w:val="none" w:sz="0" w:space="0" w:color="auto"/>
              </w:divBdr>
            </w:div>
          </w:divsChild>
        </w:div>
        <w:div w:id="1272736872">
          <w:marLeft w:val="0"/>
          <w:marRight w:val="0"/>
          <w:marTop w:val="0"/>
          <w:marBottom w:val="0"/>
          <w:divBdr>
            <w:top w:val="none" w:sz="0" w:space="0" w:color="auto"/>
            <w:left w:val="none" w:sz="0" w:space="0" w:color="auto"/>
            <w:bottom w:val="none" w:sz="0" w:space="0" w:color="auto"/>
            <w:right w:val="none" w:sz="0" w:space="0" w:color="auto"/>
          </w:divBdr>
          <w:divsChild>
            <w:div w:id="271399872">
              <w:marLeft w:val="0"/>
              <w:marRight w:val="0"/>
              <w:marTop w:val="0"/>
              <w:marBottom w:val="0"/>
              <w:divBdr>
                <w:top w:val="none" w:sz="0" w:space="0" w:color="auto"/>
                <w:left w:val="none" w:sz="0" w:space="0" w:color="auto"/>
                <w:bottom w:val="none" w:sz="0" w:space="0" w:color="auto"/>
                <w:right w:val="none" w:sz="0" w:space="0" w:color="auto"/>
              </w:divBdr>
            </w:div>
          </w:divsChild>
        </w:div>
        <w:div w:id="1096243836">
          <w:marLeft w:val="0"/>
          <w:marRight w:val="0"/>
          <w:marTop w:val="0"/>
          <w:marBottom w:val="0"/>
          <w:divBdr>
            <w:top w:val="none" w:sz="0" w:space="0" w:color="auto"/>
            <w:left w:val="none" w:sz="0" w:space="0" w:color="auto"/>
            <w:bottom w:val="none" w:sz="0" w:space="0" w:color="auto"/>
            <w:right w:val="none" w:sz="0" w:space="0" w:color="auto"/>
          </w:divBdr>
          <w:divsChild>
            <w:div w:id="130682993">
              <w:marLeft w:val="0"/>
              <w:marRight w:val="0"/>
              <w:marTop w:val="0"/>
              <w:marBottom w:val="0"/>
              <w:divBdr>
                <w:top w:val="none" w:sz="0" w:space="0" w:color="auto"/>
                <w:left w:val="none" w:sz="0" w:space="0" w:color="auto"/>
                <w:bottom w:val="none" w:sz="0" w:space="0" w:color="auto"/>
                <w:right w:val="none" w:sz="0" w:space="0" w:color="auto"/>
              </w:divBdr>
            </w:div>
          </w:divsChild>
        </w:div>
        <w:div w:id="1590310647">
          <w:marLeft w:val="0"/>
          <w:marRight w:val="0"/>
          <w:marTop w:val="0"/>
          <w:marBottom w:val="0"/>
          <w:divBdr>
            <w:top w:val="none" w:sz="0" w:space="0" w:color="auto"/>
            <w:left w:val="none" w:sz="0" w:space="0" w:color="auto"/>
            <w:bottom w:val="none" w:sz="0" w:space="0" w:color="auto"/>
            <w:right w:val="none" w:sz="0" w:space="0" w:color="auto"/>
          </w:divBdr>
          <w:divsChild>
            <w:div w:id="1777752610">
              <w:marLeft w:val="0"/>
              <w:marRight w:val="0"/>
              <w:marTop w:val="0"/>
              <w:marBottom w:val="0"/>
              <w:divBdr>
                <w:top w:val="none" w:sz="0" w:space="0" w:color="auto"/>
                <w:left w:val="none" w:sz="0" w:space="0" w:color="auto"/>
                <w:bottom w:val="none" w:sz="0" w:space="0" w:color="auto"/>
                <w:right w:val="none" w:sz="0" w:space="0" w:color="auto"/>
              </w:divBdr>
            </w:div>
          </w:divsChild>
        </w:div>
        <w:div w:id="2009559445">
          <w:marLeft w:val="0"/>
          <w:marRight w:val="0"/>
          <w:marTop w:val="0"/>
          <w:marBottom w:val="0"/>
          <w:divBdr>
            <w:top w:val="none" w:sz="0" w:space="0" w:color="auto"/>
            <w:left w:val="none" w:sz="0" w:space="0" w:color="auto"/>
            <w:bottom w:val="none" w:sz="0" w:space="0" w:color="auto"/>
            <w:right w:val="none" w:sz="0" w:space="0" w:color="auto"/>
          </w:divBdr>
          <w:divsChild>
            <w:div w:id="803812002">
              <w:marLeft w:val="0"/>
              <w:marRight w:val="0"/>
              <w:marTop w:val="0"/>
              <w:marBottom w:val="0"/>
              <w:divBdr>
                <w:top w:val="none" w:sz="0" w:space="0" w:color="auto"/>
                <w:left w:val="none" w:sz="0" w:space="0" w:color="auto"/>
                <w:bottom w:val="none" w:sz="0" w:space="0" w:color="auto"/>
                <w:right w:val="none" w:sz="0" w:space="0" w:color="auto"/>
              </w:divBdr>
            </w:div>
          </w:divsChild>
        </w:div>
        <w:div w:id="655912696">
          <w:marLeft w:val="0"/>
          <w:marRight w:val="0"/>
          <w:marTop w:val="0"/>
          <w:marBottom w:val="0"/>
          <w:divBdr>
            <w:top w:val="none" w:sz="0" w:space="0" w:color="auto"/>
            <w:left w:val="none" w:sz="0" w:space="0" w:color="auto"/>
            <w:bottom w:val="none" w:sz="0" w:space="0" w:color="auto"/>
            <w:right w:val="none" w:sz="0" w:space="0" w:color="auto"/>
          </w:divBdr>
          <w:divsChild>
            <w:div w:id="110126442">
              <w:marLeft w:val="0"/>
              <w:marRight w:val="0"/>
              <w:marTop w:val="0"/>
              <w:marBottom w:val="0"/>
              <w:divBdr>
                <w:top w:val="none" w:sz="0" w:space="0" w:color="auto"/>
                <w:left w:val="none" w:sz="0" w:space="0" w:color="auto"/>
                <w:bottom w:val="none" w:sz="0" w:space="0" w:color="auto"/>
                <w:right w:val="none" w:sz="0" w:space="0" w:color="auto"/>
              </w:divBdr>
            </w:div>
          </w:divsChild>
        </w:div>
        <w:div w:id="1843350947">
          <w:marLeft w:val="0"/>
          <w:marRight w:val="0"/>
          <w:marTop w:val="0"/>
          <w:marBottom w:val="0"/>
          <w:divBdr>
            <w:top w:val="none" w:sz="0" w:space="0" w:color="auto"/>
            <w:left w:val="none" w:sz="0" w:space="0" w:color="auto"/>
            <w:bottom w:val="none" w:sz="0" w:space="0" w:color="auto"/>
            <w:right w:val="none" w:sz="0" w:space="0" w:color="auto"/>
          </w:divBdr>
          <w:divsChild>
            <w:div w:id="1401561738">
              <w:marLeft w:val="0"/>
              <w:marRight w:val="0"/>
              <w:marTop w:val="0"/>
              <w:marBottom w:val="0"/>
              <w:divBdr>
                <w:top w:val="none" w:sz="0" w:space="0" w:color="auto"/>
                <w:left w:val="none" w:sz="0" w:space="0" w:color="auto"/>
                <w:bottom w:val="none" w:sz="0" w:space="0" w:color="auto"/>
                <w:right w:val="none" w:sz="0" w:space="0" w:color="auto"/>
              </w:divBdr>
            </w:div>
            <w:div w:id="353576425">
              <w:marLeft w:val="0"/>
              <w:marRight w:val="0"/>
              <w:marTop w:val="0"/>
              <w:marBottom w:val="0"/>
              <w:divBdr>
                <w:top w:val="none" w:sz="0" w:space="0" w:color="auto"/>
                <w:left w:val="none" w:sz="0" w:space="0" w:color="auto"/>
                <w:bottom w:val="none" w:sz="0" w:space="0" w:color="auto"/>
                <w:right w:val="none" w:sz="0" w:space="0" w:color="auto"/>
              </w:divBdr>
            </w:div>
          </w:divsChild>
        </w:div>
        <w:div w:id="170682631">
          <w:marLeft w:val="0"/>
          <w:marRight w:val="0"/>
          <w:marTop w:val="0"/>
          <w:marBottom w:val="0"/>
          <w:divBdr>
            <w:top w:val="none" w:sz="0" w:space="0" w:color="auto"/>
            <w:left w:val="none" w:sz="0" w:space="0" w:color="auto"/>
            <w:bottom w:val="none" w:sz="0" w:space="0" w:color="auto"/>
            <w:right w:val="none" w:sz="0" w:space="0" w:color="auto"/>
          </w:divBdr>
          <w:divsChild>
            <w:div w:id="2114545914">
              <w:marLeft w:val="0"/>
              <w:marRight w:val="0"/>
              <w:marTop w:val="0"/>
              <w:marBottom w:val="0"/>
              <w:divBdr>
                <w:top w:val="none" w:sz="0" w:space="0" w:color="auto"/>
                <w:left w:val="none" w:sz="0" w:space="0" w:color="auto"/>
                <w:bottom w:val="none" w:sz="0" w:space="0" w:color="auto"/>
                <w:right w:val="none" w:sz="0" w:space="0" w:color="auto"/>
              </w:divBdr>
            </w:div>
            <w:div w:id="1451048641">
              <w:marLeft w:val="0"/>
              <w:marRight w:val="0"/>
              <w:marTop w:val="0"/>
              <w:marBottom w:val="0"/>
              <w:divBdr>
                <w:top w:val="none" w:sz="0" w:space="0" w:color="auto"/>
                <w:left w:val="none" w:sz="0" w:space="0" w:color="auto"/>
                <w:bottom w:val="none" w:sz="0" w:space="0" w:color="auto"/>
                <w:right w:val="none" w:sz="0" w:space="0" w:color="auto"/>
              </w:divBdr>
            </w:div>
          </w:divsChild>
        </w:div>
        <w:div w:id="490634745">
          <w:marLeft w:val="0"/>
          <w:marRight w:val="0"/>
          <w:marTop w:val="0"/>
          <w:marBottom w:val="0"/>
          <w:divBdr>
            <w:top w:val="none" w:sz="0" w:space="0" w:color="auto"/>
            <w:left w:val="none" w:sz="0" w:space="0" w:color="auto"/>
            <w:bottom w:val="none" w:sz="0" w:space="0" w:color="auto"/>
            <w:right w:val="none" w:sz="0" w:space="0" w:color="auto"/>
          </w:divBdr>
          <w:divsChild>
            <w:div w:id="1333794792">
              <w:marLeft w:val="0"/>
              <w:marRight w:val="0"/>
              <w:marTop w:val="0"/>
              <w:marBottom w:val="0"/>
              <w:divBdr>
                <w:top w:val="none" w:sz="0" w:space="0" w:color="auto"/>
                <w:left w:val="none" w:sz="0" w:space="0" w:color="auto"/>
                <w:bottom w:val="none" w:sz="0" w:space="0" w:color="auto"/>
                <w:right w:val="none" w:sz="0" w:space="0" w:color="auto"/>
              </w:divBdr>
            </w:div>
          </w:divsChild>
        </w:div>
        <w:div w:id="1377467737">
          <w:marLeft w:val="0"/>
          <w:marRight w:val="0"/>
          <w:marTop w:val="0"/>
          <w:marBottom w:val="0"/>
          <w:divBdr>
            <w:top w:val="none" w:sz="0" w:space="0" w:color="auto"/>
            <w:left w:val="none" w:sz="0" w:space="0" w:color="auto"/>
            <w:bottom w:val="none" w:sz="0" w:space="0" w:color="auto"/>
            <w:right w:val="none" w:sz="0" w:space="0" w:color="auto"/>
          </w:divBdr>
          <w:divsChild>
            <w:div w:id="1518957865">
              <w:marLeft w:val="0"/>
              <w:marRight w:val="0"/>
              <w:marTop w:val="0"/>
              <w:marBottom w:val="0"/>
              <w:divBdr>
                <w:top w:val="none" w:sz="0" w:space="0" w:color="auto"/>
                <w:left w:val="none" w:sz="0" w:space="0" w:color="auto"/>
                <w:bottom w:val="none" w:sz="0" w:space="0" w:color="auto"/>
                <w:right w:val="none" w:sz="0" w:space="0" w:color="auto"/>
              </w:divBdr>
            </w:div>
          </w:divsChild>
        </w:div>
        <w:div w:id="564419173">
          <w:marLeft w:val="0"/>
          <w:marRight w:val="0"/>
          <w:marTop w:val="0"/>
          <w:marBottom w:val="0"/>
          <w:divBdr>
            <w:top w:val="none" w:sz="0" w:space="0" w:color="auto"/>
            <w:left w:val="none" w:sz="0" w:space="0" w:color="auto"/>
            <w:bottom w:val="none" w:sz="0" w:space="0" w:color="auto"/>
            <w:right w:val="none" w:sz="0" w:space="0" w:color="auto"/>
          </w:divBdr>
          <w:divsChild>
            <w:div w:id="1760327800">
              <w:marLeft w:val="0"/>
              <w:marRight w:val="0"/>
              <w:marTop w:val="0"/>
              <w:marBottom w:val="0"/>
              <w:divBdr>
                <w:top w:val="none" w:sz="0" w:space="0" w:color="auto"/>
                <w:left w:val="none" w:sz="0" w:space="0" w:color="auto"/>
                <w:bottom w:val="none" w:sz="0" w:space="0" w:color="auto"/>
                <w:right w:val="none" w:sz="0" w:space="0" w:color="auto"/>
              </w:divBdr>
            </w:div>
            <w:div w:id="833178451">
              <w:marLeft w:val="0"/>
              <w:marRight w:val="0"/>
              <w:marTop w:val="0"/>
              <w:marBottom w:val="0"/>
              <w:divBdr>
                <w:top w:val="none" w:sz="0" w:space="0" w:color="auto"/>
                <w:left w:val="none" w:sz="0" w:space="0" w:color="auto"/>
                <w:bottom w:val="none" w:sz="0" w:space="0" w:color="auto"/>
                <w:right w:val="none" w:sz="0" w:space="0" w:color="auto"/>
              </w:divBdr>
            </w:div>
            <w:div w:id="128071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60">
      <w:bodyDiv w:val="1"/>
      <w:marLeft w:val="0"/>
      <w:marRight w:val="0"/>
      <w:marTop w:val="0"/>
      <w:marBottom w:val="0"/>
      <w:divBdr>
        <w:top w:val="none" w:sz="0" w:space="0" w:color="auto"/>
        <w:left w:val="none" w:sz="0" w:space="0" w:color="auto"/>
        <w:bottom w:val="none" w:sz="0" w:space="0" w:color="auto"/>
        <w:right w:val="none" w:sz="0" w:space="0" w:color="auto"/>
      </w:divBdr>
    </w:div>
    <w:div w:id="2007662575">
      <w:bodyDiv w:val="1"/>
      <w:marLeft w:val="0"/>
      <w:marRight w:val="0"/>
      <w:marTop w:val="0"/>
      <w:marBottom w:val="0"/>
      <w:divBdr>
        <w:top w:val="none" w:sz="0" w:space="0" w:color="auto"/>
        <w:left w:val="none" w:sz="0" w:space="0" w:color="auto"/>
        <w:bottom w:val="none" w:sz="0" w:space="0" w:color="auto"/>
        <w:right w:val="none" w:sz="0" w:space="0" w:color="auto"/>
      </w:divBdr>
      <w:divsChild>
        <w:div w:id="745808819">
          <w:marLeft w:val="0"/>
          <w:marRight w:val="0"/>
          <w:marTop w:val="0"/>
          <w:marBottom w:val="0"/>
          <w:divBdr>
            <w:top w:val="none" w:sz="0" w:space="0" w:color="auto"/>
            <w:left w:val="none" w:sz="0" w:space="0" w:color="auto"/>
            <w:bottom w:val="none" w:sz="0" w:space="0" w:color="auto"/>
            <w:right w:val="none" w:sz="0" w:space="0" w:color="auto"/>
          </w:divBdr>
          <w:divsChild>
            <w:div w:id="1531069953">
              <w:marLeft w:val="0"/>
              <w:marRight w:val="0"/>
              <w:marTop w:val="0"/>
              <w:marBottom w:val="0"/>
              <w:divBdr>
                <w:top w:val="none" w:sz="0" w:space="0" w:color="auto"/>
                <w:left w:val="none" w:sz="0" w:space="0" w:color="auto"/>
                <w:bottom w:val="none" w:sz="0" w:space="0" w:color="auto"/>
                <w:right w:val="none" w:sz="0" w:space="0" w:color="auto"/>
              </w:divBdr>
            </w:div>
          </w:divsChild>
        </w:div>
        <w:div w:id="1881623177">
          <w:marLeft w:val="0"/>
          <w:marRight w:val="0"/>
          <w:marTop w:val="0"/>
          <w:marBottom w:val="0"/>
          <w:divBdr>
            <w:top w:val="none" w:sz="0" w:space="0" w:color="auto"/>
            <w:left w:val="none" w:sz="0" w:space="0" w:color="auto"/>
            <w:bottom w:val="none" w:sz="0" w:space="0" w:color="auto"/>
            <w:right w:val="none" w:sz="0" w:space="0" w:color="auto"/>
          </w:divBdr>
          <w:divsChild>
            <w:div w:id="625162951">
              <w:marLeft w:val="0"/>
              <w:marRight w:val="0"/>
              <w:marTop w:val="0"/>
              <w:marBottom w:val="0"/>
              <w:divBdr>
                <w:top w:val="none" w:sz="0" w:space="0" w:color="auto"/>
                <w:left w:val="none" w:sz="0" w:space="0" w:color="auto"/>
                <w:bottom w:val="none" w:sz="0" w:space="0" w:color="auto"/>
                <w:right w:val="none" w:sz="0" w:space="0" w:color="auto"/>
              </w:divBdr>
            </w:div>
          </w:divsChild>
        </w:div>
        <w:div w:id="1058751033">
          <w:marLeft w:val="0"/>
          <w:marRight w:val="0"/>
          <w:marTop w:val="0"/>
          <w:marBottom w:val="0"/>
          <w:divBdr>
            <w:top w:val="none" w:sz="0" w:space="0" w:color="auto"/>
            <w:left w:val="none" w:sz="0" w:space="0" w:color="auto"/>
            <w:bottom w:val="none" w:sz="0" w:space="0" w:color="auto"/>
            <w:right w:val="none" w:sz="0" w:space="0" w:color="auto"/>
          </w:divBdr>
          <w:divsChild>
            <w:div w:id="2060855007">
              <w:marLeft w:val="0"/>
              <w:marRight w:val="0"/>
              <w:marTop w:val="0"/>
              <w:marBottom w:val="0"/>
              <w:divBdr>
                <w:top w:val="none" w:sz="0" w:space="0" w:color="auto"/>
                <w:left w:val="none" w:sz="0" w:space="0" w:color="auto"/>
                <w:bottom w:val="none" w:sz="0" w:space="0" w:color="auto"/>
                <w:right w:val="none" w:sz="0" w:space="0" w:color="auto"/>
              </w:divBdr>
            </w:div>
          </w:divsChild>
        </w:div>
        <w:div w:id="1550650036">
          <w:marLeft w:val="0"/>
          <w:marRight w:val="0"/>
          <w:marTop w:val="0"/>
          <w:marBottom w:val="0"/>
          <w:divBdr>
            <w:top w:val="none" w:sz="0" w:space="0" w:color="auto"/>
            <w:left w:val="none" w:sz="0" w:space="0" w:color="auto"/>
            <w:bottom w:val="none" w:sz="0" w:space="0" w:color="auto"/>
            <w:right w:val="none" w:sz="0" w:space="0" w:color="auto"/>
          </w:divBdr>
          <w:divsChild>
            <w:div w:id="238053359">
              <w:marLeft w:val="0"/>
              <w:marRight w:val="0"/>
              <w:marTop w:val="0"/>
              <w:marBottom w:val="0"/>
              <w:divBdr>
                <w:top w:val="none" w:sz="0" w:space="0" w:color="auto"/>
                <w:left w:val="none" w:sz="0" w:space="0" w:color="auto"/>
                <w:bottom w:val="none" w:sz="0" w:space="0" w:color="auto"/>
                <w:right w:val="none" w:sz="0" w:space="0" w:color="auto"/>
              </w:divBdr>
            </w:div>
          </w:divsChild>
        </w:div>
        <w:div w:id="1880042957">
          <w:marLeft w:val="0"/>
          <w:marRight w:val="0"/>
          <w:marTop w:val="0"/>
          <w:marBottom w:val="0"/>
          <w:divBdr>
            <w:top w:val="none" w:sz="0" w:space="0" w:color="auto"/>
            <w:left w:val="none" w:sz="0" w:space="0" w:color="auto"/>
            <w:bottom w:val="none" w:sz="0" w:space="0" w:color="auto"/>
            <w:right w:val="none" w:sz="0" w:space="0" w:color="auto"/>
          </w:divBdr>
          <w:divsChild>
            <w:div w:id="849951708">
              <w:marLeft w:val="0"/>
              <w:marRight w:val="0"/>
              <w:marTop w:val="0"/>
              <w:marBottom w:val="0"/>
              <w:divBdr>
                <w:top w:val="none" w:sz="0" w:space="0" w:color="auto"/>
                <w:left w:val="none" w:sz="0" w:space="0" w:color="auto"/>
                <w:bottom w:val="none" w:sz="0" w:space="0" w:color="auto"/>
                <w:right w:val="none" w:sz="0" w:space="0" w:color="auto"/>
              </w:divBdr>
            </w:div>
          </w:divsChild>
        </w:div>
        <w:div w:id="344720376">
          <w:marLeft w:val="0"/>
          <w:marRight w:val="0"/>
          <w:marTop w:val="0"/>
          <w:marBottom w:val="0"/>
          <w:divBdr>
            <w:top w:val="none" w:sz="0" w:space="0" w:color="auto"/>
            <w:left w:val="none" w:sz="0" w:space="0" w:color="auto"/>
            <w:bottom w:val="none" w:sz="0" w:space="0" w:color="auto"/>
            <w:right w:val="none" w:sz="0" w:space="0" w:color="auto"/>
          </w:divBdr>
          <w:divsChild>
            <w:div w:id="707802563">
              <w:marLeft w:val="0"/>
              <w:marRight w:val="0"/>
              <w:marTop w:val="0"/>
              <w:marBottom w:val="0"/>
              <w:divBdr>
                <w:top w:val="none" w:sz="0" w:space="0" w:color="auto"/>
                <w:left w:val="none" w:sz="0" w:space="0" w:color="auto"/>
                <w:bottom w:val="none" w:sz="0" w:space="0" w:color="auto"/>
                <w:right w:val="none" w:sz="0" w:space="0" w:color="auto"/>
              </w:divBdr>
            </w:div>
          </w:divsChild>
        </w:div>
        <w:div w:id="831290761">
          <w:marLeft w:val="0"/>
          <w:marRight w:val="0"/>
          <w:marTop w:val="0"/>
          <w:marBottom w:val="0"/>
          <w:divBdr>
            <w:top w:val="none" w:sz="0" w:space="0" w:color="auto"/>
            <w:left w:val="none" w:sz="0" w:space="0" w:color="auto"/>
            <w:bottom w:val="none" w:sz="0" w:space="0" w:color="auto"/>
            <w:right w:val="none" w:sz="0" w:space="0" w:color="auto"/>
          </w:divBdr>
          <w:divsChild>
            <w:div w:id="1132869824">
              <w:marLeft w:val="0"/>
              <w:marRight w:val="0"/>
              <w:marTop w:val="0"/>
              <w:marBottom w:val="0"/>
              <w:divBdr>
                <w:top w:val="none" w:sz="0" w:space="0" w:color="auto"/>
                <w:left w:val="none" w:sz="0" w:space="0" w:color="auto"/>
                <w:bottom w:val="none" w:sz="0" w:space="0" w:color="auto"/>
                <w:right w:val="none" w:sz="0" w:space="0" w:color="auto"/>
              </w:divBdr>
            </w:div>
          </w:divsChild>
        </w:div>
        <w:div w:id="1571379356">
          <w:marLeft w:val="0"/>
          <w:marRight w:val="0"/>
          <w:marTop w:val="0"/>
          <w:marBottom w:val="0"/>
          <w:divBdr>
            <w:top w:val="none" w:sz="0" w:space="0" w:color="auto"/>
            <w:left w:val="none" w:sz="0" w:space="0" w:color="auto"/>
            <w:bottom w:val="none" w:sz="0" w:space="0" w:color="auto"/>
            <w:right w:val="none" w:sz="0" w:space="0" w:color="auto"/>
          </w:divBdr>
          <w:divsChild>
            <w:div w:id="737747896">
              <w:marLeft w:val="0"/>
              <w:marRight w:val="0"/>
              <w:marTop w:val="0"/>
              <w:marBottom w:val="0"/>
              <w:divBdr>
                <w:top w:val="none" w:sz="0" w:space="0" w:color="auto"/>
                <w:left w:val="none" w:sz="0" w:space="0" w:color="auto"/>
                <w:bottom w:val="none" w:sz="0" w:space="0" w:color="auto"/>
                <w:right w:val="none" w:sz="0" w:space="0" w:color="auto"/>
              </w:divBdr>
            </w:div>
          </w:divsChild>
        </w:div>
        <w:div w:id="1709913343">
          <w:marLeft w:val="0"/>
          <w:marRight w:val="0"/>
          <w:marTop w:val="0"/>
          <w:marBottom w:val="0"/>
          <w:divBdr>
            <w:top w:val="none" w:sz="0" w:space="0" w:color="auto"/>
            <w:left w:val="none" w:sz="0" w:space="0" w:color="auto"/>
            <w:bottom w:val="none" w:sz="0" w:space="0" w:color="auto"/>
            <w:right w:val="none" w:sz="0" w:space="0" w:color="auto"/>
          </w:divBdr>
          <w:divsChild>
            <w:div w:id="1805735194">
              <w:marLeft w:val="0"/>
              <w:marRight w:val="0"/>
              <w:marTop w:val="0"/>
              <w:marBottom w:val="0"/>
              <w:divBdr>
                <w:top w:val="none" w:sz="0" w:space="0" w:color="auto"/>
                <w:left w:val="none" w:sz="0" w:space="0" w:color="auto"/>
                <w:bottom w:val="none" w:sz="0" w:space="0" w:color="auto"/>
                <w:right w:val="none" w:sz="0" w:space="0" w:color="auto"/>
              </w:divBdr>
            </w:div>
          </w:divsChild>
        </w:div>
        <w:div w:id="1099639806">
          <w:marLeft w:val="0"/>
          <w:marRight w:val="0"/>
          <w:marTop w:val="0"/>
          <w:marBottom w:val="0"/>
          <w:divBdr>
            <w:top w:val="none" w:sz="0" w:space="0" w:color="auto"/>
            <w:left w:val="none" w:sz="0" w:space="0" w:color="auto"/>
            <w:bottom w:val="none" w:sz="0" w:space="0" w:color="auto"/>
            <w:right w:val="none" w:sz="0" w:space="0" w:color="auto"/>
          </w:divBdr>
          <w:divsChild>
            <w:div w:id="936598633">
              <w:marLeft w:val="0"/>
              <w:marRight w:val="0"/>
              <w:marTop w:val="0"/>
              <w:marBottom w:val="0"/>
              <w:divBdr>
                <w:top w:val="none" w:sz="0" w:space="0" w:color="auto"/>
                <w:left w:val="none" w:sz="0" w:space="0" w:color="auto"/>
                <w:bottom w:val="none" w:sz="0" w:space="0" w:color="auto"/>
                <w:right w:val="none" w:sz="0" w:space="0" w:color="auto"/>
              </w:divBdr>
            </w:div>
          </w:divsChild>
        </w:div>
        <w:div w:id="998843838">
          <w:marLeft w:val="0"/>
          <w:marRight w:val="0"/>
          <w:marTop w:val="0"/>
          <w:marBottom w:val="0"/>
          <w:divBdr>
            <w:top w:val="none" w:sz="0" w:space="0" w:color="auto"/>
            <w:left w:val="none" w:sz="0" w:space="0" w:color="auto"/>
            <w:bottom w:val="none" w:sz="0" w:space="0" w:color="auto"/>
            <w:right w:val="none" w:sz="0" w:space="0" w:color="auto"/>
          </w:divBdr>
          <w:divsChild>
            <w:div w:id="1436174416">
              <w:marLeft w:val="0"/>
              <w:marRight w:val="0"/>
              <w:marTop w:val="0"/>
              <w:marBottom w:val="0"/>
              <w:divBdr>
                <w:top w:val="none" w:sz="0" w:space="0" w:color="auto"/>
                <w:left w:val="none" w:sz="0" w:space="0" w:color="auto"/>
                <w:bottom w:val="none" w:sz="0" w:space="0" w:color="auto"/>
                <w:right w:val="none" w:sz="0" w:space="0" w:color="auto"/>
              </w:divBdr>
            </w:div>
          </w:divsChild>
        </w:div>
        <w:div w:id="1507283405">
          <w:marLeft w:val="0"/>
          <w:marRight w:val="0"/>
          <w:marTop w:val="0"/>
          <w:marBottom w:val="0"/>
          <w:divBdr>
            <w:top w:val="none" w:sz="0" w:space="0" w:color="auto"/>
            <w:left w:val="none" w:sz="0" w:space="0" w:color="auto"/>
            <w:bottom w:val="none" w:sz="0" w:space="0" w:color="auto"/>
            <w:right w:val="none" w:sz="0" w:space="0" w:color="auto"/>
          </w:divBdr>
          <w:divsChild>
            <w:div w:id="138546713">
              <w:marLeft w:val="0"/>
              <w:marRight w:val="0"/>
              <w:marTop w:val="0"/>
              <w:marBottom w:val="0"/>
              <w:divBdr>
                <w:top w:val="none" w:sz="0" w:space="0" w:color="auto"/>
                <w:left w:val="none" w:sz="0" w:space="0" w:color="auto"/>
                <w:bottom w:val="none" w:sz="0" w:space="0" w:color="auto"/>
                <w:right w:val="none" w:sz="0" w:space="0" w:color="auto"/>
              </w:divBdr>
            </w:div>
          </w:divsChild>
        </w:div>
        <w:div w:id="727846326">
          <w:marLeft w:val="0"/>
          <w:marRight w:val="0"/>
          <w:marTop w:val="0"/>
          <w:marBottom w:val="0"/>
          <w:divBdr>
            <w:top w:val="none" w:sz="0" w:space="0" w:color="auto"/>
            <w:left w:val="none" w:sz="0" w:space="0" w:color="auto"/>
            <w:bottom w:val="none" w:sz="0" w:space="0" w:color="auto"/>
            <w:right w:val="none" w:sz="0" w:space="0" w:color="auto"/>
          </w:divBdr>
          <w:divsChild>
            <w:div w:id="1078945764">
              <w:marLeft w:val="0"/>
              <w:marRight w:val="0"/>
              <w:marTop w:val="0"/>
              <w:marBottom w:val="0"/>
              <w:divBdr>
                <w:top w:val="none" w:sz="0" w:space="0" w:color="auto"/>
                <w:left w:val="none" w:sz="0" w:space="0" w:color="auto"/>
                <w:bottom w:val="none" w:sz="0" w:space="0" w:color="auto"/>
                <w:right w:val="none" w:sz="0" w:space="0" w:color="auto"/>
              </w:divBdr>
            </w:div>
          </w:divsChild>
        </w:div>
        <w:div w:id="2030522296">
          <w:marLeft w:val="0"/>
          <w:marRight w:val="0"/>
          <w:marTop w:val="0"/>
          <w:marBottom w:val="0"/>
          <w:divBdr>
            <w:top w:val="none" w:sz="0" w:space="0" w:color="auto"/>
            <w:left w:val="none" w:sz="0" w:space="0" w:color="auto"/>
            <w:bottom w:val="none" w:sz="0" w:space="0" w:color="auto"/>
            <w:right w:val="none" w:sz="0" w:space="0" w:color="auto"/>
          </w:divBdr>
          <w:divsChild>
            <w:div w:id="417101432">
              <w:marLeft w:val="0"/>
              <w:marRight w:val="0"/>
              <w:marTop w:val="0"/>
              <w:marBottom w:val="0"/>
              <w:divBdr>
                <w:top w:val="none" w:sz="0" w:space="0" w:color="auto"/>
                <w:left w:val="none" w:sz="0" w:space="0" w:color="auto"/>
                <w:bottom w:val="none" w:sz="0" w:space="0" w:color="auto"/>
                <w:right w:val="none" w:sz="0" w:space="0" w:color="auto"/>
              </w:divBdr>
            </w:div>
          </w:divsChild>
        </w:div>
        <w:div w:id="332488532">
          <w:marLeft w:val="0"/>
          <w:marRight w:val="0"/>
          <w:marTop w:val="0"/>
          <w:marBottom w:val="0"/>
          <w:divBdr>
            <w:top w:val="none" w:sz="0" w:space="0" w:color="auto"/>
            <w:left w:val="none" w:sz="0" w:space="0" w:color="auto"/>
            <w:bottom w:val="none" w:sz="0" w:space="0" w:color="auto"/>
            <w:right w:val="none" w:sz="0" w:space="0" w:color="auto"/>
          </w:divBdr>
          <w:divsChild>
            <w:div w:id="1462335163">
              <w:marLeft w:val="0"/>
              <w:marRight w:val="0"/>
              <w:marTop w:val="0"/>
              <w:marBottom w:val="0"/>
              <w:divBdr>
                <w:top w:val="none" w:sz="0" w:space="0" w:color="auto"/>
                <w:left w:val="none" w:sz="0" w:space="0" w:color="auto"/>
                <w:bottom w:val="none" w:sz="0" w:space="0" w:color="auto"/>
                <w:right w:val="none" w:sz="0" w:space="0" w:color="auto"/>
              </w:divBdr>
            </w:div>
          </w:divsChild>
        </w:div>
        <w:div w:id="1136530763">
          <w:marLeft w:val="0"/>
          <w:marRight w:val="0"/>
          <w:marTop w:val="0"/>
          <w:marBottom w:val="0"/>
          <w:divBdr>
            <w:top w:val="none" w:sz="0" w:space="0" w:color="auto"/>
            <w:left w:val="none" w:sz="0" w:space="0" w:color="auto"/>
            <w:bottom w:val="none" w:sz="0" w:space="0" w:color="auto"/>
            <w:right w:val="none" w:sz="0" w:space="0" w:color="auto"/>
          </w:divBdr>
          <w:divsChild>
            <w:div w:id="958758546">
              <w:marLeft w:val="0"/>
              <w:marRight w:val="0"/>
              <w:marTop w:val="0"/>
              <w:marBottom w:val="0"/>
              <w:divBdr>
                <w:top w:val="none" w:sz="0" w:space="0" w:color="auto"/>
                <w:left w:val="none" w:sz="0" w:space="0" w:color="auto"/>
                <w:bottom w:val="none" w:sz="0" w:space="0" w:color="auto"/>
                <w:right w:val="none" w:sz="0" w:space="0" w:color="auto"/>
              </w:divBdr>
            </w:div>
          </w:divsChild>
        </w:div>
        <w:div w:id="1961108545">
          <w:marLeft w:val="0"/>
          <w:marRight w:val="0"/>
          <w:marTop w:val="0"/>
          <w:marBottom w:val="0"/>
          <w:divBdr>
            <w:top w:val="none" w:sz="0" w:space="0" w:color="auto"/>
            <w:left w:val="none" w:sz="0" w:space="0" w:color="auto"/>
            <w:bottom w:val="none" w:sz="0" w:space="0" w:color="auto"/>
            <w:right w:val="none" w:sz="0" w:space="0" w:color="auto"/>
          </w:divBdr>
          <w:divsChild>
            <w:div w:id="1547832344">
              <w:marLeft w:val="0"/>
              <w:marRight w:val="0"/>
              <w:marTop w:val="0"/>
              <w:marBottom w:val="0"/>
              <w:divBdr>
                <w:top w:val="none" w:sz="0" w:space="0" w:color="auto"/>
                <w:left w:val="none" w:sz="0" w:space="0" w:color="auto"/>
                <w:bottom w:val="none" w:sz="0" w:space="0" w:color="auto"/>
                <w:right w:val="none" w:sz="0" w:space="0" w:color="auto"/>
              </w:divBdr>
            </w:div>
          </w:divsChild>
        </w:div>
        <w:div w:id="12341981">
          <w:marLeft w:val="0"/>
          <w:marRight w:val="0"/>
          <w:marTop w:val="0"/>
          <w:marBottom w:val="0"/>
          <w:divBdr>
            <w:top w:val="none" w:sz="0" w:space="0" w:color="auto"/>
            <w:left w:val="none" w:sz="0" w:space="0" w:color="auto"/>
            <w:bottom w:val="none" w:sz="0" w:space="0" w:color="auto"/>
            <w:right w:val="none" w:sz="0" w:space="0" w:color="auto"/>
          </w:divBdr>
          <w:divsChild>
            <w:div w:id="1459644530">
              <w:marLeft w:val="0"/>
              <w:marRight w:val="0"/>
              <w:marTop w:val="0"/>
              <w:marBottom w:val="0"/>
              <w:divBdr>
                <w:top w:val="none" w:sz="0" w:space="0" w:color="auto"/>
                <w:left w:val="none" w:sz="0" w:space="0" w:color="auto"/>
                <w:bottom w:val="none" w:sz="0" w:space="0" w:color="auto"/>
                <w:right w:val="none" w:sz="0" w:space="0" w:color="auto"/>
              </w:divBdr>
            </w:div>
          </w:divsChild>
        </w:div>
        <w:div w:id="1514879915">
          <w:marLeft w:val="0"/>
          <w:marRight w:val="0"/>
          <w:marTop w:val="0"/>
          <w:marBottom w:val="0"/>
          <w:divBdr>
            <w:top w:val="none" w:sz="0" w:space="0" w:color="auto"/>
            <w:left w:val="none" w:sz="0" w:space="0" w:color="auto"/>
            <w:bottom w:val="none" w:sz="0" w:space="0" w:color="auto"/>
            <w:right w:val="none" w:sz="0" w:space="0" w:color="auto"/>
          </w:divBdr>
          <w:divsChild>
            <w:div w:id="321544725">
              <w:marLeft w:val="0"/>
              <w:marRight w:val="0"/>
              <w:marTop w:val="0"/>
              <w:marBottom w:val="0"/>
              <w:divBdr>
                <w:top w:val="none" w:sz="0" w:space="0" w:color="auto"/>
                <w:left w:val="none" w:sz="0" w:space="0" w:color="auto"/>
                <w:bottom w:val="none" w:sz="0" w:space="0" w:color="auto"/>
                <w:right w:val="none" w:sz="0" w:space="0" w:color="auto"/>
              </w:divBdr>
            </w:div>
          </w:divsChild>
        </w:div>
        <w:div w:id="1010333989">
          <w:marLeft w:val="0"/>
          <w:marRight w:val="0"/>
          <w:marTop w:val="0"/>
          <w:marBottom w:val="0"/>
          <w:divBdr>
            <w:top w:val="none" w:sz="0" w:space="0" w:color="auto"/>
            <w:left w:val="none" w:sz="0" w:space="0" w:color="auto"/>
            <w:bottom w:val="none" w:sz="0" w:space="0" w:color="auto"/>
            <w:right w:val="none" w:sz="0" w:space="0" w:color="auto"/>
          </w:divBdr>
          <w:divsChild>
            <w:div w:id="958536604">
              <w:marLeft w:val="0"/>
              <w:marRight w:val="0"/>
              <w:marTop w:val="0"/>
              <w:marBottom w:val="0"/>
              <w:divBdr>
                <w:top w:val="none" w:sz="0" w:space="0" w:color="auto"/>
                <w:left w:val="none" w:sz="0" w:space="0" w:color="auto"/>
                <w:bottom w:val="none" w:sz="0" w:space="0" w:color="auto"/>
                <w:right w:val="none" w:sz="0" w:space="0" w:color="auto"/>
              </w:divBdr>
            </w:div>
          </w:divsChild>
        </w:div>
        <w:div w:id="270362732">
          <w:marLeft w:val="0"/>
          <w:marRight w:val="0"/>
          <w:marTop w:val="0"/>
          <w:marBottom w:val="0"/>
          <w:divBdr>
            <w:top w:val="none" w:sz="0" w:space="0" w:color="auto"/>
            <w:left w:val="none" w:sz="0" w:space="0" w:color="auto"/>
            <w:bottom w:val="none" w:sz="0" w:space="0" w:color="auto"/>
            <w:right w:val="none" w:sz="0" w:space="0" w:color="auto"/>
          </w:divBdr>
          <w:divsChild>
            <w:div w:id="976108779">
              <w:marLeft w:val="0"/>
              <w:marRight w:val="0"/>
              <w:marTop w:val="0"/>
              <w:marBottom w:val="0"/>
              <w:divBdr>
                <w:top w:val="none" w:sz="0" w:space="0" w:color="auto"/>
                <w:left w:val="none" w:sz="0" w:space="0" w:color="auto"/>
                <w:bottom w:val="none" w:sz="0" w:space="0" w:color="auto"/>
                <w:right w:val="none" w:sz="0" w:space="0" w:color="auto"/>
              </w:divBdr>
            </w:div>
          </w:divsChild>
        </w:div>
        <w:div w:id="1904757619">
          <w:marLeft w:val="0"/>
          <w:marRight w:val="0"/>
          <w:marTop w:val="0"/>
          <w:marBottom w:val="0"/>
          <w:divBdr>
            <w:top w:val="none" w:sz="0" w:space="0" w:color="auto"/>
            <w:left w:val="none" w:sz="0" w:space="0" w:color="auto"/>
            <w:bottom w:val="none" w:sz="0" w:space="0" w:color="auto"/>
            <w:right w:val="none" w:sz="0" w:space="0" w:color="auto"/>
          </w:divBdr>
          <w:divsChild>
            <w:div w:id="565072624">
              <w:marLeft w:val="0"/>
              <w:marRight w:val="0"/>
              <w:marTop w:val="0"/>
              <w:marBottom w:val="0"/>
              <w:divBdr>
                <w:top w:val="none" w:sz="0" w:space="0" w:color="auto"/>
                <w:left w:val="none" w:sz="0" w:space="0" w:color="auto"/>
                <w:bottom w:val="none" w:sz="0" w:space="0" w:color="auto"/>
                <w:right w:val="none" w:sz="0" w:space="0" w:color="auto"/>
              </w:divBdr>
            </w:div>
          </w:divsChild>
        </w:div>
        <w:div w:id="1917474855">
          <w:marLeft w:val="0"/>
          <w:marRight w:val="0"/>
          <w:marTop w:val="0"/>
          <w:marBottom w:val="0"/>
          <w:divBdr>
            <w:top w:val="none" w:sz="0" w:space="0" w:color="auto"/>
            <w:left w:val="none" w:sz="0" w:space="0" w:color="auto"/>
            <w:bottom w:val="none" w:sz="0" w:space="0" w:color="auto"/>
            <w:right w:val="none" w:sz="0" w:space="0" w:color="auto"/>
          </w:divBdr>
          <w:divsChild>
            <w:div w:id="281498966">
              <w:marLeft w:val="0"/>
              <w:marRight w:val="0"/>
              <w:marTop w:val="0"/>
              <w:marBottom w:val="0"/>
              <w:divBdr>
                <w:top w:val="none" w:sz="0" w:space="0" w:color="auto"/>
                <w:left w:val="none" w:sz="0" w:space="0" w:color="auto"/>
                <w:bottom w:val="none" w:sz="0" w:space="0" w:color="auto"/>
                <w:right w:val="none" w:sz="0" w:space="0" w:color="auto"/>
              </w:divBdr>
            </w:div>
          </w:divsChild>
        </w:div>
        <w:div w:id="829559231">
          <w:marLeft w:val="0"/>
          <w:marRight w:val="0"/>
          <w:marTop w:val="0"/>
          <w:marBottom w:val="0"/>
          <w:divBdr>
            <w:top w:val="none" w:sz="0" w:space="0" w:color="auto"/>
            <w:left w:val="none" w:sz="0" w:space="0" w:color="auto"/>
            <w:bottom w:val="none" w:sz="0" w:space="0" w:color="auto"/>
            <w:right w:val="none" w:sz="0" w:space="0" w:color="auto"/>
          </w:divBdr>
          <w:divsChild>
            <w:div w:id="2048679307">
              <w:marLeft w:val="0"/>
              <w:marRight w:val="0"/>
              <w:marTop w:val="0"/>
              <w:marBottom w:val="0"/>
              <w:divBdr>
                <w:top w:val="none" w:sz="0" w:space="0" w:color="auto"/>
                <w:left w:val="none" w:sz="0" w:space="0" w:color="auto"/>
                <w:bottom w:val="none" w:sz="0" w:space="0" w:color="auto"/>
                <w:right w:val="none" w:sz="0" w:space="0" w:color="auto"/>
              </w:divBdr>
            </w:div>
          </w:divsChild>
        </w:div>
        <w:div w:id="1608272665">
          <w:marLeft w:val="0"/>
          <w:marRight w:val="0"/>
          <w:marTop w:val="0"/>
          <w:marBottom w:val="0"/>
          <w:divBdr>
            <w:top w:val="none" w:sz="0" w:space="0" w:color="auto"/>
            <w:left w:val="none" w:sz="0" w:space="0" w:color="auto"/>
            <w:bottom w:val="none" w:sz="0" w:space="0" w:color="auto"/>
            <w:right w:val="none" w:sz="0" w:space="0" w:color="auto"/>
          </w:divBdr>
          <w:divsChild>
            <w:div w:id="1452095691">
              <w:marLeft w:val="0"/>
              <w:marRight w:val="0"/>
              <w:marTop w:val="0"/>
              <w:marBottom w:val="0"/>
              <w:divBdr>
                <w:top w:val="none" w:sz="0" w:space="0" w:color="auto"/>
                <w:left w:val="none" w:sz="0" w:space="0" w:color="auto"/>
                <w:bottom w:val="none" w:sz="0" w:space="0" w:color="auto"/>
                <w:right w:val="none" w:sz="0" w:space="0" w:color="auto"/>
              </w:divBdr>
            </w:div>
          </w:divsChild>
        </w:div>
        <w:div w:id="544874354">
          <w:marLeft w:val="0"/>
          <w:marRight w:val="0"/>
          <w:marTop w:val="0"/>
          <w:marBottom w:val="0"/>
          <w:divBdr>
            <w:top w:val="none" w:sz="0" w:space="0" w:color="auto"/>
            <w:left w:val="none" w:sz="0" w:space="0" w:color="auto"/>
            <w:bottom w:val="none" w:sz="0" w:space="0" w:color="auto"/>
            <w:right w:val="none" w:sz="0" w:space="0" w:color="auto"/>
          </w:divBdr>
          <w:divsChild>
            <w:div w:id="583804051">
              <w:marLeft w:val="0"/>
              <w:marRight w:val="0"/>
              <w:marTop w:val="0"/>
              <w:marBottom w:val="0"/>
              <w:divBdr>
                <w:top w:val="none" w:sz="0" w:space="0" w:color="auto"/>
                <w:left w:val="none" w:sz="0" w:space="0" w:color="auto"/>
                <w:bottom w:val="none" w:sz="0" w:space="0" w:color="auto"/>
                <w:right w:val="none" w:sz="0" w:space="0" w:color="auto"/>
              </w:divBdr>
            </w:div>
          </w:divsChild>
        </w:div>
        <w:div w:id="768626892">
          <w:marLeft w:val="0"/>
          <w:marRight w:val="0"/>
          <w:marTop w:val="0"/>
          <w:marBottom w:val="0"/>
          <w:divBdr>
            <w:top w:val="none" w:sz="0" w:space="0" w:color="auto"/>
            <w:left w:val="none" w:sz="0" w:space="0" w:color="auto"/>
            <w:bottom w:val="none" w:sz="0" w:space="0" w:color="auto"/>
            <w:right w:val="none" w:sz="0" w:space="0" w:color="auto"/>
          </w:divBdr>
          <w:divsChild>
            <w:div w:id="1808081009">
              <w:marLeft w:val="0"/>
              <w:marRight w:val="0"/>
              <w:marTop w:val="0"/>
              <w:marBottom w:val="0"/>
              <w:divBdr>
                <w:top w:val="none" w:sz="0" w:space="0" w:color="auto"/>
                <w:left w:val="none" w:sz="0" w:space="0" w:color="auto"/>
                <w:bottom w:val="none" w:sz="0" w:space="0" w:color="auto"/>
                <w:right w:val="none" w:sz="0" w:space="0" w:color="auto"/>
              </w:divBdr>
            </w:div>
          </w:divsChild>
        </w:div>
        <w:div w:id="1971282401">
          <w:marLeft w:val="0"/>
          <w:marRight w:val="0"/>
          <w:marTop w:val="0"/>
          <w:marBottom w:val="0"/>
          <w:divBdr>
            <w:top w:val="none" w:sz="0" w:space="0" w:color="auto"/>
            <w:left w:val="none" w:sz="0" w:space="0" w:color="auto"/>
            <w:bottom w:val="none" w:sz="0" w:space="0" w:color="auto"/>
            <w:right w:val="none" w:sz="0" w:space="0" w:color="auto"/>
          </w:divBdr>
          <w:divsChild>
            <w:div w:id="1157652713">
              <w:marLeft w:val="0"/>
              <w:marRight w:val="0"/>
              <w:marTop w:val="0"/>
              <w:marBottom w:val="0"/>
              <w:divBdr>
                <w:top w:val="none" w:sz="0" w:space="0" w:color="auto"/>
                <w:left w:val="none" w:sz="0" w:space="0" w:color="auto"/>
                <w:bottom w:val="none" w:sz="0" w:space="0" w:color="auto"/>
                <w:right w:val="none" w:sz="0" w:space="0" w:color="auto"/>
              </w:divBdr>
            </w:div>
          </w:divsChild>
        </w:div>
        <w:div w:id="227617134">
          <w:marLeft w:val="0"/>
          <w:marRight w:val="0"/>
          <w:marTop w:val="0"/>
          <w:marBottom w:val="0"/>
          <w:divBdr>
            <w:top w:val="none" w:sz="0" w:space="0" w:color="auto"/>
            <w:left w:val="none" w:sz="0" w:space="0" w:color="auto"/>
            <w:bottom w:val="none" w:sz="0" w:space="0" w:color="auto"/>
            <w:right w:val="none" w:sz="0" w:space="0" w:color="auto"/>
          </w:divBdr>
          <w:divsChild>
            <w:div w:id="384791640">
              <w:marLeft w:val="0"/>
              <w:marRight w:val="0"/>
              <w:marTop w:val="0"/>
              <w:marBottom w:val="0"/>
              <w:divBdr>
                <w:top w:val="none" w:sz="0" w:space="0" w:color="auto"/>
                <w:left w:val="none" w:sz="0" w:space="0" w:color="auto"/>
                <w:bottom w:val="none" w:sz="0" w:space="0" w:color="auto"/>
                <w:right w:val="none" w:sz="0" w:space="0" w:color="auto"/>
              </w:divBdr>
            </w:div>
          </w:divsChild>
        </w:div>
        <w:div w:id="382559169">
          <w:marLeft w:val="0"/>
          <w:marRight w:val="0"/>
          <w:marTop w:val="0"/>
          <w:marBottom w:val="0"/>
          <w:divBdr>
            <w:top w:val="none" w:sz="0" w:space="0" w:color="auto"/>
            <w:left w:val="none" w:sz="0" w:space="0" w:color="auto"/>
            <w:bottom w:val="none" w:sz="0" w:space="0" w:color="auto"/>
            <w:right w:val="none" w:sz="0" w:space="0" w:color="auto"/>
          </w:divBdr>
          <w:divsChild>
            <w:div w:id="1680504080">
              <w:marLeft w:val="0"/>
              <w:marRight w:val="0"/>
              <w:marTop w:val="0"/>
              <w:marBottom w:val="0"/>
              <w:divBdr>
                <w:top w:val="none" w:sz="0" w:space="0" w:color="auto"/>
                <w:left w:val="none" w:sz="0" w:space="0" w:color="auto"/>
                <w:bottom w:val="none" w:sz="0" w:space="0" w:color="auto"/>
                <w:right w:val="none" w:sz="0" w:space="0" w:color="auto"/>
              </w:divBdr>
            </w:div>
          </w:divsChild>
        </w:div>
        <w:div w:id="2097549396">
          <w:marLeft w:val="0"/>
          <w:marRight w:val="0"/>
          <w:marTop w:val="0"/>
          <w:marBottom w:val="0"/>
          <w:divBdr>
            <w:top w:val="none" w:sz="0" w:space="0" w:color="auto"/>
            <w:left w:val="none" w:sz="0" w:space="0" w:color="auto"/>
            <w:bottom w:val="none" w:sz="0" w:space="0" w:color="auto"/>
            <w:right w:val="none" w:sz="0" w:space="0" w:color="auto"/>
          </w:divBdr>
          <w:divsChild>
            <w:div w:id="344595454">
              <w:marLeft w:val="0"/>
              <w:marRight w:val="0"/>
              <w:marTop w:val="0"/>
              <w:marBottom w:val="0"/>
              <w:divBdr>
                <w:top w:val="none" w:sz="0" w:space="0" w:color="auto"/>
                <w:left w:val="none" w:sz="0" w:space="0" w:color="auto"/>
                <w:bottom w:val="none" w:sz="0" w:space="0" w:color="auto"/>
                <w:right w:val="none" w:sz="0" w:space="0" w:color="auto"/>
              </w:divBdr>
            </w:div>
          </w:divsChild>
        </w:div>
        <w:div w:id="682392308">
          <w:marLeft w:val="0"/>
          <w:marRight w:val="0"/>
          <w:marTop w:val="0"/>
          <w:marBottom w:val="0"/>
          <w:divBdr>
            <w:top w:val="none" w:sz="0" w:space="0" w:color="auto"/>
            <w:left w:val="none" w:sz="0" w:space="0" w:color="auto"/>
            <w:bottom w:val="none" w:sz="0" w:space="0" w:color="auto"/>
            <w:right w:val="none" w:sz="0" w:space="0" w:color="auto"/>
          </w:divBdr>
          <w:divsChild>
            <w:div w:id="1923443504">
              <w:marLeft w:val="0"/>
              <w:marRight w:val="0"/>
              <w:marTop w:val="0"/>
              <w:marBottom w:val="0"/>
              <w:divBdr>
                <w:top w:val="none" w:sz="0" w:space="0" w:color="auto"/>
                <w:left w:val="none" w:sz="0" w:space="0" w:color="auto"/>
                <w:bottom w:val="none" w:sz="0" w:space="0" w:color="auto"/>
                <w:right w:val="none" w:sz="0" w:space="0" w:color="auto"/>
              </w:divBdr>
            </w:div>
          </w:divsChild>
        </w:div>
        <w:div w:id="546530316">
          <w:marLeft w:val="0"/>
          <w:marRight w:val="0"/>
          <w:marTop w:val="0"/>
          <w:marBottom w:val="0"/>
          <w:divBdr>
            <w:top w:val="none" w:sz="0" w:space="0" w:color="auto"/>
            <w:left w:val="none" w:sz="0" w:space="0" w:color="auto"/>
            <w:bottom w:val="none" w:sz="0" w:space="0" w:color="auto"/>
            <w:right w:val="none" w:sz="0" w:space="0" w:color="auto"/>
          </w:divBdr>
          <w:divsChild>
            <w:div w:id="458113877">
              <w:marLeft w:val="0"/>
              <w:marRight w:val="0"/>
              <w:marTop w:val="0"/>
              <w:marBottom w:val="0"/>
              <w:divBdr>
                <w:top w:val="none" w:sz="0" w:space="0" w:color="auto"/>
                <w:left w:val="none" w:sz="0" w:space="0" w:color="auto"/>
                <w:bottom w:val="none" w:sz="0" w:space="0" w:color="auto"/>
                <w:right w:val="none" w:sz="0" w:space="0" w:color="auto"/>
              </w:divBdr>
            </w:div>
          </w:divsChild>
        </w:div>
        <w:div w:id="888954614">
          <w:marLeft w:val="0"/>
          <w:marRight w:val="0"/>
          <w:marTop w:val="0"/>
          <w:marBottom w:val="0"/>
          <w:divBdr>
            <w:top w:val="none" w:sz="0" w:space="0" w:color="auto"/>
            <w:left w:val="none" w:sz="0" w:space="0" w:color="auto"/>
            <w:bottom w:val="none" w:sz="0" w:space="0" w:color="auto"/>
            <w:right w:val="none" w:sz="0" w:space="0" w:color="auto"/>
          </w:divBdr>
          <w:divsChild>
            <w:div w:id="1163544979">
              <w:marLeft w:val="0"/>
              <w:marRight w:val="0"/>
              <w:marTop w:val="0"/>
              <w:marBottom w:val="0"/>
              <w:divBdr>
                <w:top w:val="none" w:sz="0" w:space="0" w:color="auto"/>
                <w:left w:val="none" w:sz="0" w:space="0" w:color="auto"/>
                <w:bottom w:val="none" w:sz="0" w:space="0" w:color="auto"/>
                <w:right w:val="none" w:sz="0" w:space="0" w:color="auto"/>
              </w:divBdr>
            </w:div>
          </w:divsChild>
        </w:div>
        <w:div w:id="1327514347">
          <w:marLeft w:val="0"/>
          <w:marRight w:val="0"/>
          <w:marTop w:val="0"/>
          <w:marBottom w:val="0"/>
          <w:divBdr>
            <w:top w:val="none" w:sz="0" w:space="0" w:color="auto"/>
            <w:left w:val="none" w:sz="0" w:space="0" w:color="auto"/>
            <w:bottom w:val="none" w:sz="0" w:space="0" w:color="auto"/>
            <w:right w:val="none" w:sz="0" w:space="0" w:color="auto"/>
          </w:divBdr>
          <w:divsChild>
            <w:div w:id="583685588">
              <w:marLeft w:val="0"/>
              <w:marRight w:val="0"/>
              <w:marTop w:val="0"/>
              <w:marBottom w:val="0"/>
              <w:divBdr>
                <w:top w:val="none" w:sz="0" w:space="0" w:color="auto"/>
                <w:left w:val="none" w:sz="0" w:space="0" w:color="auto"/>
                <w:bottom w:val="none" w:sz="0" w:space="0" w:color="auto"/>
                <w:right w:val="none" w:sz="0" w:space="0" w:color="auto"/>
              </w:divBdr>
            </w:div>
          </w:divsChild>
        </w:div>
        <w:div w:id="1800758794">
          <w:marLeft w:val="0"/>
          <w:marRight w:val="0"/>
          <w:marTop w:val="0"/>
          <w:marBottom w:val="0"/>
          <w:divBdr>
            <w:top w:val="none" w:sz="0" w:space="0" w:color="auto"/>
            <w:left w:val="none" w:sz="0" w:space="0" w:color="auto"/>
            <w:bottom w:val="none" w:sz="0" w:space="0" w:color="auto"/>
            <w:right w:val="none" w:sz="0" w:space="0" w:color="auto"/>
          </w:divBdr>
          <w:divsChild>
            <w:div w:id="1298335540">
              <w:marLeft w:val="0"/>
              <w:marRight w:val="0"/>
              <w:marTop w:val="0"/>
              <w:marBottom w:val="0"/>
              <w:divBdr>
                <w:top w:val="none" w:sz="0" w:space="0" w:color="auto"/>
                <w:left w:val="none" w:sz="0" w:space="0" w:color="auto"/>
                <w:bottom w:val="none" w:sz="0" w:space="0" w:color="auto"/>
                <w:right w:val="none" w:sz="0" w:space="0" w:color="auto"/>
              </w:divBdr>
            </w:div>
          </w:divsChild>
        </w:div>
        <w:div w:id="1029572649">
          <w:marLeft w:val="0"/>
          <w:marRight w:val="0"/>
          <w:marTop w:val="0"/>
          <w:marBottom w:val="0"/>
          <w:divBdr>
            <w:top w:val="none" w:sz="0" w:space="0" w:color="auto"/>
            <w:left w:val="none" w:sz="0" w:space="0" w:color="auto"/>
            <w:bottom w:val="none" w:sz="0" w:space="0" w:color="auto"/>
            <w:right w:val="none" w:sz="0" w:space="0" w:color="auto"/>
          </w:divBdr>
          <w:divsChild>
            <w:div w:id="1099327794">
              <w:marLeft w:val="0"/>
              <w:marRight w:val="0"/>
              <w:marTop w:val="0"/>
              <w:marBottom w:val="0"/>
              <w:divBdr>
                <w:top w:val="none" w:sz="0" w:space="0" w:color="auto"/>
                <w:left w:val="none" w:sz="0" w:space="0" w:color="auto"/>
                <w:bottom w:val="none" w:sz="0" w:space="0" w:color="auto"/>
                <w:right w:val="none" w:sz="0" w:space="0" w:color="auto"/>
              </w:divBdr>
            </w:div>
          </w:divsChild>
        </w:div>
        <w:div w:id="1104032843">
          <w:marLeft w:val="0"/>
          <w:marRight w:val="0"/>
          <w:marTop w:val="0"/>
          <w:marBottom w:val="0"/>
          <w:divBdr>
            <w:top w:val="none" w:sz="0" w:space="0" w:color="auto"/>
            <w:left w:val="none" w:sz="0" w:space="0" w:color="auto"/>
            <w:bottom w:val="none" w:sz="0" w:space="0" w:color="auto"/>
            <w:right w:val="none" w:sz="0" w:space="0" w:color="auto"/>
          </w:divBdr>
          <w:divsChild>
            <w:div w:id="81997939">
              <w:marLeft w:val="0"/>
              <w:marRight w:val="0"/>
              <w:marTop w:val="0"/>
              <w:marBottom w:val="0"/>
              <w:divBdr>
                <w:top w:val="none" w:sz="0" w:space="0" w:color="auto"/>
                <w:left w:val="none" w:sz="0" w:space="0" w:color="auto"/>
                <w:bottom w:val="none" w:sz="0" w:space="0" w:color="auto"/>
                <w:right w:val="none" w:sz="0" w:space="0" w:color="auto"/>
              </w:divBdr>
            </w:div>
          </w:divsChild>
        </w:div>
        <w:div w:id="805977218">
          <w:marLeft w:val="0"/>
          <w:marRight w:val="0"/>
          <w:marTop w:val="0"/>
          <w:marBottom w:val="0"/>
          <w:divBdr>
            <w:top w:val="none" w:sz="0" w:space="0" w:color="auto"/>
            <w:left w:val="none" w:sz="0" w:space="0" w:color="auto"/>
            <w:bottom w:val="none" w:sz="0" w:space="0" w:color="auto"/>
            <w:right w:val="none" w:sz="0" w:space="0" w:color="auto"/>
          </w:divBdr>
          <w:divsChild>
            <w:div w:id="638263339">
              <w:marLeft w:val="0"/>
              <w:marRight w:val="0"/>
              <w:marTop w:val="0"/>
              <w:marBottom w:val="0"/>
              <w:divBdr>
                <w:top w:val="none" w:sz="0" w:space="0" w:color="auto"/>
                <w:left w:val="none" w:sz="0" w:space="0" w:color="auto"/>
                <w:bottom w:val="none" w:sz="0" w:space="0" w:color="auto"/>
                <w:right w:val="none" w:sz="0" w:space="0" w:color="auto"/>
              </w:divBdr>
            </w:div>
          </w:divsChild>
        </w:div>
        <w:div w:id="1964850589">
          <w:marLeft w:val="0"/>
          <w:marRight w:val="0"/>
          <w:marTop w:val="0"/>
          <w:marBottom w:val="0"/>
          <w:divBdr>
            <w:top w:val="none" w:sz="0" w:space="0" w:color="auto"/>
            <w:left w:val="none" w:sz="0" w:space="0" w:color="auto"/>
            <w:bottom w:val="none" w:sz="0" w:space="0" w:color="auto"/>
            <w:right w:val="none" w:sz="0" w:space="0" w:color="auto"/>
          </w:divBdr>
          <w:divsChild>
            <w:div w:id="1367752723">
              <w:marLeft w:val="0"/>
              <w:marRight w:val="0"/>
              <w:marTop w:val="0"/>
              <w:marBottom w:val="0"/>
              <w:divBdr>
                <w:top w:val="none" w:sz="0" w:space="0" w:color="auto"/>
                <w:left w:val="none" w:sz="0" w:space="0" w:color="auto"/>
                <w:bottom w:val="none" w:sz="0" w:space="0" w:color="auto"/>
                <w:right w:val="none" w:sz="0" w:space="0" w:color="auto"/>
              </w:divBdr>
            </w:div>
            <w:div w:id="592710720">
              <w:marLeft w:val="0"/>
              <w:marRight w:val="0"/>
              <w:marTop w:val="0"/>
              <w:marBottom w:val="0"/>
              <w:divBdr>
                <w:top w:val="none" w:sz="0" w:space="0" w:color="auto"/>
                <w:left w:val="none" w:sz="0" w:space="0" w:color="auto"/>
                <w:bottom w:val="none" w:sz="0" w:space="0" w:color="auto"/>
                <w:right w:val="none" w:sz="0" w:space="0" w:color="auto"/>
              </w:divBdr>
            </w:div>
          </w:divsChild>
        </w:div>
        <w:div w:id="1351757503">
          <w:marLeft w:val="0"/>
          <w:marRight w:val="0"/>
          <w:marTop w:val="0"/>
          <w:marBottom w:val="0"/>
          <w:divBdr>
            <w:top w:val="none" w:sz="0" w:space="0" w:color="auto"/>
            <w:left w:val="none" w:sz="0" w:space="0" w:color="auto"/>
            <w:bottom w:val="none" w:sz="0" w:space="0" w:color="auto"/>
            <w:right w:val="none" w:sz="0" w:space="0" w:color="auto"/>
          </w:divBdr>
          <w:divsChild>
            <w:div w:id="1127821541">
              <w:marLeft w:val="0"/>
              <w:marRight w:val="0"/>
              <w:marTop w:val="0"/>
              <w:marBottom w:val="0"/>
              <w:divBdr>
                <w:top w:val="none" w:sz="0" w:space="0" w:color="auto"/>
                <w:left w:val="none" w:sz="0" w:space="0" w:color="auto"/>
                <w:bottom w:val="none" w:sz="0" w:space="0" w:color="auto"/>
                <w:right w:val="none" w:sz="0" w:space="0" w:color="auto"/>
              </w:divBdr>
            </w:div>
          </w:divsChild>
        </w:div>
        <w:div w:id="1984264093">
          <w:marLeft w:val="0"/>
          <w:marRight w:val="0"/>
          <w:marTop w:val="0"/>
          <w:marBottom w:val="0"/>
          <w:divBdr>
            <w:top w:val="none" w:sz="0" w:space="0" w:color="auto"/>
            <w:left w:val="none" w:sz="0" w:space="0" w:color="auto"/>
            <w:bottom w:val="none" w:sz="0" w:space="0" w:color="auto"/>
            <w:right w:val="none" w:sz="0" w:space="0" w:color="auto"/>
          </w:divBdr>
          <w:divsChild>
            <w:div w:id="1936286757">
              <w:marLeft w:val="0"/>
              <w:marRight w:val="0"/>
              <w:marTop w:val="0"/>
              <w:marBottom w:val="0"/>
              <w:divBdr>
                <w:top w:val="none" w:sz="0" w:space="0" w:color="auto"/>
                <w:left w:val="none" w:sz="0" w:space="0" w:color="auto"/>
                <w:bottom w:val="none" w:sz="0" w:space="0" w:color="auto"/>
                <w:right w:val="none" w:sz="0" w:space="0" w:color="auto"/>
              </w:divBdr>
            </w:div>
            <w:div w:id="218634848">
              <w:marLeft w:val="0"/>
              <w:marRight w:val="0"/>
              <w:marTop w:val="0"/>
              <w:marBottom w:val="0"/>
              <w:divBdr>
                <w:top w:val="none" w:sz="0" w:space="0" w:color="auto"/>
                <w:left w:val="none" w:sz="0" w:space="0" w:color="auto"/>
                <w:bottom w:val="none" w:sz="0" w:space="0" w:color="auto"/>
                <w:right w:val="none" w:sz="0" w:space="0" w:color="auto"/>
              </w:divBdr>
            </w:div>
          </w:divsChild>
        </w:div>
        <w:div w:id="1011252277">
          <w:marLeft w:val="0"/>
          <w:marRight w:val="0"/>
          <w:marTop w:val="0"/>
          <w:marBottom w:val="0"/>
          <w:divBdr>
            <w:top w:val="none" w:sz="0" w:space="0" w:color="auto"/>
            <w:left w:val="none" w:sz="0" w:space="0" w:color="auto"/>
            <w:bottom w:val="none" w:sz="0" w:space="0" w:color="auto"/>
            <w:right w:val="none" w:sz="0" w:space="0" w:color="auto"/>
          </w:divBdr>
          <w:divsChild>
            <w:div w:id="1928151400">
              <w:marLeft w:val="0"/>
              <w:marRight w:val="0"/>
              <w:marTop w:val="0"/>
              <w:marBottom w:val="0"/>
              <w:divBdr>
                <w:top w:val="none" w:sz="0" w:space="0" w:color="auto"/>
                <w:left w:val="none" w:sz="0" w:space="0" w:color="auto"/>
                <w:bottom w:val="none" w:sz="0" w:space="0" w:color="auto"/>
                <w:right w:val="none" w:sz="0" w:space="0" w:color="auto"/>
              </w:divBdr>
            </w:div>
          </w:divsChild>
        </w:div>
        <w:div w:id="2146926205">
          <w:marLeft w:val="0"/>
          <w:marRight w:val="0"/>
          <w:marTop w:val="0"/>
          <w:marBottom w:val="0"/>
          <w:divBdr>
            <w:top w:val="none" w:sz="0" w:space="0" w:color="auto"/>
            <w:left w:val="none" w:sz="0" w:space="0" w:color="auto"/>
            <w:bottom w:val="none" w:sz="0" w:space="0" w:color="auto"/>
            <w:right w:val="none" w:sz="0" w:space="0" w:color="auto"/>
          </w:divBdr>
          <w:divsChild>
            <w:div w:id="661540836">
              <w:marLeft w:val="0"/>
              <w:marRight w:val="0"/>
              <w:marTop w:val="0"/>
              <w:marBottom w:val="0"/>
              <w:divBdr>
                <w:top w:val="none" w:sz="0" w:space="0" w:color="auto"/>
                <w:left w:val="none" w:sz="0" w:space="0" w:color="auto"/>
                <w:bottom w:val="none" w:sz="0" w:space="0" w:color="auto"/>
                <w:right w:val="none" w:sz="0" w:space="0" w:color="auto"/>
              </w:divBdr>
            </w:div>
          </w:divsChild>
        </w:div>
        <w:div w:id="424156478">
          <w:marLeft w:val="0"/>
          <w:marRight w:val="0"/>
          <w:marTop w:val="0"/>
          <w:marBottom w:val="0"/>
          <w:divBdr>
            <w:top w:val="none" w:sz="0" w:space="0" w:color="auto"/>
            <w:left w:val="none" w:sz="0" w:space="0" w:color="auto"/>
            <w:bottom w:val="none" w:sz="0" w:space="0" w:color="auto"/>
            <w:right w:val="none" w:sz="0" w:space="0" w:color="auto"/>
          </w:divBdr>
          <w:divsChild>
            <w:div w:id="671224401">
              <w:marLeft w:val="0"/>
              <w:marRight w:val="0"/>
              <w:marTop w:val="0"/>
              <w:marBottom w:val="0"/>
              <w:divBdr>
                <w:top w:val="none" w:sz="0" w:space="0" w:color="auto"/>
                <w:left w:val="none" w:sz="0" w:space="0" w:color="auto"/>
                <w:bottom w:val="none" w:sz="0" w:space="0" w:color="auto"/>
                <w:right w:val="none" w:sz="0" w:space="0" w:color="auto"/>
              </w:divBdr>
            </w:div>
            <w:div w:id="1226912253">
              <w:marLeft w:val="0"/>
              <w:marRight w:val="0"/>
              <w:marTop w:val="0"/>
              <w:marBottom w:val="0"/>
              <w:divBdr>
                <w:top w:val="none" w:sz="0" w:space="0" w:color="auto"/>
                <w:left w:val="none" w:sz="0" w:space="0" w:color="auto"/>
                <w:bottom w:val="none" w:sz="0" w:space="0" w:color="auto"/>
                <w:right w:val="none" w:sz="0" w:space="0" w:color="auto"/>
              </w:divBdr>
            </w:div>
            <w:div w:id="14131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232795">
      <w:bodyDiv w:val="1"/>
      <w:marLeft w:val="0"/>
      <w:marRight w:val="0"/>
      <w:marTop w:val="0"/>
      <w:marBottom w:val="0"/>
      <w:divBdr>
        <w:top w:val="none" w:sz="0" w:space="0" w:color="auto"/>
        <w:left w:val="none" w:sz="0" w:space="0" w:color="auto"/>
        <w:bottom w:val="none" w:sz="0" w:space="0" w:color="auto"/>
        <w:right w:val="none" w:sz="0" w:space="0" w:color="auto"/>
      </w:divBdr>
      <w:divsChild>
        <w:div w:id="1626497902">
          <w:marLeft w:val="0"/>
          <w:marRight w:val="0"/>
          <w:marTop w:val="0"/>
          <w:marBottom w:val="0"/>
          <w:divBdr>
            <w:top w:val="none" w:sz="0" w:space="0" w:color="auto"/>
            <w:left w:val="none" w:sz="0" w:space="0" w:color="auto"/>
            <w:bottom w:val="none" w:sz="0" w:space="0" w:color="auto"/>
            <w:right w:val="none" w:sz="0" w:space="0" w:color="auto"/>
          </w:divBdr>
        </w:div>
        <w:div w:id="345329906">
          <w:marLeft w:val="0"/>
          <w:marRight w:val="0"/>
          <w:marTop w:val="0"/>
          <w:marBottom w:val="0"/>
          <w:divBdr>
            <w:top w:val="none" w:sz="0" w:space="0" w:color="auto"/>
            <w:left w:val="none" w:sz="0" w:space="0" w:color="auto"/>
            <w:bottom w:val="none" w:sz="0" w:space="0" w:color="auto"/>
            <w:right w:val="none" w:sz="0" w:space="0" w:color="auto"/>
          </w:divBdr>
        </w:div>
        <w:div w:id="1797019017">
          <w:marLeft w:val="0"/>
          <w:marRight w:val="0"/>
          <w:marTop w:val="0"/>
          <w:marBottom w:val="0"/>
          <w:divBdr>
            <w:top w:val="none" w:sz="0" w:space="0" w:color="auto"/>
            <w:left w:val="none" w:sz="0" w:space="0" w:color="auto"/>
            <w:bottom w:val="none" w:sz="0" w:space="0" w:color="auto"/>
            <w:right w:val="none" w:sz="0" w:space="0" w:color="auto"/>
          </w:divBdr>
        </w:div>
      </w:divsChild>
    </w:div>
    <w:div w:id="211825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Custom 8">
      <a:dk1>
        <a:srgbClr val="0C0C0C"/>
      </a:dk1>
      <a:lt1>
        <a:sysClr val="window" lastClr="FFFFFF"/>
      </a:lt1>
      <a:dk2>
        <a:srgbClr val="262626"/>
      </a:dk2>
      <a:lt2>
        <a:srgbClr val="3F3F3F"/>
      </a:lt2>
      <a:accent1>
        <a:srgbClr val="002244"/>
      </a:accent1>
      <a:accent2>
        <a:srgbClr val="0075B0"/>
      </a:accent2>
      <a:accent3>
        <a:srgbClr val="0085C8"/>
      </a:accent3>
      <a:accent4>
        <a:srgbClr val="0091DA"/>
      </a:accent4>
      <a:accent5>
        <a:srgbClr val="00A4F6"/>
      </a:accent5>
      <a:accent6>
        <a:srgbClr val="0075B0"/>
      </a:accent6>
      <a:hlink>
        <a:srgbClr val="0075B0"/>
      </a:hlink>
      <a:folHlink>
        <a:srgbClr val="0070C0"/>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223017F1D414EBEE0BF3DCEEC486F" ma:contentTypeVersion="10" ma:contentTypeDescription="Create a new document." ma:contentTypeScope="" ma:versionID="6107d318113f7b8b711703c7cd022c87">
  <xsd:schema xmlns:xsd="http://www.w3.org/2001/XMLSchema" xmlns:xs="http://www.w3.org/2001/XMLSchema" xmlns:p="http://schemas.microsoft.com/office/2006/metadata/properties" xmlns:ns2="9f6b7e80-f44b-4edf-b830-96077701fcc3" xmlns:ns3="3f975cac-f96d-4c60-a2b9-0adb9056114e" targetNamespace="http://schemas.microsoft.com/office/2006/metadata/properties" ma:root="true" ma:fieldsID="484aaf2a41766b686fdcaa117732e744" ns2:_="" ns3:_="">
    <xsd:import namespace="9f6b7e80-f44b-4edf-b830-96077701fcc3"/>
    <xsd:import namespace="3f975cac-f96d-4c60-a2b9-0adb905611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6b7e80-f44b-4edf-b830-96077701fc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975cac-f96d-4c60-a2b9-0adb9056114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CC75BDB-7909-4A6F-986C-5748375216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6b7e80-f44b-4edf-b830-96077701fcc3"/>
    <ds:schemaRef ds:uri="3f975cac-f96d-4c60-a2b9-0adb905611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E3AAFE-D449-4665-A64F-CA6B319F9FDF}">
  <ds:schemaRefs>
    <ds:schemaRef ds:uri="http://schemas.microsoft.com/sharepoint/v3/contenttype/forms"/>
  </ds:schemaRefs>
</ds:datastoreItem>
</file>

<file path=customXml/itemProps3.xml><?xml version="1.0" encoding="utf-8"?>
<ds:datastoreItem xmlns:ds="http://schemas.openxmlformats.org/officeDocument/2006/customXml" ds:itemID="{16C2A7FD-E3CF-4E43-A3BE-ADD262136004}">
  <ds:schemaRefs>
    <ds:schemaRef ds:uri="http://schemas.openxmlformats.org/officeDocument/2006/bibliography"/>
  </ds:schemaRefs>
</ds:datastoreItem>
</file>

<file path=customXml/itemProps4.xml><?xml version="1.0" encoding="utf-8"?>
<ds:datastoreItem xmlns:ds="http://schemas.openxmlformats.org/officeDocument/2006/customXml" ds:itemID="{5B65BB8A-1888-4A67-911E-ED7D269F8962}">
  <ds:schemaRefs>
    <ds:schemaRef ds:uri="http://www.w3.org/XML/1998/namespace"/>
    <ds:schemaRef ds:uri="http://schemas.microsoft.com/office/infopath/2007/PartnerControls"/>
    <ds:schemaRef ds:uri="http://purl.org/dc/elements/1.1/"/>
    <ds:schemaRef ds:uri="http://schemas.openxmlformats.org/package/2006/metadata/core-properties"/>
    <ds:schemaRef ds:uri="3f975cac-f96d-4c60-a2b9-0adb9056114e"/>
    <ds:schemaRef ds:uri="http://schemas.microsoft.com/office/2006/documentManagement/types"/>
    <ds:schemaRef ds:uri="http://purl.org/dc/dcmitype/"/>
    <ds:schemaRef ds:uri="9f6b7e80-f44b-4edf-b830-96077701fcc3"/>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37</Pages>
  <Words>28481</Words>
  <Characters>162342</Characters>
  <Application>Microsoft Office Word</Application>
  <DocSecurity>0</DocSecurity>
  <Lines>1352</Lines>
  <Paragraphs>380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Mahieu</dc:creator>
  <cp:keywords/>
  <dc:description/>
  <cp:lastModifiedBy>Eva Bogelund</cp:lastModifiedBy>
  <cp:revision>10</cp:revision>
  <cp:lastPrinted>2021-11-03T12:40:00Z</cp:lastPrinted>
  <dcterms:created xsi:type="dcterms:W3CDTF">2021-11-03T12:18:00Z</dcterms:created>
  <dcterms:modified xsi:type="dcterms:W3CDTF">2021-11-03T12:41:00Z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0x01010079F223017F1D414EBEE0BF3DCEEC486F</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57d26999-c303-3950-a09d-d09ca1aaf5ea</vt:lpwstr>
  </property>
  <property fmtid="{D5CDD505-2E9C-101B-9397-08002B2CF9AE}" pid="25" name="Mendeley Citation Style_1">
    <vt:lpwstr>http://www.zotero.org/styles/apa</vt:lpwstr>
  </property>
</Properties>
</file>