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4E9E9" w14:textId="6F7EB477" w:rsidR="550C2CA1" w:rsidRDefault="550C2CA1" w:rsidP="5937A937">
      <w:pPr>
        <w:pStyle w:val="Title"/>
        <w:numPr>
          <w:ilvl w:val="0"/>
          <w:numId w:val="11"/>
        </w:numPr>
        <w:rPr>
          <w:color w:val="002244" w:themeColor="accent1"/>
          <w:sz w:val="72"/>
          <w:szCs w:val="72"/>
        </w:rPr>
      </w:pPr>
      <w:bookmarkStart w:id="1" w:name="_Hlk83100241"/>
      <w:bookmarkEnd w:id="1"/>
      <w:r w:rsidRPr="5937A937">
        <w:rPr>
          <w:color w:val="002244" w:themeColor="accent1"/>
          <w:sz w:val="72"/>
          <w:szCs w:val="72"/>
        </w:rPr>
        <w:t xml:space="preserve">IDEALFUEL - </w:t>
      </w:r>
      <w:r>
        <w:br/>
      </w:r>
      <w:r w:rsidR="1A54AF5F" w:rsidRPr="5937A937">
        <w:rPr>
          <w:b w:val="0"/>
          <w:color w:val="002244" w:themeColor="accent1"/>
          <w:sz w:val="44"/>
          <w:szCs w:val="44"/>
        </w:rPr>
        <w:t>Market assessment</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33B2A418" w:rsidR="00AF6EDB" w:rsidRPr="0045629F" w:rsidRDefault="007A4C09" w:rsidP="007A4C09">
      <w:pPr>
        <w:jc w:val="center"/>
        <w:rPr>
          <w:lang w:val="en-GB"/>
        </w:rPr>
      </w:pPr>
      <w:r w:rsidRPr="00C31319">
        <w:rPr>
          <w:color w:val="00376F" w:themeColor="accent1" w:themeTint="E6"/>
          <w:sz w:val="40"/>
          <w:lang w:val="en-GB"/>
        </w:rPr>
        <w:t>D</w:t>
      </w:r>
      <w:r w:rsidR="008F7E36">
        <w:rPr>
          <w:color w:val="00376F" w:themeColor="accent1" w:themeTint="E6"/>
          <w:sz w:val="40"/>
          <w:lang w:val="en-GB"/>
        </w:rPr>
        <w:t>6.</w:t>
      </w:r>
      <w:r w:rsidR="000841E2">
        <w:rPr>
          <w:color w:val="00376F" w:themeColor="accent1" w:themeTint="E6"/>
          <w:sz w:val="40"/>
          <w:lang w:val="en-GB"/>
        </w:rPr>
        <w:t>2</w:t>
      </w:r>
      <w:r w:rsidRPr="00C31319">
        <w:rPr>
          <w:color w:val="00376F" w:themeColor="accent1" w:themeTint="E6"/>
          <w:sz w:val="40"/>
          <w:lang w:val="en-GB"/>
        </w:rPr>
        <w:t xml:space="preserve"> – </w:t>
      </w:r>
      <w:r w:rsidR="000841E2">
        <w:rPr>
          <w:color w:val="00376F" w:themeColor="accent1" w:themeTint="E6"/>
          <w:sz w:val="40"/>
          <w:lang w:val="en-GB"/>
        </w:rPr>
        <w:t>Market Assessment</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215"/>
        <w:gridCol w:w="5465"/>
        <w:gridCol w:w="1958"/>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267F9B22"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0841E2">
              <w:rPr>
                <w:color w:val="00376F" w:themeColor="accent1" w:themeTint="E6"/>
                <w:szCs w:val="21"/>
                <w:lang w:val="en-GB"/>
              </w:rPr>
              <w:t>6.2</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835" w:type="pct"/>
          </w:tcPr>
          <w:p w14:paraId="1515FFF3" w14:textId="29D243C6"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0841E2">
              <w:rPr>
                <w:color w:val="00376F" w:themeColor="accent1" w:themeTint="E6"/>
                <w:szCs w:val="21"/>
                <w:lang w:val="en-GB"/>
              </w:rPr>
              <w:t>6</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3841D901" w:rsidR="00AF6EDB" w:rsidRPr="00131E03" w:rsidRDefault="000841E2"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Market Assessment 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835" w:type="pct"/>
          </w:tcPr>
          <w:p w14:paraId="54DD73A1" w14:textId="33A18E43" w:rsidR="00AF6EDB" w:rsidRPr="00131E03" w:rsidRDefault="00A65BCC"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31</w:t>
            </w:r>
            <w:r w:rsidR="0075226F">
              <w:rPr>
                <w:color w:val="00376F" w:themeColor="accent1" w:themeTint="E6"/>
                <w:szCs w:val="21"/>
                <w:lang w:val="en-GB"/>
              </w:rPr>
              <w:t>-</w:t>
            </w:r>
            <w:r w:rsidR="004064D3">
              <w:rPr>
                <w:color w:val="00376F" w:themeColor="accent1" w:themeTint="E6"/>
                <w:szCs w:val="21"/>
                <w:lang w:val="en-GB"/>
              </w:rPr>
              <w:t>10</w:t>
            </w:r>
            <w:r w:rsidR="0075226F">
              <w:rPr>
                <w:color w:val="00376F" w:themeColor="accent1" w:themeTint="E6"/>
                <w:szCs w:val="21"/>
                <w:lang w:val="en-GB"/>
              </w:rPr>
              <w:t>-</w:t>
            </w:r>
            <w:r w:rsidR="004064D3">
              <w:rPr>
                <w:color w:val="00376F" w:themeColor="accent1" w:themeTint="E6"/>
                <w:szCs w:val="21"/>
                <w:lang w:val="en-GB"/>
              </w:rPr>
              <w:t>2021</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3384038A"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 xml:space="preserve">REPORT </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835" w:type="pct"/>
          </w:tcPr>
          <w:p w14:paraId="28A51CC1" w14:textId="23787089"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Public (PU)</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7956C8" w14:textId="77777777" w:rsidR="00AF6EDB" w:rsidRDefault="004D7265"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Olivia Morales</w:t>
            </w:r>
            <w:r w:rsidR="00F2653B" w:rsidRPr="00131E03">
              <w:rPr>
                <w:color w:val="00376F" w:themeColor="accent1" w:themeTint="E6"/>
                <w:szCs w:val="21"/>
                <w:lang w:val="en-GB"/>
              </w:rPr>
              <w:t xml:space="preserve"> (</w:t>
            </w:r>
            <w:r>
              <w:rPr>
                <w:color w:val="00376F" w:themeColor="accent1" w:themeTint="E6"/>
                <w:szCs w:val="21"/>
                <w:lang w:val="en-GB"/>
              </w:rPr>
              <w:t>GoodFuels</w:t>
            </w:r>
            <w:r w:rsidR="00F2653B" w:rsidRPr="00131E03">
              <w:rPr>
                <w:color w:val="00376F" w:themeColor="accent1" w:themeTint="E6"/>
                <w:szCs w:val="21"/>
                <w:lang w:val="en-GB"/>
              </w:rPr>
              <w:t>)</w:t>
            </w:r>
          </w:p>
          <w:p w14:paraId="28098469" w14:textId="2123DD3A" w:rsidR="00365985" w:rsidRPr="00131E03" w:rsidRDefault="00365985"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Felipe Ferrary (GoodFuels)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5206408B" w:rsidR="00AF6EDB" w:rsidRPr="00131E03" w:rsidRDefault="00D27197" w:rsidP="00131E03">
            <w:pPr>
              <w:jc w:val="left"/>
              <w:rPr>
                <w:color w:val="00376F" w:themeColor="accent1" w:themeTint="E6"/>
                <w:szCs w:val="21"/>
                <w:lang w:val="en-GB"/>
              </w:rPr>
            </w:pPr>
            <w:r>
              <w:rPr>
                <w:color w:val="00376F" w:themeColor="accent1" w:themeTint="E6"/>
                <w:szCs w:val="21"/>
                <w:lang w:val="en-GB"/>
              </w:rPr>
              <w:t>20</w:t>
            </w:r>
            <w:r w:rsidR="0075226F">
              <w:rPr>
                <w:color w:val="00376F" w:themeColor="accent1" w:themeTint="E6"/>
                <w:szCs w:val="21"/>
                <w:lang w:val="en-GB"/>
              </w:rPr>
              <w:t>-</w:t>
            </w:r>
            <w:r w:rsidR="003F6460">
              <w:rPr>
                <w:color w:val="00376F" w:themeColor="accent1" w:themeTint="E6"/>
                <w:szCs w:val="21"/>
                <w:lang w:val="en-GB"/>
              </w:rPr>
              <w:t>10</w:t>
            </w:r>
            <w:r w:rsidR="0075226F">
              <w:rPr>
                <w:color w:val="00376F" w:themeColor="accent1" w:themeTint="E6"/>
                <w:szCs w:val="21"/>
                <w:lang w:val="en-GB"/>
              </w:rPr>
              <w:t>-</w:t>
            </w:r>
            <w:r w:rsidR="003F6460">
              <w:rPr>
                <w:color w:val="00376F" w:themeColor="accent1" w:themeTint="E6"/>
                <w:szCs w:val="21"/>
                <w:lang w:val="en-GB"/>
              </w:rPr>
              <w:t>2021</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835" w:type="pct"/>
          </w:tcPr>
          <w:p w14:paraId="2829E5D2" w14:textId="20F7DD09" w:rsidR="00AF6EDB" w:rsidRPr="00131E03" w:rsidRDefault="002F52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 xml:space="preserve">Roy </w:t>
            </w:r>
            <w:proofErr w:type="spellStart"/>
            <w:r>
              <w:rPr>
                <w:color w:val="00376F" w:themeColor="accent1" w:themeTint="E6"/>
                <w:szCs w:val="21"/>
                <w:lang w:val="en-GB"/>
              </w:rPr>
              <w:t>Hermanns</w:t>
            </w:r>
            <w:proofErr w:type="spellEnd"/>
            <w:r w:rsidR="00581868" w:rsidRPr="00131E03">
              <w:rPr>
                <w:color w:val="00376F" w:themeColor="accent1" w:themeTint="E6"/>
                <w:szCs w:val="21"/>
                <w:lang w:val="en-GB"/>
              </w:rPr>
              <w:t xml:space="preserve"> (</w:t>
            </w:r>
            <w:proofErr w:type="spellStart"/>
            <w:r>
              <w:rPr>
                <w:color w:val="00376F" w:themeColor="accent1" w:themeTint="E6"/>
                <w:szCs w:val="21"/>
                <w:lang w:val="en-GB"/>
              </w:rPr>
              <w:t>TUe</w:t>
            </w:r>
            <w:proofErr w:type="spellEnd"/>
            <w:r w:rsidR="00581868" w:rsidRPr="00131E03">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F5E0FD4" w:rsidR="00AF6EDB" w:rsidRPr="00131E03" w:rsidRDefault="0075226F" w:rsidP="00131E03">
            <w:pPr>
              <w:jc w:val="left"/>
              <w:rPr>
                <w:color w:val="00376F" w:themeColor="accent1" w:themeTint="E6"/>
                <w:szCs w:val="21"/>
                <w:lang w:val="en-GB"/>
              </w:rPr>
            </w:pPr>
            <w:r w:rsidRPr="00131E03">
              <w:rPr>
                <w:color w:val="00376F" w:themeColor="accent1" w:themeTint="E6"/>
                <w:szCs w:val="21"/>
                <w:lang w:val="en-GB"/>
              </w:rPr>
              <w:t>dd</w:t>
            </w:r>
            <w:r>
              <w:rPr>
                <w:color w:val="00376F" w:themeColor="accent1" w:themeTint="E6"/>
                <w:szCs w:val="21"/>
                <w:lang w:val="en-GB"/>
              </w:rPr>
              <w:t>-mm-</w:t>
            </w:r>
            <w:proofErr w:type="spellStart"/>
            <w:r>
              <w:rPr>
                <w:color w:val="00376F" w:themeColor="accent1" w:themeTint="E6"/>
                <w:szCs w:val="21"/>
                <w:lang w:val="en-GB"/>
              </w:rPr>
              <w:t>yyyy</w:t>
            </w:r>
            <w:proofErr w:type="spellEnd"/>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0CBD4C17" w:rsidR="00D34E10" w:rsidRPr="00131E03" w:rsidRDefault="002F52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 xml:space="preserve">Roy </w:t>
            </w:r>
            <w:proofErr w:type="spellStart"/>
            <w:r>
              <w:rPr>
                <w:color w:val="00376F" w:themeColor="accent1" w:themeTint="E6"/>
                <w:szCs w:val="21"/>
                <w:lang w:val="en-GB"/>
              </w:rPr>
              <w:t>Hermanns</w:t>
            </w:r>
            <w:proofErr w:type="spellEnd"/>
            <w:r w:rsidR="00D34E10" w:rsidRPr="00131E03">
              <w:rPr>
                <w:color w:val="00376F" w:themeColor="accent1" w:themeTint="E6"/>
                <w:szCs w:val="21"/>
                <w:lang w:val="en-GB"/>
              </w:rPr>
              <w:t xml:space="preserve"> (</w:t>
            </w:r>
            <w:proofErr w:type="spellStart"/>
            <w:r>
              <w:rPr>
                <w:color w:val="00376F" w:themeColor="accent1" w:themeTint="E6"/>
                <w:szCs w:val="21"/>
                <w:lang w:val="en-GB"/>
              </w:rPr>
              <w:t>TUe</w:t>
            </w:r>
            <w:proofErr w:type="spellEnd"/>
            <w:r w:rsidR="00D34E10" w:rsidRPr="00131E03">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48180608" w:rsidR="00D34E10" w:rsidRPr="00131E03" w:rsidRDefault="0075226F" w:rsidP="00131E03">
            <w:pPr>
              <w:spacing w:line="276" w:lineRule="auto"/>
              <w:jc w:val="left"/>
              <w:rPr>
                <w:color w:val="00376F" w:themeColor="accent1" w:themeTint="E6"/>
                <w:szCs w:val="21"/>
                <w:lang w:val="en-GB"/>
              </w:rPr>
            </w:pPr>
            <w:r w:rsidRPr="00131E03">
              <w:rPr>
                <w:color w:val="00376F" w:themeColor="accent1" w:themeTint="E6"/>
                <w:szCs w:val="21"/>
                <w:lang w:val="en-GB"/>
              </w:rPr>
              <w:t>dd</w:t>
            </w:r>
            <w:r>
              <w:rPr>
                <w:color w:val="00376F" w:themeColor="accent1" w:themeTint="E6"/>
                <w:szCs w:val="21"/>
                <w:lang w:val="en-GB"/>
              </w:rPr>
              <w:t>-mm-</w:t>
            </w:r>
            <w:proofErr w:type="spellStart"/>
            <w:r>
              <w:rPr>
                <w:color w:val="00376F" w:themeColor="accent1" w:themeTint="E6"/>
                <w:szCs w:val="21"/>
                <w:lang w:val="en-GB"/>
              </w:rPr>
              <w:t>yyyy</w:t>
            </w:r>
            <w:proofErr w:type="spellEnd"/>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835" w:type="pct"/>
          </w:tcPr>
          <w:p w14:paraId="03690F98" w14:textId="78B7CCF3" w:rsidR="00AF6EDB" w:rsidRPr="00131E03" w:rsidRDefault="0045629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54795887" w:rsidR="00592721" w:rsidRPr="00131E03" w:rsidRDefault="0075226F" w:rsidP="00131E03">
            <w:pPr>
              <w:spacing w:line="276" w:lineRule="auto"/>
              <w:jc w:val="left"/>
              <w:rPr>
                <w:color w:val="00376F" w:themeColor="accent1" w:themeTint="E6"/>
                <w:szCs w:val="21"/>
                <w:lang w:val="en-GB"/>
              </w:rPr>
            </w:pPr>
            <w:r w:rsidRPr="00131E03">
              <w:rPr>
                <w:color w:val="00376F" w:themeColor="accent1" w:themeTint="E6"/>
                <w:szCs w:val="21"/>
                <w:lang w:val="en-GB"/>
              </w:rPr>
              <w:t>dd</w:t>
            </w:r>
            <w:r>
              <w:rPr>
                <w:color w:val="00376F" w:themeColor="accent1" w:themeTint="E6"/>
                <w:szCs w:val="21"/>
                <w:lang w:val="en-GB"/>
              </w:rPr>
              <w:t>-mm-</w:t>
            </w:r>
            <w:proofErr w:type="spellStart"/>
            <w:r>
              <w:rPr>
                <w:color w:val="00376F" w:themeColor="accent1" w:themeTint="E6"/>
                <w:szCs w:val="21"/>
                <w:lang w:val="en-GB"/>
              </w:rPr>
              <w:t>yyyy</w:t>
            </w:r>
            <w:proofErr w:type="spellEnd"/>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3113B20B" w:rsidR="00AF6EDB" w:rsidRPr="00131E03" w:rsidRDefault="00581868"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 xml:space="preserve">Draft 1.0 </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6F6097AB" w:rsidR="00AF6EDB" w:rsidRPr="00131E03" w:rsidRDefault="0075226F" w:rsidP="00131E03">
            <w:pPr>
              <w:jc w:val="left"/>
              <w:rPr>
                <w:color w:val="00376F" w:themeColor="accent1" w:themeTint="E6"/>
                <w:szCs w:val="21"/>
                <w:lang w:val="en-GB"/>
              </w:rPr>
            </w:pPr>
            <w:r w:rsidRPr="00131E03">
              <w:rPr>
                <w:color w:val="00376F" w:themeColor="accent1" w:themeTint="E6"/>
                <w:szCs w:val="21"/>
                <w:lang w:val="en-GB"/>
              </w:rPr>
              <w:t>dd</w:t>
            </w:r>
            <w:r>
              <w:rPr>
                <w:color w:val="00376F" w:themeColor="accent1" w:themeTint="E6"/>
                <w:szCs w:val="21"/>
                <w:lang w:val="en-GB"/>
              </w:rPr>
              <w:t>-mm-</w:t>
            </w:r>
            <w:proofErr w:type="spellStart"/>
            <w:r>
              <w:rPr>
                <w:color w:val="00376F" w:themeColor="accent1" w:themeTint="E6"/>
                <w:szCs w:val="21"/>
                <w:lang w:val="en-GB"/>
              </w:rPr>
              <w:t>yyyy</w:t>
            </w:r>
            <w:proofErr w:type="spellEnd"/>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3853A4E9" w14:textId="17931221" w:rsidR="00581868" w:rsidRDefault="00581868" w:rsidP="00581868">
      <w:pPr>
        <w:rPr>
          <w:color w:val="FF0000"/>
          <w:lang w:val="en-GB"/>
        </w:rPr>
      </w:pPr>
    </w:p>
    <w:p w14:paraId="2235FCAE" w14:textId="64674A1C" w:rsidR="000C6781" w:rsidRPr="00D84E01" w:rsidRDefault="000C6781" w:rsidP="00137154">
      <w:pPr>
        <w:spacing w:after="120" w:line="360" w:lineRule="auto"/>
        <w:ind w:firstLine="720"/>
        <w:rPr>
          <w:rFonts w:asciiTheme="majorHAnsi" w:hAnsiTheme="majorHAnsi" w:cstheme="majorHAnsi"/>
          <w:color w:val="auto"/>
          <w:sz w:val="22"/>
          <w:szCs w:val="22"/>
          <w:lang w:val="en-GB"/>
        </w:rPr>
      </w:pPr>
      <w:r w:rsidRPr="00D84E01">
        <w:rPr>
          <w:rFonts w:asciiTheme="majorHAnsi" w:hAnsiTheme="majorHAnsi" w:cstheme="majorHAnsi"/>
          <w:color w:val="auto"/>
          <w:sz w:val="22"/>
          <w:szCs w:val="22"/>
          <w:lang w:val="en-GB"/>
        </w:rPr>
        <w:t>IDEALFUEL, EU H2020 project, aim</w:t>
      </w:r>
      <w:r w:rsidR="000A128B" w:rsidRPr="00D84E01">
        <w:rPr>
          <w:rFonts w:asciiTheme="majorHAnsi" w:hAnsiTheme="majorHAnsi" w:cstheme="majorHAnsi"/>
          <w:color w:val="auto"/>
          <w:sz w:val="22"/>
          <w:szCs w:val="22"/>
          <w:lang w:val="en-GB"/>
        </w:rPr>
        <w:t>s</w:t>
      </w:r>
      <w:r w:rsidRPr="00D84E01">
        <w:rPr>
          <w:rFonts w:asciiTheme="majorHAnsi" w:hAnsiTheme="majorHAnsi" w:cstheme="majorHAnsi"/>
          <w:color w:val="auto"/>
          <w:sz w:val="22"/>
          <w:szCs w:val="22"/>
          <w:lang w:val="en-GB"/>
        </w:rPr>
        <w:t xml:space="preserve"> to develop a Biogenic Heavy Fuel Oil (Bio-HFO)  that can be used as drop-in within the existing maritime infrastructure. As technical developments progress, it is necessary to assess the market for successful penetration. In this report, an overview of the market </w:t>
      </w:r>
      <w:r w:rsidR="00FF14DE" w:rsidRPr="00D84E01">
        <w:rPr>
          <w:rFonts w:asciiTheme="majorHAnsi" w:hAnsiTheme="majorHAnsi" w:cstheme="majorHAnsi"/>
          <w:color w:val="auto"/>
          <w:sz w:val="22"/>
          <w:szCs w:val="22"/>
          <w:lang w:val="en-GB"/>
        </w:rPr>
        <w:t xml:space="preserve">is presented </w:t>
      </w:r>
      <w:r w:rsidR="003E7AAC">
        <w:rPr>
          <w:rFonts w:asciiTheme="majorHAnsi" w:hAnsiTheme="majorHAnsi" w:cstheme="majorHAnsi"/>
          <w:color w:val="auto"/>
          <w:sz w:val="22"/>
          <w:szCs w:val="22"/>
          <w:lang w:val="en-GB"/>
        </w:rPr>
        <w:t xml:space="preserve">together with the </w:t>
      </w:r>
      <w:r w:rsidRPr="00D84E01">
        <w:rPr>
          <w:rFonts w:asciiTheme="majorHAnsi" w:hAnsiTheme="majorHAnsi" w:cstheme="majorHAnsi"/>
          <w:color w:val="auto"/>
          <w:sz w:val="22"/>
          <w:szCs w:val="22"/>
          <w:lang w:val="en-GB"/>
        </w:rPr>
        <w:t xml:space="preserve"> instruments that can affect the market </w:t>
      </w:r>
      <w:r w:rsidR="003E7AAC">
        <w:rPr>
          <w:rFonts w:asciiTheme="majorHAnsi" w:hAnsiTheme="majorHAnsi" w:cstheme="majorHAnsi"/>
          <w:color w:val="auto"/>
          <w:sz w:val="22"/>
          <w:szCs w:val="22"/>
          <w:lang w:val="en-GB"/>
        </w:rPr>
        <w:t>up-take</w:t>
      </w:r>
      <w:r w:rsidR="003E7AAC" w:rsidRPr="00D84E01">
        <w:rPr>
          <w:rFonts w:asciiTheme="majorHAnsi" w:hAnsiTheme="majorHAnsi" w:cstheme="majorHAnsi"/>
          <w:color w:val="auto"/>
          <w:sz w:val="22"/>
          <w:szCs w:val="22"/>
          <w:lang w:val="en-GB"/>
        </w:rPr>
        <w:t xml:space="preserve"> </w:t>
      </w:r>
      <w:r w:rsidRPr="00D84E01">
        <w:rPr>
          <w:rFonts w:asciiTheme="majorHAnsi" w:hAnsiTheme="majorHAnsi" w:cstheme="majorHAnsi"/>
          <w:color w:val="auto"/>
          <w:sz w:val="22"/>
          <w:szCs w:val="22"/>
          <w:lang w:val="en-GB"/>
        </w:rPr>
        <w:t xml:space="preserve">of the Bio-HFO. </w:t>
      </w:r>
    </w:p>
    <w:p w14:paraId="0C2B74B5" w14:textId="4F94322B" w:rsidR="000C6781" w:rsidRPr="00987396" w:rsidRDefault="000C6781" w:rsidP="00137154">
      <w:pPr>
        <w:spacing w:after="120" w:line="360" w:lineRule="auto"/>
        <w:ind w:firstLine="720"/>
        <w:rPr>
          <w:rFonts w:asciiTheme="majorHAnsi" w:hAnsiTheme="majorHAnsi" w:cstheme="majorHAnsi"/>
          <w:color w:val="auto"/>
          <w:sz w:val="22"/>
          <w:szCs w:val="22"/>
        </w:rPr>
      </w:pPr>
      <w:r w:rsidRPr="00AA110C">
        <w:rPr>
          <w:rFonts w:asciiTheme="majorHAnsi" w:hAnsiTheme="majorHAnsi" w:cstheme="majorHAnsi"/>
          <w:color w:val="auto"/>
          <w:sz w:val="22"/>
          <w:szCs w:val="22"/>
          <w:lang w:val="en-GB"/>
        </w:rPr>
        <w:t xml:space="preserve">This reports assesses the following aspects, with </w:t>
      </w:r>
      <w:r w:rsidR="00CF7B93" w:rsidRPr="00AA110C">
        <w:rPr>
          <w:rFonts w:asciiTheme="majorHAnsi" w:hAnsiTheme="majorHAnsi" w:cstheme="majorHAnsi"/>
          <w:color w:val="auto"/>
          <w:sz w:val="22"/>
          <w:szCs w:val="22"/>
          <w:lang w:val="en-GB"/>
        </w:rPr>
        <w:t xml:space="preserve">the </w:t>
      </w:r>
      <w:r w:rsidRPr="00AA110C">
        <w:rPr>
          <w:rFonts w:asciiTheme="majorHAnsi" w:hAnsiTheme="majorHAnsi" w:cstheme="majorHAnsi"/>
          <w:color w:val="auto"/>
          <w:sz w:val="22"/>
          <w:szCs w:val="22"/>
          <w:lang w:val="en-GB"/>
        </w:rPr>
        <w:t>perspective</w:t>
      </w:r>
      <w:r w:rsidR="00CF7B93" w:rsidRPr="00AA110C">
        <w:rPr>
          <w:rFonts w:asciiTheme="majorHAnsi" w:hAnsiTheme="majorHAnsi" w:cstheme="majorHAnsi"/>
          <w:color w:val="auto"/>
          <w:sz w:val="22"/>
          <w:szCs w:val="22"/>
          <w:lang w:val="en-GB"/>
        </w:rPr>
        <w:t xml:space="preserve"> of the European Economic Area</w:t>
      </w:r>
      <w:r w:rsidRPr="00AA110C">
        <w:rPr>
          <w:rFonts w:asciiTheme="majorHAnsi" w:hAnsiTheme="majorHAnsi" w:cstheme="majorHAnsi"/>
          <w:color w:val="auto"/>
          <w:sz w:val="22"/>
          <w:szCs w:val="22"/>
          <w:lang w:val="en-GB"/>
        </w:rPr>
        <w:t xml:space="preserve">, namely: </w:t>
      </w:r>
      <w:r w:rsidRPr="00D27197">
        <w:rPr>
          <w:rFonts w:asciiTheme="majorHAnsi" w:hAnsiTheme="majorHAnsi" w:cstheme="majorHAnsi"/>
          <w:color w:val="auto"/>
          <w:sz w:val="22"/>
          <w:szCs w:val="22"/>
          <w:lang w:val="en-GB"/>
        </w:rPr>
        <w:t>legislation, mandates and incentives; emission performance; fuel compatibility and blend-ability; and production cost.</w:t>
      </w:r>
      <w:r w:rsidRPr="00D27197">
        <w:rPr>
          <w:rFonts w:asciiTheme="majorHAnsi" w:hAnsiTheme="majorHAnsi" w:cstheme="majorHAnsi"/>
          <w:color w:val="auto"/>
          <w:sz w:val="22"/>
          <w:szCs w:val="22"/>
        </w:rPr>
        <w:t xml:space="preserve"> Cost is currently </w:t>
      </w:r>
      <w:r w:rsidR="003E7AAC" w:rsidRPr="00D27197">
        <w:rPr>
          <w:rFonts w:asciiTheme="majorHAnsi" w:hAnsiTheme="majorHAnsi" w:cstheme="majorHAnsi"/>
          <w:color w:val="auto"/>
          <w:sz w:val="22"/>
          <w:szCs w:val="22"/>
        </w:rPr>
        <w:t>a determining</w:t>
      </w:r>
      <w:r w:rsidRPr="00D27197">
        <w:rPr>
          <w:rFonts w:asciiTheme="majorHAnsi" w:hAnsiTheme="majorHAnsi" w:cstheme="majorHAnsi"/>
          <w:color w:val="auto"/>
          <w:sz w:val="22"/>
          <w:szCs w:val="22"/>
        </w:rPr>
        <w:t xml:space="preserve"> market driver. Nevertheless, it is important to consider how the legislative framework</w:t>
      </w:r>
      <w:r w:rsidR="002B5A63" w:rsidRPr="00D27197">
        <w:rPr>
          <w:rFonts w:asciiTheme="majorHAnsi" w:hAnsiTheme="majorHAnsi" w:cstheme="majorHAnsi"/>
          <w:color w:val="auto"/>
          <w:sz w:val="22"/>
          <w:szCs w:val="22"/>
        </w:rPr>
        <w:t>s</w:t>
      </w:r>
      <w:r w:rsidRPr="00D27197">
        <w:rPr>
          <w:rFonts w:asciiTheme="majorHAnsi" w:hAnsiTheme="majorHAnsi" w:cstheme="majorHAnsi"/>
          <w:color w:val="auto"/>
          <w:sz w:val="22"/>
          <w:szCs w:val="22"/>
        </w:rPr>
        <w:t xml:space="preserve"> that </w:t>
      </w:r>
      <w:r w:rsidR="002B5A63" w:rsidRPr="00D27197">
        <w:rPr>
          <w:rFonts w:asciiTheme="majorHAnsi" w:hAnsiTheme="majorHAnsi" w:cstheme="majorHAnsi"/>
          <w:color w:val="auto"/>
          <w:sz w:val="22"/>
          <w:szCs w:val="22"/>
        </w:rPr>
        <w:t>are</w:t>
      </w:r>
      <w:r w:rsidRPr="00D27197">
        <w:rPr>
          <w:rFonts w:asciiTheme="majorHAnsi" w:hAnsiTheme="majorHAnsi" w:cstheme="majorHAnsi"/>
          <w:color w:val="auto"/>
          <w:sz w:val="22"/>
          <w:szCs w:val="22"/>
        </w:rPr>
        <w:t xml:space="preserve"> currently in development will affect </w:t>
      </w:r>
      <w:r w:rsidR="003E7AAC" w:rsidRPr="00D27197">
        <w:rPr>
          <w:rFonts w:asciiTheme="majorHAnsi" w:hAnsiTheme="majorHAnsi" w:cstheme="majorHAnsi"/>
          <w:color w:val="auto"/>
          <w:sz w:val="22"/>
          <w:szCs w:val="22"/>
        </w:rPr>
        <w:t>it</w:t>
      </w:r>
      <w:r w:rsidRPr="00D27197">
        <w:rPr>
          <w:rFonts w:asciiTheme="majorHAnsi" w:hAnsiTheme="majorHAnsi" w:cstheme="majorHAnsi"/>
          <w:color w:val="auto"/>
          <w:sz w:val="22"/>
          <w:szCs w:val="22"/>
        </w:rPr>
        <w:t xml:space="preserve">.   </w:t>
      </w:r>
      <w:r w:rsidR="003E7AAC" w:rsidRPr="00D27197">
        <w:rPr>
          <w:rFonts w:asciiTheme="majorHAnsi" w:hAnsiTheme="majorHAnsi" w:cstheme="majorHAnsi"/>
          <w:color w:val="auto"/>
          <w:sz w:val="22"/>
          <w:szCs w:val="22"/>
        </w:rPr>
        <w:t xml:space="preserve">Moreover, </w:t>
      </w:r>
      <w:r w:rsidRPr="00D27197">
        <w:rPr>
          <w:rFonts w:asciiTheme="majorHAnsi" w:hAnsiTheme="majorHAnsi" w:cstheme="majorHAnsi"/>
          <w:color w:val="auto"/>
          <w:sz w:val="22"/>
          <w:szCs w:val="22"/>
        </w:rPr>
        <w:t xml:space="preserve">the </w:t>
      </w:r>
      <w:r w:rsidR="00EC09D6" w:rsidRPr="00D27197">
        <w:rPr>
          <w:rFonts w:asciiTheme="majorHAnsi" w:hAnsiTheme="majorHAnsi" w:cstheme="majorHAnsi"/>
          <w:color w:val="auto"/>
          <w:sz w:val="22"/>
          <w:szCs w:val="22"/>
        </w:rPr>
        <w:t xml:space="preserve">potential </w:t>
      </w:r>
      <w:r w:rsidR="003E7AAC" w:rsidRPr="00D27197">
        <w:rPr>
          <w:rFonts w:asciiTheme="majorHAnsi" w:hAnsiTheme="majorHAnsi" w:cstheme="majorHAnsi"/>
          <w:color w:val="auto"/>
          <w:sz w:val="22"/>
          <w:szCs w:val="22"/>
        </w:rPr>
        <w:t xml:space="preserve">reduction in emissions </w:t>
      </w:r>
      <w:r w:rsidRPr="00D27197">
        <w:rPr>
          <w:rFonts w:asciiTheme="majorHAnsi" w:hAnsiTheme="majorHAnsi" w:cstheme="majorHAnsi"/>
          <w:color w:val="auto"/>
          <w:sz w:val="22"/>
          <w:szCs w:val="22"/>
          <w:lang w:val="en-GB"/>
        </w:rPr>
        <w:t xml:space="preserve">will be translated into marketing advantages, whether by branding or premium benefit. </w:t>
      </w:r>
      <w:r w:rsidRPr="00D27197">
        <w:rPr>
          <w:rFonts w:asciiTheme="majorHAnsi" w:hAnsiTheme="majorHAnsi" w:cstheme="majorHAnsi"/>
          <w:color w:val="auto"/>
          <w:sz w:val="22"/>
          <w:szCs w:val="22"/>
        </w:rPr>
        <w:t xml:space="preserve">Finally recommendations are given </w:t>
      </w:r>
      <w:r w:rsidR="00CF7B93" w:rsidRPr="00D27197">
        <w:rPr>
          <w:rFonts w:asciiTheme="majorHAnsi" w:hAnsiTheme="majorHAnsi" w:cstheme="majorHAnsi"/>
          <w:color w:val="auto"/>
          <w:sz w:val="22"/>
          <w:szCs w:val="22"/>
        </w:rPr>
        <w:t>and</w:t>
      </w:r>
      <w:r w:rsidRPr="00D27197">
        <w:rPr>
          <w:rFonts w:asciiTheme="majorHAnsi" w:hAnsiTheme="majorHAnsi" w:cstheme="majorHAnsi"/>
          <w:color w:val="auto"/>
          <w:sz w:val="22"/>
          <w:szCs w:val="22"/>
        </w:rPr>
        <w:t xml:space="preserve"> potential risks are identified</w:t>
      </w:r>
      <w:r w:rsidRPr="00987396">
        <w:rPr>
          <w:rFonts w:asciiTheme="majorHAnsi" w:hAnsiTheme="majorHAnsi" w:cstheme="majorHAnsi"/>
          <w:color w:val="auto"/>
          <w:sz w:val="22"/>
          <w:szCs w:val="22"/>
        </w:rPr>
        <w:t xml:space="preserve">. </w:t>
      </w:r>
    </w:p>
    <w:p w14:paraId="002B426D" w14:textId="77777777" w:rsidR="000C6781" w:rsidRPr="0045629F" w:rsidRDefault="000C6781" w:rsidP="00581868">
      <w:pPr>
        <w:rPr>
          <w:color w:val="FF0000"/>
          <w:lang w:val="en-GB"/>
        </w:rPr>
      </w:pPr>
    </w:p>
    <w:p w14:paraId="7BEA52EF" w14:textId="77777777" w:rsidR="00581868" w:rsidRPr="0045629F" w:rsidRDefault="00581868" w:rsidP="00581868">
      <w:pPr>
        <w:rPr>
          <w:color w:val="FF0000"/>
          <w:lang w:val="en-GB"/>
        </w:rPr>
      </w:pPr>
    </w:p>
    <w:p w14:paraId="677CA849" w14:textId="77777777" w:rsidR="00581868" w:rsidRPr="0045629F" w:rsidRDefault="00581868" w:rsidP="00581868">
      <w:pPr>
        <w:rPr>
          <w:color w:val="FF0000"/>
          <w:lang w:val="en-GB"/>
        </w:rPr>
      </w:pPr>
    </w:p>
    <w:p w14:paraId="17422EA1" w14:textId="77777777" w:rsidR="00581868" w:rsidRPr="0045629F" w:rsidRDefault="00581868" w:rsidP="00581868">
      <w:pPr>
        <w:rPr>
          <w:color w:val="FF0000"/>
          <w:lang w:val="en-GB"/>
        </w:rPr>
      </w:pPr>
    </w:p>
    <w:p w14:paraId="610398B9" w14:textId="77777777" w:rsidR="00581868" w:rsidRPr="0045629F" w:rsidRDefault="00581868" w:rsidP="00581868">
      <w:pPr>
        <w:rPr>
          <w:color w:val="FF0000"/>
          <w:lang w:val="en-GB"/>
        </w:rPr>
      </w:pPr>
    </w:p>
    <w:p w14:paraId="6206E0EC" w14:textId="77777777" w:rsidR="00581868" w:rsidRPr="0045629F" w:rsidRDefault="00581868" w:rsidP="00581868">
      <w:pPr>
        <w:rPr>
          <w:color w:val="FF0000"/>
          <w:lang w:val="en-GB"/>
        </w:rPr>
      </w:pPr>
    </w:p>
    <w:p w14:paraId="3CEFB745" w14:textId="77777777" w:rsidR="00581868" w:rsidRPr="0045629F" w:rsidRDefault="00581868" w:rsidP="00581868">
      <w:pPr>
        <w:rPr>
          <w:color w:val="FF0000"/>
          <w:lang w:val="en-GB"/>
        </w:rPr>
      </w:pPr>
    </w:p>
    <w:p w14:paraId="53569D5E" w14:textId="77777777" w:rsidR="00581868" w:rsidRPr="0045629F" w:rsidRDefault="00581868" w:rsidP="00581868">
      <w:pPr>
        <w:rPr>
          <w:color w:val="FF0000"/>
          <w:lang w:val="en-GB"/>
        </w:rPr>
      </w:pPr>
    </w:p>
    <w:p w14:paraId="3CE00E0B" w14:textId="77777777" w:rsidR="00581868" w:rsidRPr="0045629F" w:rsidRDefault="00581868" w:rsidP="00581868">
      <w:pPr>
        <w:rPr>
          <w:color w:val="FF0000"/>
          <w:lang w:val="en-GB"/>
        </w:rPr>
      </w:pPr>
    </w:p>
    <w:p w14:paraId="7A878F3D" w14:textId="14B1E5A4" w:rsidR="00581868" w:rsidRPr="0045629F" w:rsidRDefault="002B3D1A" w:rsidP="002B3D1A">
      <w:pPr>
        <w:tabs>
          <w:tab w:val="left" w:pos="3465"/>
        </w:tabs>
        <w:rPr>
          <w:color w:val="FF0000"/>
          <w:lang w:val="en-GB"/>
        </w:rPr>
      </w:pPr>
      <w:r w:rsidRPr="0045629F">
        <w:rPr>
          <w:color w:val="FF0000"/>
          <w:lang w:val="en-GB"/>
        </w:rPr>
        <w:tab/>
      </w:r>
    </w:p>
    <w:p w14:paraId="3D8F0FCC" w14:textId="77777777" w:rsidR="00581868" w:rsidRPr="0045629F" w:rsidRDefault="00581868" w:rsidP="00581868">
      <w:pPr>
        <w:rPr>
          <w:color w:val="FF0000"/>
          <w:lang w:val="en-GB"/>
        </w:rPr>
      </w:pPr>
    </w:p>
    <w:p w14:paraId="345DC9AB" w14:textId="77777777" w:rsidR="00581868" w:rsidRPr="0045629F" w:rsidRDefault="00581868" w:rsidP="00581868">
      <w:pPr>
        <w:rPr>
          <w:color w:val="FF0000"/>
          <w:lang w:val="en-GB"/>
        </w:rPr>
      </w:pPr>
    </w:p>
    <w:p w14:paraId="0D0E86AE" w14:textId="77777777" w:rsidR="00581868" w:rsidRPr="0045629F" w:rsidRDefault="00581868" w:rsidP="00581868">
      <w:pPr>
        <w:rPr>
          <w:color w:val="FF0000"/>
          <w:lang w:val="en-GB"/>
        </w:rPr>
      </w:pPr>
    </w:p>
    <w:p w14:paraId="015187B9" w14:textId="77777777" w:rsidR="00581868" w:rsidRPr="0045629F" w:rsidRDefault="00581868" w:rsidP="00581868">
      <w:pPr>
        <w:rPr>
          <w:color w:val="FF0000"/>
          <w:lang w:val="en-GB"/>
        </w:rPr>
      </w:pPr>
    </w:p>
    <w:p w14:paraId="32B5A20B" w14:textId="77777777" w:rsidR="00581868" w:rsidRPr="0045629F" w:rsidRDefault="00581868" w:rsidP="00581868">
      <w:pPr>
        <w:rPr>
          <w:color w:val="FF0000"/>
          <w:lang w:val="en-GB"/>
        </w:rPr>
      </w:pPr>
    </w:p>
    <w:p w14:paraId="7D164E4B" w14:textId="77777777" w:rsidR="00581868" w:rsidRPr="0045629F" w:rsidRDefault="00581868" w:rsidP="00581868">
      <w:pPr>
        <w:rPr>
          <w:color w:val="FF0000"/>
          <w:lang w:val="en-GB"/>
        </w:rPr>
      </w:pPr>
    </w:p>
    <w:p w14:paraId="5BC68C54" w14:textId="77777777" w:rsidR="00581868" w:rsidRPr="0045629F" w:rsidRDefault="00581868" w:rsidP="00581868">
      <w:pPr>
        <w:rPr>
          <w:color w:val="303030" w:themeColor="text1" w:themeTint="D9"/>
          <w:lang w:val="en-GB"/>
        </w:rPr>
      </w:pPr>
    </w:p>
    <w:p w14:paraId="3B86AA31" w14:textId="77777777" w:rsidR="00AF6EDB" w:rsidRPr="0045629F" w:rsidRDefault="00AF6EDB" w:rsidP="00AF6EDB">
      <w:pPr>
        <w:rPr>
          <w:color w:val="FF0000"/>
          <w:lang w:val="en-GB"/>
        </w:rPr>
      </w:pP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47FE4866" w14:textId="7B7E644F" w:rsidR="00B70F9E" w:rsidRDefault="00017D36" w:rsidP="00B70F9E">
      <w:pPr>
        <w:pStyle w:val="NormalWeb"/>
        <w:spacing w:before="0" w:beforeAutospacing="0" w:after="0" w:afterAutospacing="0"/>
        <w:rPr>
          <w:rFonts w:ascii="Calibri" w:hAnsi="Calibri" w:cs="Calibri"/>
          <w:sz w:val="28"/>
          <w:szCs w:val="28"/>
          <w:lang w:val="en-GB"/>
        </w:rPr>
      </w:pPr>
      <w:r w:rsidRPr="0045629F">
        <w:rPr>
          <w:color w:val="FF0000"/>
          <w:lang w:val="en-GB"/>
        </w:rPr>
        <w:br w:type="page"/>
      </w:r>
    </w:p>
    <w:p w14:paraId="53D1B23D" w14:textId="012C4368" w:rsidR="00017D36" w:rsidRPr="0045629F" w:rsidRDefault="00017D36">
      <w:pPr>
        <w:spacing w:after="160" w:line="259" w:lineRule="auto"/>
        <w:jc w:val="left"/>
        <w:rPr>
          <w:color w:val="FF0000"/>
          <w:lang w:val="en-GB"/>
        </w:rPr>
      </w:pP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1D703864" w14:textId="2E11FD0C" w:rsidR="00137154" w:rsidRDefault="00AF6EDB">
          <w:pPr>
            <w:pStyle w:val="TOC1"/>
            <w:tabs>
              <w:tab w:val="left" w:pos="420"/>
              <w:tab w:val="right" w:leader="dot" w:pos="9628"/>
            </w:tabs>
            <w:rPr>
              <w:rFonts w:asciiTheme="minorHAnsi" w:eastAsiaTheme="minorEastAsia" w:hAnsiTheme="minorHAnsi" w:cstheme="minorBidi"/>
              <w:noProof/>
              <w:color w:val="auto"/>
              <w:sz w:val="22"/>
              <w:szCs w:val="22"/>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84019441" w:history="1">
            <w:r w:rsidR="00137154" w:rsidRPr="00A82D73">
              <w:rPr>
                <w:rStyle w:val="Hyperlink"/>
                <w:noProof/>
              </w:rPr>
              <w:t>1</w:t>
            </w:r>
            <w:r w:rsidR="00137154">
              <w:rPr>
                <w:rFonts w:asciiTheme="minorHAnsi" w:eastAsiaTheme="minorEastAsia" w:hAnsiTheme="minorHAnsi" w:cstheme="minorBidi"/>
                <w:noProof/>
                <w:color w:val="auto"/>
                <w:sz w:val="22"/>
                <w:szCs w:val="22"/>
              </w:rPr>
              <w:tab/>
            </w:r>
            <w:r w:rsidR="00137154" w:rsidRPr="00A82D73">
              <w:rPr>
                <w:rStyle w:val="Hyperlink"/>
                <w:noProof/>
              </w:rPr>
              <w:t>Introduction</w:t>
            </w:r>
            <w:r w:rsidR="00137154">
              <w:rPr>
                <w:noProof/>
                <w:webHidden/>
              </w:rPr>
              <w:tab/>
            </w:r>
            <w:r w:rsidR="00137154">
              <w:rPr>
                <w:noProof/>
                <w:webHidden/>
              </w:rPr>
              <w:fldChar w:fldCharType="begin"/>
            </w:r>
            <w:r w:rsidR="00137154">
              <w:rPr>
                <w:noProof/>
                <w:webHidden/>
              </w:rPr>
              <w:instrText xml:space="preserve"> PAGEREF _Toc84019441 \h </w:instrText>
            </w:r>
            <w:r w:rsidR="00137154">
              <w:rPr>
                <w:noProof/>
                <w:webHidden/>
              </w:rPr>
            </w:r>
            <w:r w:rsidR="00137154">
              <w:rPr>
                <w:noProof/>
                <w:webHidden/>
              </w:rPr>
              <w:fldChar w:fldCharType="separate"/>
            </w:r>
            <w:r w:rsidR="00137154">
              <w:rPr>
                <w:noProof/>
                <w:webHidden/>
              </w:rPr>
              <w:t>6</w:t>
            </w:r>
            <w:r w:rsidR="00137154">
              <w:rPr>
                <w:noProof/>
                <w:webHidden/>
              </w:rPr>
              <w:fldChar w:fldCharType="end"/>
            </w:r>
          </w:hyperlink>
        </w:p>
        <w:p w14:paraId="7530270C" w14:textId="139A33A6"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42" w:history="1">
            <w:r w:rsidR="00137154" w:rsidRPr="00A82D73">
              <w:rPr>
                <w:rStyle w:val="Hyperlink"/>
                <w:noProof/>
              </w:rPr>
              <w:t>1.1</w:t>
            </w:r>
            <w:r w:rsidR="00137154">
              <w:rPr>
                <w:rFonts w:asciiTheme="minorHAnsi" w:eastAsiaTheme="minorEastAsia" w:hAnsiTheme="minorHAnsi" w:cstheme="minorBidi"/>
                <w:noProof/>
                <w:color w:val="auto"/>
                <w:sz w:val="22"/>
                <w:szCs w:val="22"/>
              </w:rPr>
              <w:tab/>
            </w:r>
            <w:r w:rsidR="00137154" w:rsidRPr="00A82D73">
              <w:rPr>
                <w:rStyle w:val="Hyperlink"/>
                <w:noProof/>
              </w:rPr>
              <w:t>Background IDEALFUEL Bio-HFO</w:t>
            </w:r>
            <w:r w:rsidR="00137154">
              <w:rPr>
                <w:noProof/>
                <w:webHidden/>
              </w:rPr>
              <w:tab/>
            </w:r>
            <w:r w:rsidR="00137154">
              <w:rPr>
                <w:noProof/>
                <w:webHidden/>
              </w:rPr>
              <w:fldChar w:fldCharType="begin"/>
            </w:r>
            <w:r w:rsidR="00137154">
              <w:rPr>
                <w:noProof/>
                <w:webHidden/>
              </w:rPr>
              <w:instrText xml:space="preserve"> PAGEREF _Toc84019442 \h </w:instrText>
            </w:r>
            <w:r w:rsidR="00137154">
              <w:rPr>
                <w:noProof/>
                <w:webHidden/>
              </w:rPr>
            </w:r>
            <w:r w:rsidR="00137154">
              <w:rPr>
                <w:noProof/>
                <w:webHidden/>
              </w:rPr>
              <w:fldChar w:fldCharType="separate"/>
            </w:r>
            <w:r w:rsidR="00137154">
              <w:rPr>
                <w:noProof/>
                <w:webHidden/>
              </w:rPr>
              <w:t>7</w:t>
            </w:r>
            <w:r w:rsidR="00137154">
              <w:rPr>
                <w:noProof/>
                <w:webHidden/>
              </w:rPr>
              <w:fldChar w:fldCharType="end"/>
            </w:r>
          </w:hyperlink>
        </w:p>
        <w:p w14:paraId="5356E594" w14:textId="3A71B032"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43" w:history="1">
            <w:r w:rsidR="00137154" w:rsidRPr="00A82D73">
              <w:rPr>
                <w:rStyle w:val="Hyperlink"/>
                <w:noProof/>
              </w:rPr>
              <w:t>1.2</w:t>
            </w:r>
            <w:r w:rsidR="00137154">
              <w:rPr>
                <w:rFonts w:asciiTheme="minorHAnsi" w:eastAsiaTheme="minorEastAsia" w:hAnsiTheme="minorHAnsi" w:cstheme="minorBidi"/>
                <w:noProof/>
                <w:color w:val="auto"/>
                <w:sz w:val="22"/>
                <w:szCs w:val="22"/>
              </w:rPr>
              <w:tab/>
            </w:r>
            <w:r w:rsidR="00137154" w:rsidRPr="00A82D73">
              <w:rPr>
                <w:rStyle w:val="Hyperlink"/>
                <w:noProof/>
              </w:rPr>
              <w:t>Objective</w:t>
            </w:r>
            <w:r w:rsidR="00137154">
              <w:rPr>
                <w:noProof/>
                <w:webHidden/>
              </w:rPr>
              <w:tab/>
            </w:r>
            <w:r w:rsidR="00137154">
              <w:rPr>
                <w:noProof/>
                <w:webHidden/>
              </w:rPr>
              <w:fldChar w:fldCharType="begin"/>
            </w:r>
            <w:r w:rsidR="00137154">
              <w:rPr>
                <w:noProof/>
                <w:webHidden/>
              </w:rPr>
              <w:instrText xml:space="preserve"> PAGEREF _Toc84019443 \h </w:instrText>
            </w:r>
            <w:r w:rsidR="00137154">
              <w:rPr>
                <w:noProof/>
                <w:webHidden/>
              </w:rPr>
            </w:r>
            <w:r w:rsidR="00137154">
              <w:rPr>
                <w:noProof/>
                <w:webHidden/>
              </w:rPr>
              <w:fldChar w:fldCharType="separate"/>
            </w:r>
            <w:r w:rsidR="00137154">
              <w:rPr>
                <w:noProof/>
                <w:webHidden/>
              </w:rPr>
              <w:t>7</w:t>
            </w:r>
            <w:r w:rsidR="00137154">
              <w:rPr>
                <w:noProof/>
                <w:webHidden/>
              </w:rPr>
              <w:fldChar w:fldCharType="end"/>
            </w:r>
          </w:hyperlink>
        </w:p>
        <w:p w14:paraId="47B24019" w14:textId="7E9CF32E"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44" w:history="1">
            <w:r w:rsidR="00137154" w:rsidRPr="00A82D73">
              <w:rPr>
                <w:rStyle w:val="Hyperlink"/>
                <w:noProof/>
              </w:rPr>
              <w:t>1.3</w:t>
            </w:r>
            <w:r w:rsidR="00137154">
              <w:rPr>
                <w:rFonts w:asciiTheme="minorHAnsi" w:eastAsiaTheme="minorEastAsia" w:hAnsiTheme="minorHAnsi" w:cstheme="minorBidi"/>
                <w:noProof/>
                <w:color w:val="auto"/>
                <w:sz w:val="22"/>
                <w:szCs w:val="22"/>
              </w:rPr>
              <w:tab/>
            </w:r>
            <w:r w:rsidR="00137154" w:rsidRPr="00A82D73">
              <w:rPr>
                <w:rStyle w:val="Hyperlink"/>
                <w:noProof/>
              </w:rPr>
              <w:t>Outline of Report</w:t>
            </w:r>
            <w:r w:rsidR="00137154">
              <w:rPr>
                <w:noProof/>
                <w:webHidden/>
              </w:rPr>
              <w:tab/>
            </w:r>
            <w:r w:rsidR="00137154">
              <w:rPr>
                <w:noProof/>
                <w:webHidden/>
              </w:rPr>
              <w:fldChar w:fldCharType="begin"/>
            </w:r>
            <w:r w:rsidR="00137154">
              <w:rPr>
                <w:noProof/>
                <w:webHidden/>
              </w:rPr>
              <w:instrText xml:space="preserve"> PAGEREF _Toc84019444 \h </w:instrText>
            </w:r>
            <w:r w:rsidR="00137154">
              <w:rPr>
                <w:noProof/>
                <w:webHidden/>
              </w:rPr>
            </w:r>
            <w:r w:rsidR="00137154">
              <w:rPr>
                <w:noProof/>
                <w:webHidden/>
              </w:rPr>
              <w:fldChar w:fldCharType="separate"/>
            </w:r>
            <w:r w:rsidR="00137154">
              <w:rPr>
                <w:noProof/>
                <w:webHidden/>
              </w:rPr>
              <w:t>8</w:t>
            </w:r>
            <w:r w:rsidR="00137154">
              <w:rPr>
                <w:noProof/>
                <w:webHidden/>
              </w:rPr>
              <w:fldChar w:fldCharType="end"/>
            </w:r>
          </w:hyperlink>
        </w:p>
        <w:p w14:paraId="1C51D70D" w14:textId="016452F7" w:rsidR="00137154" w:rsidRDefault="00261420">
          <w:pPr>
            <w:pStyle w:val="TOC1"/>
            <w:tabs>
              <w:tab w:val="left" w:pos="420"/>
              <w:tab w:val="right" w:leader="dot" w:pos="9628"/>
            </w:tabs>
            <w:rPr>
              <w:rFonts w:asciiTheme="minorHAnsi" w:eastAsiaTheme="minorEastAsia" w:hAnsiTheme="minorHAnsi" w:cstheme="minorBidi"/>
              <w:noProof/>
              <w:color w:val="auto"/>
              <w:sz w:val="22"/>
              <w:szCs w:val="22"/>
            </w:rPr>
          </w:pPr>
          <w:hyperlink w:anchor="_Toc84019445" w:history="1">
            <w:r w:rsidR="00137154" w:rsidRPr="00A82D73">
              <w:rPr>
                <w:rStyle w:val="Hyperlink"/>
                <w:noProof/>
              </w:rPr>
              <w:t>2</w:t>
            </w:r>
            <w:r w:rsidR="00137154">
              <w:rPr>
                <w:rFonts w:asciiTheme="minorHAnsi" w:eastAsiaTheme="minorEastAsia" w:hAnsiTheme="minorHAnsi" w:cstheme="minorBidi"/>
                <w:noProof/>
                <w:color w:val="auto"/>
                <w:sz w:val="22"/>
                <w:szCs w:val="22"/>
              </w:rPr>
              <w:tab/>
            </w:r>
            <w:r w:rsidR="00137154" w:rsidRPr="00A82D73">
              <w:rPr>
                <w:rStyle w:val="Hyperlink"/>
                <w:noProof/>
              </w:rPr>
              <w:t>Socio-economical Context</w:t>
            </w:r>
            <w:r w:rsidR="00137154">
              <w:rPr>
                <w:noProof/>
                <w:webHidden/>
              </w:rPr>
              <w:tab/>
            </w:r>
            <w:r w:rsidR="00137154">
              <w:rPr>
                <w:noProof/>
                <w:webHidden/>
              </w:rPr>
              <w:fldChar w:fldCharType="begin"/>
            </w:r>
            <w:r w:rsidR="00137154">
              <w:rPr>
                <w:noProof/>
                <w:webHidden/>
              </w:rPr>
              <w:instrText xml:space="preserve"> PAGEREF _Toc84019445 \h </w:instrText>
            </w:r>
            <w:r w:rsidR="00137154">
              <w:rPr>
                <w:noProof/>
                <w:webHidden/>
              </w:rPr>
            </w:r>
            <w:r w:rsidR="00137154">
              <w:rPr>
                <w:noProof/>
                <w:webHidden/>
              </w:rPr>
              <w:fldChar w:fldCharType="separate"/>
            </w:r>
            <w:r w:rsidR="00137154">
              <w:rPr>
                <w:noProof/>
                <w:webHidden/>
              </w:rPr>
              <w:t>1</w:t>
            </w:r>
            <w:r w:rsidR="00137154">
              <w:rPr>
                <w:noProof/>
                <w:webHidden/>
              </w:rPr>
              <w:fldChar w:fldCharType="end"/>
            </w:r>
          </w:hyperlink>
        </w:p>
        <w:p w14:paraId="0AB3CAA5" w14:textId="0DECA9CA"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46" w:history="1">
            <w:r w:rsidR="00137154" w:rsidRPr="00A82D73">
              <w:rPr>
                <w:rStyle w:val="Hyperlink"/>
                <w:noProof/>
              </w:rPr>
              <w:t>2.1</w:t>
            </w:r>
            <w:r w:rsidR="00137154">
              <w:rPr>
                <w:rFonts w:asciiTheme="minorHAnsi" w:eastAsiaTheme="minorEastAsia" w:hAnsiTheme="minorHAnsi" w:cstheme="minorBidi"/>
                <w:noProof/>
                <w:color w:val="auto"/>
                <w:sz w:val="22"/>
                <w:szCs w:val="22"/>
              </w:rPr>
              <w:tab/>
            </w:r>
            <w:r w:rsidR="00137154" w:rsidRPr="00A82D73">
              <w:rPr>
                <w:rStyle w:val="Hyperlink"/>
                <w:noProof/>
              </w:rPr>
              <w:t>Regulatory Frameworks</w:t>
            </w:r>
            <w:r w:rsidR="00137154">
              <w:rPr>
                <w:noProof/>
                <w:webHidden/>
              </w:rPr>
              <w:tab/>
            </w:r>
            <w:r w:rsidR="00137154">
              <w:rPr>
                <w:noProof/>
                <w:webHidden/>
              </w:rPr>
              <w:fldChar w:fldCharType="begin"/>
            </w:r>
            <w:r w:rsidR="00137154">
              <w:rPr>
                <w:noProof/>
                <w:webHidden/>
              </w:rPr>
              <w:instrText xml:space="preserve"> PAGEREF _Toc84019446 \h </w:instrText>
            </w:r>
            <w:r w:rsidR="00137154">
              <w:rPr>
                <w:noProof/>
                <w:webHidden/>
              </w:rPr>
            </w:r>
            <w:r w:rsidR="00137154">
              <w:rPr>
                <w:noProof/>
                <w:webHidden/>
              </w:rPr>
              <w:fldChar w:fldCharType="separate"/>
            </w:r>
            <w:r w:rsidR="00137154">
              <w:rPr>
                <w:noProof/>
                <w:webHidden/>
              </w:rPr>
              <w:t>1</w:t>
            </w:r>
            <w:r w:rsidR="00137154">
              <w:rPr>
                <w:noProof/>
                <w:webHidden/>
              </w:rPr>
              <w:fldChar w:fldCharType="end"/>
            </w:r>
          </w:hyperlink>
        </w:p>
        <w:p w14:paraId="2E71C2E8" w14:textId="6EE1D8C2" w:rsidR="00137154" w:rsidRDefault="00261420">
          <w:pPr>
            <w:pStyle w:val="TOC3"/>
            <w:tabs>
              <w:tab w:val="left" w:pos="1100"/>
              <w:tab w:val="right" w:leader="dot" w:pos="9628"/>
            </w:tabs>
            <w:rPr>
              <w:rFonts w:asciiTheme="minorHAnsi" w:eastAsiaTheme="minorEastAsia" w:hAnsiTheme="minorHAnsi" w:cstheme="minorBidi"/>
              <w:noProof/>
              <w:color w:val="auto"/>
              <w:sz w:val="22"/>
              <w:szCs w:val="22"/>
            </w:rPr>
          </w:pPr>
          <w:hyperlink w:anchor="_Toc84019447" w:history="1">
            <w:r w:rsidR="00137154" w:rsidRPr="00A82D73">
              <w:rPr>
                <w:rStyle w:val="Hyperlink"/>
                <w:noProof/>
              </w:rPr>
              <w:t>2.1.1</w:t>
            </w:r>
            <w:r w:rsidR="00137154">
              <w:rPr>
                <w:rFonts w:asciiTheme="minorHAnsi" w:eastAsiaTheme="minorEastAsia" w:hAnsiTheme="minorHAnsi" w:cstheme="minorBidi"/>
                <w:noProof/>
                <w:color w:val="auto"/>
                <w:sz w:val="22"/>
                <w:szCs w:val="22"/>
              </w:rPr>
              <w:tab/>
            </w:r>
            <w:r w:rsidR="00137154" w:rsidRPr="00A82D73">
              <w:rPr>
                <w:rStyle w:val="Hyperlink"/>
                <w:noProof/>
              </w:rPr>
              <w:t>International Convention for the Prevention of Pollution from Ships (MARPOL)</w:t>
            </w:r>
            <w:r w:rsidR="00137154">
              <w:rPr>
                <w:noProof/>
                <w:webHidden/>
              </w:rPr>
              <w:tab/>
            </w:r>
            <w:r w:rsidR="00137154">
              <w:rPr>
                <w:noProof/>
                <w:webHidden/>
              </w:rPr>
              <w:fldChar w:fldCharType="begin"/>
            </w:r>
            <w:r w:rsidR="00137154">
              <w:rPr>
                <w:noProof/>
                <w:webHidden/>
              </w:rPr>
              <w:instrText xml:space="preserve"> PAGEREF _Toc84019447 \h </w:instrText>
            </w:r>
            <w:r w:rsidR="00137154">
              <w:rPr>
                <w:noProof/>
                <w:webHidden/>
              </w:rPr>
            </w:r>
            <w:r w:rsidR="00137154">
              <w:rPr>
                <w:noProof/>
                <w:webHidden/>
              </w:rPr>
              <w:fldChar w:fldCharType="separate"/>
            </w:r>
            <w:r w:rsidR="00137154">
              <w:rPr>
                <w:noProof/>
                <w:webHidden/>
              </w:rPr>
              <w:t>1</w:t>
            </w:r>
            <w:r w:rsidR="00137154">
              <w:rPr>
                <w:noProof/>
                <w:webHidden/>
              </w:rPr>
              <w:fldChar w:fldCharType="end"/>
            </w:r>
          </w:hyperlink>
        </w:p>
        <w:p w14:paraId="5D4F0324" w14:textId="379BA0EF" w:rsidR="00137154" w:rsidRDefault="00261420">
          <w:pPr>
            <w:pStyle w:val="TOC3"/>
            <w:tabs>
              <w:tab w:val="left" w:pos="1100"/>
              <w:tab w:val="right" w:leader="dot" w:pos="9628"/>
            </w:tabs>
            <w:rPr>
              <w:rFonts w:asciiTheme="minorHAnsi" w:eastAsiaTheme="minorEastAsia" w:hAnsiTheme="minorHAnsi" w:cstheme="minorBidi"/>
              <w:noProof/>
              <w:color w:val="auto"/>
              <w:sz w:val="22"/>
              <w:szCs w:val="22"/>
            </w:rPr>
          </w:pPr>
          <w:hyperlink w:anchor="_Toc84019448" w:history="1">
            <w:r w:rsidR="00137154" w:rsidRPr="00A82D73">
              <w:rPr>
                <w:rStyle w:val="Hyperlink"/>
                <w:noProof/>
              </w:rPr>
              <w:t>2.1.2</w:t>
            </w:r>
            <w:r w:rsidR="00137154">
              <w:rPr>
                <w:rFonts w:asciiTheme="minorHAnsi" w:eastAsiaTheme="minorEastAsia" w:hAnsiTheme="minorHAnsi" w:cstheme="minorBidi"/>
                <w:noProof/>
                <w:color w:val="auto"/>
                <w:sz w:val="22"/>
                <w:szCs w:val="22"/>
              </w:rPr>
              <w:tab/>
            </w:r>
            <w:r w:rsidR="00137154" w:rsidRPr="00A82D73">
              <w:rPr>
                <w:rStyle w:val="Hyperlink"/>
                <w:noProof/>
              </w:rPr>
              <w:t>Renewable Energy Directive (RED)</w:t>
            </w:r>
            <w:r w:rsidR="00137154">
              <w:rPr>
                <w:noProof/>
                <w:webHidden/>
              </w:rPr>
              <w:tab/>
            </w:r>
            <w:r w:rsidR="00137154">
              <w:rPr>
                <w:noProof/>
                <w:webHidden/>
              </w:rPr>
              <w:fldChar w:fldCharType="begin"/>
            </w:r>
            <w:r w:rsidR="00137154">
              <w:rPr>
                <w:noProof/>
                <w:webHidden/>
              </w:rPr>
              <w:instrText xml:space="preserve"> PAGEREF _Toc84019448 \h </w:instrText>
            </w:r>
            <w:r w:rsidR="00137154">
              <w:rPr>
                <w:noProof/>
                <w:webHidden/>
              </w:rPr>
            </w:r>
            <w:r w:rsidR="00137154">
              <w:rPr>
                <w:noProof/>
                <w:webHidden/>
              </w:rPr>
              <w:fldChar w:fldCharType="separate"/>
            </w:r>
            <w:r w:rsidR="00137154">
              <w:rPr>
                <w:noProof/>
                <w:webHidden/>
              </w:rPr>
              <w:t>3</w:t>
            </w:r>
            <w:r w:rsidR="00137154">
              <w:rPr>
                <w:noProof/>
                <w:webHidden/>
              </w:rPr>
              <w:fldChar w:fldCharType="end"/>
            </w:r>
          </w:hyperlink>
        </w:p>
        <w:p w14:paraId="3B385325" w14:textId="709A9F63" w:rsidR="00137154" w:rsidRDefault="00261420">
          <w:pPr>
            <w:pStyle w:val="TOC3"/>
            <w:tabs>
              <w:tab w:val="left" w:pos="1100"/>
              <w:tab w:val="right" w:leader="dot" w:pos="9628"/>
            </w:tabs>
            <w:rPr>
              <w:rFonts w:asciiTheme="minorHAnsi" w:eastAsiaTheme="minorEastAsia" w:hAnsiTheme="minorHAnsi" w:cstheme="minorBidi"/>
              <w:noProof/>
              <w:color w:val="auto"/>
              <w:sz w:val="22"/>
              <w:szCs w:val="22"/>
            </w:rPr>
          </w:pPr>
          <w:hyperlink w:anchor="_Toc84019449" w:history="1">
            <w:r w:rsidR="00137154" w:rsidRPr="00A82D73">
              <w:rPr>
                <w:rStyle w:val="Hyperlink"/>
                <w:noProof/>
              </w:rPr>
              <w:t>2.1.3</w:t>
            </w:r>
            <w:r w:rsidR="00137154">
              <w:rPr>
                <w:rFonts w:asciiTheme="minorHAnsi" w:eastAsiaTheme="minorEastAsia" w:hAnsiTheme="minorHAnsi" w:cstheme="minorBidi"/>
                <w:noProof/>
                <w:color w:val="auto"/>
                <w:sz w:val="22"/>
                <w:szCs w:val="22"/>
              </w:rPr>
              <w:tab/>
            </w:r>
            <w:r w:rsidR="00137154" w:rsidRPr="00A82D73">
              <w:rPr>
                <w:rStyle w:val="Hyperlink"/>
                <w:noProof/>
              </w:rPr>
              <w:t>European Green Deal (EGD) and Fit for 55</w:t>
            </w:r>
            <w:r w:rsidR="00137154">
              <w:rPr>
                <w:noProof/>
                <w:webHidden/>
              </w:rPr>
              <w:tab/>
            </w:r>
            <w:r w:rsidR="00137154">
              <w:rPr>
                <w:noProof/>
                <w:webHidden/>
              </w:rPr>
              <w:fldChar w:fldCharType="begin"/>
            </w:r>
            <w:r w:rsidR="00137154">
              <w:rPr>
                <w:noProof/>
                <w:webHidden/>
              </w:rPr>
              <w:instrText xml:space="preserve"> PAGEREF _Toc84019449 \h </w:instrText>
            </w:r>
            <w:r w:rsidR="00137154">
              <w:rPr>
                <w:noProof/>
                <w:webHidden/>
              </w:rPr>
            </w:r>
            <w:r w:rsidR="00137154">
              <w:rPr>
                <w:noProof/>
                <w:webHidden/>
              </w:rPr>
              <w:fldChar w:fldCharType="separate"/>
            </w:r>
            <w:r w:rsidR="00137154">
              <w:rPr>
                <w:noProof/>
                <w:webHidden/>
              </w:rPr>
              <w:t>4</w:t>
            </w:r>
            <w:r w:rsidR="00137154">
              <w:rPr>
                <w:noProof/>
                <w:webHidden/>
              </w:rPr>
              <w:fldChar w:fldCharType="end"/>
            </w:r>
          </w:hyperlink>
        </w:p>
        <w:p w14:paraId="7ADA8ED3" w14:textId="43550B96" w:rsidR="00137154" w:rsidRDefault="00261420">
          <w:pPr>
            <w:pStyle w:val="TOC1"/>
            <w:tabs>
              <w:tab w:val="left" w:pos="420"/>
              <w:tab w:val="right" w:leader="dot" w:pos="9628"/>
            </w:tabs>
            <w:rPr>
              <w:rFonts w:asciiTheme="minorHAnsi" w:eastAsiaTheme="minorEastAsia" w:hAnsiTheme="minorHAnsi" w:cstheme="minorBidi"/>
              <w:noProof/>
              <w:color w:val="auto"/>
              <w:sz w:val="22"/>
              <w:szCs w:val="22"/>
            </w:rPr>
          </w:pPr>
          <w:hyperlink w:anchor="_Toc84019450" w:history="1">
            <w:r w:rsidR="00137154" w:rsidRPr="00A82D73">
              <w:rPr>
                <w:rStyle w:val="Hyperlink"/>
                <w:noProof/>
              </w:rPr>
              <w:t>3</w:t>
            </w:r>
            <w:r w:rsidR="00137154">
              <w:rPr>
                <w:rFonts w:asciiTheme="minorHAnsi" w:eastAsiaTheme="minorEastAsia" w:hAnsiTheme="minorHAnsi" w:cstheme="minorBidi"/>
                <w:noProof/>
                <w:color w:val="auto"/>
                <w:sz w:val="22"/>
                <w:szCs w:val="22"/>
              </w:rPr>
              <w:tab/>
            </w:r>
            <w:r w:rsidR="00137154" w:rsidRPr="00A82D73">
              <w:rPr>
                <w:rStyle w:val="Hyperlink"/>
                <w:noProof/>
              </w:rPr>
              <w:t>Fuels in the Shipping sector</w:t>
            </w:r>
            <w:r w:rsidR="00137154">
              <w:rPr>
                <w:noProof/>
                <w:webHidden/>
              </w:rPr>
              <w:tab/>
            </w:r>
            <w:r w:rsidR="00137154">
              <w:rPr>
                <w:noProof/>
                <w:webHidden/>
              </w:rPr>
              <w:fldChar w:fldCharType="begin"/>
            </w:r>
            <w:r w:rsidR="00137154">
              <w:rPr>
                <w:noProof/>
                <w:webHidden/>
              </w:rPr>
              <w:instrText xml:space="preserve"> PAGEREF _Toc84019450 \h </w:instrText>
            </w:r>
            <w:r w:rsidR="00137154">
              <w:rPr>
                <w:noProof/>
                <w:webHidden/>
              </w:rPr>
            </w:r>
            <w:r w:rsidR="00137154">
              <w:rPr>
                <w:noProof/>
                <w:webHidden/>
              </w:rPr>
              <w:fldChar w:fldCharType="separate"/>
            </w:r>
            <w:r w:rsidR="00137154">
              <w:rPr>
                <w:noProof/>
                <w:webHidden/>
              </w:rPr>
              <w:t>7</w:t>
            </w:r>
            <w:r w:rsidR="00137154">
              <w:rPr>
                <w:noProof/>
                <w:webHidden/>
              </w:rPr>
              <w:fldChar w:fldCharType="end"/>
            </w:r>
          </w:hyperlink>
        </w:p>
        <w:p w14:paraId="2DA6336F" w14:textId="69D97E1F"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51" w:history="1">
            <w:r w:rsidR="00137154" w:rsidRPr="00A82D73">
              <w:rPr>
                <w:rStyle w:val="Hyperlink"/>
                <w:noProof/>
              </w:rPr>
              <w:t>3.1</w:t>
            </w:r>
            <w:r w:rsidR="00137154">
              <w:rPr>
                <w:rFonts w:asciiTheme="minorHAnsi" w:eastAsiaTheme="minorEastAsia" w:hAnsiTheme="minorHAnsi" w:cstheme="minorBidi"/>
                <w:noProof/>
                <w:color w:val="auto"/>
                <w:sz w:val="22"/>
                <w:szCs w:val="22"/>
              </w:rPr>
              <w:tab/>
            </w:r>
            <w:r w:rsidR="00137154" w:rsidRPr="00A82D73">
              <w:rPr>
                <w:rStyle w:val="Hyperlink"/>
                <w:noProof/>
              </w:rPr>
              <w:t>Marine Fossil Liquid Fuels</w:t>
            </w:r>
            <w:r w:rsidR="00137154">
              <w:rPr>
                <w:noProof/>
                <w:webHidden/>
              </w:rPr>
              <w:tab/>
            </w:r>
            <w:r w:rsidR="00137154">
              <w:rPr>
                <w:noProof/>
                <w:webHidden/>
              </w:rPr>
              <w:fldChar w:fldCharType="begin"/>
            </w:r>
            <w:r w:rsidR="00137154">
              <w:rPr>
                <w:noProof/>
                <w:webHidden/>
              </w:rPr>
              <w:instrText xml:space="preserve"> PAGEREF _Toc84019451 \h </w:instrText>
            </w:r>
            <w:r w:rsidR="00137154">
              <w:rPr>
                <w:noProof/>
                <w:webHidden/>
              </w:rPr>
            </w:r>
            <w:r w:rsidR="00137154">
              <w:rPr>
                <w:noProof/>
                <w:webHidden/>
              </w:rPr>
              <w:fldChar w:fldCharType="separate"/>
            </w:r>
            <w:r w:rsidR="00137154">
              <w:rPr>
                <w:noProof/>
                <w:webHidden/>
              </w:rPr>
              <w:t>8</w:t>
            </w:r>
            <w:r w:rsidR="00137154">
              <w:rPr>
                <w:noProof/>
                <w:webHidden/>
              </w:rPr>
              <w:fldChar w:fldCharType="end"/>
            </w:r>
          </w:hyperlink>
        </w:p>
        <w:p w14:paraId="5C0FE9B0" w14:textId="101B0448"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52" w:history="1">
            <w:r w:rsidR="00137154" w:rsidRPr="00A82D73">
              <w:rPr>
                <w:rStyle w:val="Hyperlink"/>
                <w:noProof/>
              </w:rPr>
              <w:t>3.2</w:t>
            </w:r>
            <w:r w:rsidR="00137154">
              <w:rPr>
                <w:rFonts w:asciiTheme="minorHAnsi" w:eastAsiaTheme="minorEastAsia" w:hAnsiTheme="minorHAnsi" w:cstheme="minorBidi"/>
                <w:noProof/>
                <w:color w:val="auto"/>
                <w:sz w:val="22"/>
                <w:szCs w:val="22"/>
              </w:rPr>
              <w:tab/>
            </w:r>
            <w:r w:rsidR="00137154" w:rsidRPr="00A82D73">
              <w:rPr>
                <w:rStyle w:val="Hyperlink"/>
                <w:noProof/>
              </w:rPr>
              <w:t>Alternative Fuels</w:t>
            </w:r>
            <w:r w:rsidR="00137154">
              <w:rPr>
                <w:noProof/>
                <w:webHidden/>
              </w:rPr>
              <w:tab/>
            </w:r>
            <w:r w:rsidR="00137154">
              <w:rPr>
                <w:noProof/>
                <w:webHidden/>
              </w:rPr>
              <w:fldChar w:fldCharType="begin"/>
            </w:r>
            <w:r w:rsidR="00137154">
              <w:rPr>
                <w:noProof/>
                <w:webHidden/>
              </w:rPr>
              <w:instrText xml:space="preserve"> PAGEREF _Toc84019452 \h </w:instrText>
            </w:r>
            <w:r w:rsidR="00137154">
              <w:rPr>
                <w:noProof/>
                <w:webHidden/>
              </w:rPr>
            </w:r>
            <w:r w:rsidR="00137154">
              <w:rPr>
                <w:noProof/>
                <w:webHidden/>
              </w:rPr>
              <w:fldChar w:fldCharType="separate"/>
            </w:r>
            <w:r w:rsidR="00137154">
              <w:rPr>
                <w:noProof/>
                <w:webHidden/>
              </w:rPr>
              <w:t>10</w:t>
            </w:r>
            <w:r w:rsidR="00137154">
              <w:rPr>
                <w:noProof/>
                <w:webHidden/>
              </w:rPr>
              <w:fldChar w:fldCharType="end"/>
            </w:r>
          </w:hyperlink>
        </w:p>
        <w:p w14:paraId="6984DFE6" w14:textId="52A1B6A3"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53" w:history="1">
            <w:r w:rsidR="00137154" w:rsidRPr="00A82D73">
              <w:rPr>
                <w:rStyle w:val="Hyperlink"/>
                <w:noProof/>
              </w:rPr>
              <w:t>3.3</w:t>
            </w:r>
            <w:r w:rsidR="00137154">
              <w:rPr>
                <w:rFonts w:asciiTheme="minorHAnsi" w:eastAsiaTheme="minorEastAsia" w:hAnsiTheme="minorHAnsi" w:cstheme="minorBidi"/>
                <w:noProof/>
                <w:color w:val="auto"/>
                <w:sz w:val="22"/>
                <w:szCs w:val="22"/>
              </w:rPr>
              <w:tab/>
            </w:r>
            <w:r w:rsidR="00137154" w:rsidRPr="00A82D73">
              <w:rPr>
                <w:rStyle w:val="Hyperlink"/>
                <w:noProof/>
              </w:rPr>
              <w:t>Green House Gas Emissions</w:t>
            </w:r>
            <w:r w:rsidR="00137154">
              <w:rPr>
                <w:noProof/>
                <w:webHidden/>
              </w:rPr>
              <w:tab/>
            </w:r>
            <w:r w:rsidR="00137154">
              <w:rPr>
                <w:noProof/>
                <w:webHidden/>
              </w:rPr>
              <w:fldChar w:fldCharType="begin"/>
            </w:r>
            <w:r w:rsidR="00137154">
              <w:rPr>
                <w:noProof/>
                <w:webHidden/>
              </w:rPr>
              <w:instrText xml:space="preserve"> PAGEREF _Toc84019453 \h </w:instrText>
            </w:r>
            <w:r w:rsidR="00137154">
              <w:rPr>
                <w:noProof/>
                <w:webHidden/>
              </w:rPr>
            </w:r>
            <w:r w:rsidR="00137154">
              <w:rPr>
                <w:noProof/>
                <w:webHidden/>
              </w:rPr>
              <w:fldChar w:fldCharType="separate"/>
            </w:r>
            <w:r w:rsidR="00137154">
              <w:rPr>
                <w:noProof/>
                <w:webHidden/>
              </w:rPr>
              <w:t>13</w:t>
            </w:r>
            <w:r w:rsidR="00137154">
              <w:rPr>
                <w:noProof/>
                <w:webHidden/>
              </w:rPr>
              <w:fldChar w:fldCharType="end"/>
            </w:r>
          </w:hyperlink>
        </w:p>
        <w:p w14:paraId="298E6807" w14:textId="4480BA2A"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54" w:history="1">
            <w:r w:rsidR="00137154" w:rsidRPr="00A82D73">
              <w:rPr>
                <w:rStyle w:val="Hyperlink"/>
                <w:noProof/>
              </w:rPr>
              <w:t>3.4</w:t>
            </w:r>
            <w:r w:rsidR="00137154">
              <w:rPr>
                <w:rFonts w:asciiTheme="minorHAnsi" w:eastAsiaTheme="minorEastAsia" w:hAnsiTheme="minorHAnsi" w:cstheme="minorBidi"/>
                <w:noProof/>
                <w:color w:val="auto"/>
                <w:sz w:val="22"/>
                <w:szCs w:val="22"/>
              </w:rPr>
              <w:tab/>
            </w:r>
            <w:r w:rsidR="00137154" w:rsidRPr="00A82D73">
              <w:rPr>
                <w:rStyle w:val="Hyperlink"/>
                <w:noProof/>
              </w:rPr>
              <w:t>Fuel Stability and Compatibility</w:t>
            </w:r>
            <w:r w:rsidR="00137154">
              <w:rPr>
                <w:noProof/>
                <w:webHidden/>
              </w:rPr>
              <w:tab/>
            </w:r>
            <w:r w:rsidR="00137154">
              <w:rPr>
                <w:noProof/>
                <w:webHidden/>
              </w:rPr>
              <w:fldChar w:fldCharType="begin"/>
            </w:r>
            <w:r w:rsidR="00137154">
              <w:rPr>
                <w:noProof/>
                <w:webHidden/>
              </w:rPr>
              <w:instrText xml:space="preserve"> PAGEREF _Toc84019454 \h </w:instrText>
            </w:r>
            <w:r w:rsidR="00137154">
              <w:rPr>
                <w:noProof/>
                <w:webHidden/>
              </w:rPr>
            </w:r>
            <w:r w:rsidR="00137154">
              <w:rPr>
                <w:noProof/>
                <w:webHidden/>
              </w:rPr>
              <w:fldChar w:fldCharType="separate"/>
            </w:r>
            <w:r w:rsidR="00137154">
              <w:rPr>
                <w:noProof/>
                <w:webHidden/>
              </w:rPr>
              <w:t>15</w:t>
            </w:r>
            <w:r w:rsidR="00137154">
              <w:rPr>
                <w:noProof/>
                <w:webHidden/>
              </w:rPr>
              <w:fldChar w:fldCharType="end"/>
            </w:r>
          </w:hyperlink>
        </w:p>
        <w:p w14:paraId="5739967B" w14:textId="33836BAD" w:rsidR="00137154" w:rsidRDefault="00261420">
          <w:pPr>
            <w:pStyle w:val="TOC1"/>
            <w:tabs>
              <w:tab w:val="left" w:pos="420"/>
              <w:tab w:val="right" w:leader="dot" w:pos="9628"/>
            </w:tabs>
            <w:rPr>
              <w:rFonts w:asciiTheme="minorHAnsi" w:eastAsiaTheme="minorEastAsia" w:hAnsiTheme="minorHAnsi" w:cstheme="minorBidi"/>
              <w:noProof/>
              <w:color w:val="auto"/>
              <w:sz w:val="22"/>
              <w:szCs w:val="22"/>
            </w:rPr>
          </w:pPr>
          <w:hyperlink w:anchor="_Toc84019455" w:history="1">
            <w:r w:rsidR="00137154" w:rsidRPr="00A82D73">
              <w:rPr>
                <w:rStyle w:val="Hyperlink"/>
                <w:noProof/>
              </w:rPr>
              <w:t>4</w:t>
            </w:r>
            <w:r w:rsidR="00137154">
              <w:rPr>
                <w:rFonts w:asciiTheme="minorHAnsi" w:eastAsiaTheme="minorEastAsia" w:hAnsiTheme="minorHAnsi" w:cstheme="minorBidi"/>
                <w:noProof/>
                <w:color w:val="auto"/>
                <w:sz w:val="22"/>
                <w:szCs w:val="22"/>
              </w:rPr>
              <w:tab/>
            </w:r>
            <w:r w:rsidR="00137154" w:rsidRPr="00A82D73">
              <w:rPr>
                <w:rStyle w:val="Hyperlink"/>
                <w:noProof/>
              </w:rPr>
              <w:t>Future Market</w:t>
            </w:r>
            <w:r w:rsidR="00137154">
              <w:rPr>
                <w:noProof/>
                <w:webHidden/>
              </w:rPr>
              <w:tab/>
            </w:r>
            <w:r w:rsidR="00137154">
              <w:rPr>
                <w:noProof/>
                <w:webHidden/>
              </w:rPr>
              <w:fldChar w:fldCharType="begin"/>
            </w:r>
            <w:r w:rsidR="00137154">
              <w:rPr>
                <w:noProof/>
                <w:webHidden/>
              </w:rPr>
              <w:instrText xml:space="preserve"> PAGEREF _Toc84019455 \h </w:instrText>
            </w:r>
            <w:r w:rsidR="00137154">
              <w:rPr>
                <w:noProof/>
                <w:webHidden/>
              </w:rPr>
            </w:r>
            <w:r w:rsidR="00137154">
              <w:rPr>
                <w:noProof/>
                <w:webHidden/>
              </w:rPr>
              <w:fldChar w:fldCharType="separate"/>
            </w:r>
            <w:r w:rsidR="00137154">
              <w:rPr>
                <w:noProof/>
                <w:webHidden/>
              </w:rPr>
              <w:t>16</w:t>
            </w:r>
            <w:r w:rsidR="00137154">
              <w:rPr>
                <w:noProof/>
                <w:webHidden/>
              </w:rPr>
              <w:fldChar w:fldCharType="end"/>
            </w:r>
          </w:hyperlink>
        </w:p>
        <w:p w14:paraId="574EC087" w14:textId="161DED7C"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56" w:history="1">
            <w:r w:rsidR="00137154" w:rsidRPr="00A82D73">
              <w:rPr>
                <w:rStyle w:val="Hyperlink"/>
                <w:rFonts w:asciiTheme="majorHAnsi" w:hAnsiTheme="majorHAnsi"/>
                <w:noProof/>
              </w:rPr>
              <w:t>4.1</w:t>
            </w:r>
            <w:r w:rsidR="00137154">
              <w:rPr>
                <w:rFonts w:asciiTheme="minorHAnsi" w:eastAsiaTheme="minorEastAsia" w:hAnsiTheme="minorHAnsi" w:cstheme="minorBidi"/>
                <w:noProof/>
                <w:color w:val="auto"/>
                <w:sz w:val="22"/>
                <w:szCs w:val="22"/>
              </w:rPr>
              <w:tab/>
            </w:r>
            <w:r w:rsidR="00137154" w:rsidRPr="00A82D73">
              <w:rPr>
                <w:rStyle w:val="Hyperlink"/>
                <w:noProof/>
              </w:rPr>
              <w:t>Market Size</w:t>
            </w:r>
            <w:r w:rsidR="00137154">
              <w:rPr>
                <w:noProof/>
                <w:webHidden/>
              </w:rPr>
              <w:tab/>
            </w:r>
            <w:r w:rsidR="00137154">
              <w:rPr>
                <w:noProof/>
                <w:webHidden/>
              </w:rPr>
              <w:fldChar w:fldCharType="begin"/>
            </w:r>
            <w:r w:rsidR="00137154">
              <w:rPr>
                <w:noProof/>
                <w:webHidden/>
              </w:rPr>
              <w:instrText xml:space="preserve"> PAGEREF _Toc84019456 \h </w:instrText>
            </w:r>
            <w:r w:rsidR="00137154">
              <w:rPr>
                <w:noProof/>
                <w:webHidden/>
              </w:rPr>
            </w:r>
            <w:r w:rsidR="00137154">
              <w:rPr>
                <w:noProof/>
                <w:webHidden/>
              </w:rPr>
              <w:fldChar w:fldCharType="separate"/>
            </w:r>
            <w:r w:rsidR="00137154">
              <w:rPr>
                <w:noProof/>
                <w:webHidden/>
              </w:rPr>
              <w:t>16</w:t>
            </w:r>
            <w:r w:rsidR="00137154">
              <w:rPr>
                <w:noProof/>
                <w:webHidden/>
              </w:rPr>
              <w:fldChar w:fldCharType="end"/>
            </w:r>
          </w:hyperlink>
        </w:p>
        <w:p w14:paraId="033CDEB4" w14:textId="5D50F401"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57" w:history="1">
            <w:r w:rsidR="00137154" w:rsidRPr="00A82D73">
              <w:rPr>
                <w:rStyle w:val="Hyperlink"/>
                <w:noProof/>
              </w:rPr>
              <w:t>4.2</w:t>
            </w:r>
            <w:r w:rsidR="00137154">
              <w:rPr>
                <w:rFonts w:asciiTheme="minorHAnsi" w:eastAsiaTheme="minorEastAsia" w:hAnsiTheme="minorHAnsi" w:cstheme="minorBidi"/>
                <w:noProof/>
                <w:color w:val="auto"/>
                <w:sz w:val="22"/>
                <w:szCs w:val="22"/>
              </w:rPr>
              <w:tab/>
            </w:r>
            <w:r w:rsidR="00137154" w:rsidRPr="00A82D73">
              <w:rPr>
                <w:rStyle w:val="Hyperlink"/>
                <w:noProof/>
              </w:rPr>
              <w:t>Pricing</w:t>
            </w:r>
            <w:r w:rsidR="00137154">
              <w:rPr>
                <w:noProof/>
                <w:webHidden/>
              </w:rPr>
              <w:tab/>
            </w:r>
            <w:r w:rsidR="00137154">
              <w:rPr>
                <w:noProof/>
                <w:webHidden/>
              </w:rPr>
              <w:fldChar w:fldCharType="begin"/>
            </w:r>
            <w:r w:rsidR="00137154">
              <w:rPr>
                <w:noProof/>
                <w:webHidden/>
              </w:rPr>
              <w:instrText xml:space="preserve"> PAGEREF _Toc84019457 \h </w:instrText>
            </w:r>
            <w:r w:rsidR="00137154">
              <w:rPr>
                <w:noProof/>
                <w:webHidden/>
              </w:rPr>
            </w:r>
            <w:r w:rsidR="00137154">
              <w:rPr>
                <w:noProof/>
                <w:webHidden/>
              </w:rPr>
              <w:fldChar w:fldCharType="separate"/>
            </w:r>
            <w:r w:rsidR="00137154">
              <w:rPr>
                <w:noProof/>
                <w:webHidden/>
              </w:rPr>
              <w:t>17</w:t>
            </w:r>
            <w:r w:rsidR="00137154">
              <w:rPr>
                <w:noProof/>
                <w:webHidden/>
              </w:rPr>
              <w:fldChar w:fldCharType="end"/>
            </w:r>
          </w:hyperlink>
        </w:p>
        <w:p w14:paraId="513842D5" w14:textId="35226F8D"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58" w:history="1">
            <w:r w:rsidR="00137154" w:rsidRPr="00A82D73">
              <w:rPr>
                <w:rStyle w:val="Hyperlink"/>
                <w:noProof/>
              </w:rPr>
              <w:t>4.3</w:t>
            </w:r>
            <w:r w:rsidR="00137154">
              <w:rPr>
                <w:rFonts w:asciiTheme="minorHAnsi" w:eastAsiaTheme="minorEastAsia" w:hAnsiTheme="minorHAnsi" w:cstheme="minorBidi"/>
                <w:noProof/>
                <w:color w:val="auto"/>
                <w:sz w:val="22"/>
                <w:szCs w:val="22"/>
              </w:rPr>
              <w:tab/>
            </w:r>
            <w:r w:rsidR="00137154" w:rsidRPr="00A82D73">
              <w:rPr>
                <w:rStyle w:val="Hyperlink"/>
                <w:noProof/>
              </w:rPr>
              <w:t>Technology Maturity</w:t>
            </w:r>
            <w:r w:rsidR="00137154">
              <w:rPr>
                <w:noProof/>
                <w:webHidden/>
              </w:rPr>
              <w:tab/>
            </w:r>
            <w:r w:rsidR="00137154">
              <w:rPr>
                <w:noProof/>
                <w:webHidden/>
              </w:rPr>
              <w:fldChar w:fldCharType="begin"/>
            </w:r>
            <w:r w:rsidR="00137154">
              <w:rPr>
                <w:noProof/>
                <w:webHidden/>
              </w:rPr>
              <w:instrText xml:space="preserve"> PAGEREF _Toc84019458 \h </w:instrText>
            </w:r>
            <w:r w:rsidR="00137154">
              <w:rPr>
                <w:noProof/>
                <w:webHidden/>
              </w:rPr>
            </w:r>
            <w:r w:rsidR="00137154">
              <w:rPr>
                <w:noProof/>
                <w:webHidden/>
              </w:rPr>
              <w:fldChar w:fldCharType="separate"/>
            </w:r>
            <w:r w:rsidR="00137154">
              <w:rPr>
                <w:noProof/>
                <w:webHidden/>
              </w:rPr>
              <w:t>19</w:t>
            </w:r>
            <w:r w:rsidR="00137154">
              <w:rPr>
                <w:noProof/>
                <w:webHidden/>
              </w:rPr>
              <w:fldChar w:fldCharType="end"/>
            </w:r>
          </w:hyperlink>
        </w:p>
        <w:p w14:paraId="7668BBFF" w14:textId="256789FF" w:rsidR="00137154" w:rsidRDefault="00261420">
          <w:pPr>
            <w:pStyle w:val="TOC2"/>
            <w:tabs>
              <w:tab w:val="left" w:pos="880"/>
              <w:tab w:val="right" w:leader="dot" w:pos="9628"/>
            </w:tabs>
            <w:rPr>
              <w:rFonts w:asciiTheme="minorHAnsi" w:eastAsiaTheme="minorEastAsia" w:hAnsiTheme="minorHAnsi" w:cstheme="minorBidi"/>
              <w:noProof/>
              <w:color w:val="auto"/>
              <w:sz w:val="22"/>
              <w:szCs w:val="22"/>
            </w:rPr>
          </w:pPr>
          <w:hyperlink w:anchor="_Toc84019459" w:history="1">
            <w:r w:rsidR="00137154" w:rsidRPr="00A82D73">
              <w:rPr>
                <w:rStyle w:val="Hyperlink"/>
                <w:noProof/>
              </w:rPr>
              <w:t>4.1</w:t>
            </w:r>
            <w:r w:rsidR="00137154">
              <w:rPr>
                <w:rFonts w:asciiTheme="minorHAnsi" w:eastAsiaTheme="minorEastAsia" w:hAnsiTheme="minorHAnsi" w:cstheme="minorBidi"/>
                <w:noProof/>
                <w:color w:val="auto"/>
                <w:sz w:val="22"/>
                <w:szCs w:val="22"/>
              </w:rPr>
              <w:tab/>
            </w:r>
            <w:r w:rsidR="00137154" w:rsidRPr="00A82D73">
              <w:rPr>
                <w:rStyle w:val="Hyperlink"/>
                <w:noProof/>
              </w:rPr>
              <w:t>Stakeholder mapping</w:t>
            </w:r>
            <w:r w:rsidR="00137154">
              <w:rPr>
                <w:noProof/>
                <w:webHidden/>
              </w:rPr>
              <w:tab/>
            </w:r>
            <w:r w:rsidR="00137154">
              <w:rPr>
                <w:noProof/>
                <w:webHidden/>
              </w:rPr>
              <w:fldChar w:fldCharType="begin"/>
            </w:r>
            <w:r w:rsidR="00137154">
              <w:rPr>
                <w:noProof/>
                <w:webHidden/>
              </w:rPr>
              <w:instrText xml:space="preserve"> PAGEREF _Toc84019459 \h </w:instrText>
            </w:r>
            <w:r w:rsidR="00137154">
              <w:rPr>
                <w:noProof/>
                <w:webHidden/>
              </w:rPr>
            </w:r>
            <w:r w:rsidR="00137154">
              <w:rPr>
                <w:noProof/>
                <w:webHidden/>
              </w:rPr>
              <w:fldChar w:fldCharType="separate"/>
            </w:r>
            <w:r w:rsidR="00137154">
              <w:rPr>
                <w:noProof/>
                <w:webHidden/>
              </w:rPr>
              <w:t>20</w:t>
            </w:r>
            <w:r w:rsidR="00137154">
              <w:rPr>
                <w:noProof/>
                <w:webHidden/>
              </w:rPr>
              <w:fldChar w:fldCharType="end"/>
            </w:r>
          </w:hyperlink>
        </w:p>
        <w:p w14:paraId="2B011595" w14:textId="54753A26" w:rsidR="00137154" w:rsidRDefault="00261420">
          <w:pPr>
            <w:pStyle w:val="TOC3"/>
            <w:tabs>
              <w:tab w:val="left" w:pos="1100"/>
              <w:tab w:val="right" w:leader="dot" w:pos="9628"/>
            </w:tabs>
            <w:rPr>
              <w:rFonts w:asciiTheme="minorHAnsi" w:eastAsiaTheme="minorEastAsia" w:hAnsiTheme="minorHAnsi" w:cstheme="minorBidi"/>
              <w:noProof/>
              <w:color w:val="auto"/>
              <w:sz w:val="22"/>
              <w:szCs w:val="22"/>
            </w:rPr>
          </w:pPr>
          <w:hyperlink w:anchor="_Toc84019460" w:history="1">
            <w:r w:rsidR="00137154" w:rsidRPr="00A82D73">
              <w:rPr>
                <w:rStyle w:val="Hyperlink"/>
                <w:noProof/>
              </w:rPr>
              <w:t>4.1.1</w:t>
            </w:r>
            <w:r w:rsidR="00137154">
              <w:rPr>
                <w:rFonts w:asciiTheme="minorHAnsi" w:eastAsiaTheme="minorEastAsia" w:hAnsiTheme="minorHAnsi" w:cstheme="minorBidi"/>
                <w:noProof/>
                <w:color w:val="auto"/>
                <w:sz w:val="22"/>
                <w:szCs w:val="22"/>
              </w:rPr>
              <w:tab/>
            </w:r>
            <w:r w:rsidR="00137154" w:rsidRPr="00A82D73">
              <w:rPr>
                <w:rStyle w:val="Hyperlink"/>
                <w:rFonts w:eastAsia="Calibri"/>
                <w:noProof/>
              </w:rPr>
              <w:t>Feedstock Providers</w:t>
            </w:r>
            <w:r w:rsidR="00137154">
              <w:rPr>
                <w:noProof/>
                <w:webHidden/>
              </w:rPr>
              <w:tab/>
            </w:r>
            <w:r w:rsidR="00137154">
              <w:rPr>
                <w:noProof/>
                <w:webHidden/>
              </w:rPr>
              <w:fldChar w:fldCharType="begin"/>
            </w:r>
            <w:r w:rsidR="00137154">
              <w:rPr>
                <w:noProof/>
                <w:webHidden/>
              </w:rPr>
              <w:instrText xml:space="preserve"> PAGEREF _Toc84019460 \h </w:instrText>
            </w:r>
            <w:r w:rsidR="00137154">
              <w:rPr>
                <w:noProof/>
                <w:webHidden/>
              </w:rPr>
            </w:r>
            <w:r w:rsidR="00137154">
              <w:rPr>
                <w:noProof/>
                <w:webHidden/>
              </w:rPr>
              <w:fldChar w:fldCharType="separate"/>
            </w:r>
            <w:r w:rsidR="00137154">
              <w:rPr>
                <w:noProof/>
                <w:webHidden/>
              </w:rPr>
              <w:t>20</w:t>
            </w:r>
            <w:r w:rsidR="00137154">
              <w:rPr>
                <w:noProof/>
                <w:webHidden/>
              </w:rPr>
              <w:fldChar w:fldCharType="end"/>
            </w:r>
          </w:hyperlink>
        </w:p>
        <w:p w14:paraId="63A5B6FD" w14:textId="729472DA" w:rsidR="00137154" w:rsidRDefault="00261420">
          <w:pPr>
            <w:pStyle w:val="TOC3"/>
            <w:tabs>
              <w:tab w:val="left" w:pos="1100"/>
              <w:tab w:val="right" w:leader="dot" w:pos="9628"/>
            </w:tabs>
            <w:rPr>
              <w:rFonts w:asciiTheme="minorHAnsi" w:eastAsiaTheme="minorEastAsia" w:hAnsiTheme="minorHAnsi" w:cstheme="minorBidi"/>
              <w:noProof/>
              <w:color w:val="auto"/>
              <w:sz w:val="22"/>
              <w:szCs w:val="22"/>
            </w:rPr>
          </w:pPr>
          <w:hyperlink w:anchor="_Toc84019461" w:history="1">
            <w:r w:rsidR="00137154" w:rsidRPr="00A82D73">
              <w:rPr>
                <w:rStyle w:val="Hyperlink"/>
                <w:noProof/>
              </w:rPr>
              <w:t>4.1.2</w:t>
            </w:r>
            <w:r w:rsidR="00137154">
              <w:rPr>
                <w:rFonts w:asciiTheme="minorHAnsi" w:eastAsiaTheme="minorEastAsia" w:hAnsiTheme="minorHAnsi" w:cstheme="minorBidi"/>
                <w:noProof/>
                <w:color w:val="auto"/>
                <w:sz w:val="22"/>
                <w:szCs w:val="22"/>
              </w:rPr>
              <w:tab/>
            </w:r>
            <w:r w:rsidR="00137154" w:rsidRPr="00A82D73">
              <w:rPr>
                <w:rStyle w:val="Hyperlink"/>
                <w:rFonts w:eastAsia="Calibri"/>
                <w:noProof/>
              </w:rPr>
              <w:t>Cellulose users</w:t>
            </w:r>
            <w:r w:rsidR="00137154">
              <w:rPr>
                <w:noProof/>
                <w:webHidden/>
              </w:rPr>
              <w:tab/>
            </w:r>
            <w:r w:rsidR="00137154">
              <w:rPr>
                <w:noProof/>
                <w:webHidden/>
              </w:rPr>
              <w:fldChar w:fldCharType="begin"/>
            </w:r>
            <w:r w:rsidR="00137154">
              <w:rPr>
                <w:noProof/>
                <w:webHidden/>
              </w:rPr>
              <w:instrText xml:space="preserve"> PAGEREF _Toc84019461 \h </w:instrText>
            </w:r>
            <w:r w:rsidR="00137154">
              <w:rPr>
                <w:noProof/>
                <w:webHidden/>
              </w:rPr>
            </w:r>
            <w:r w:rsidR="00137154">
              <w:rPr>
                <w:noProof/>
                <w:webHidden/>
              </w:rPr>
              <w:fldChar w:fldCharType="separate"/>
            </w:r>
            <w:r w:rsidR="00137154">
              <w:rPr>
                <w:noProof/>
                <w:webHidden/>
              </w:rPr>
              <w:t>22</w:t>
            </w:r>
            <w:r w:rsidR="00137154">
              <w:rPr>
                <w:noProof/>
                <w:webHidden/>
              </w:rPr>
              <w:fldChar w:fldCharType="end"/>
            </w:r>
          </w:hyperlink>
        </w:p>
        <w:p w14:paraId="6769FB26" w14:textId="710F465E" w:rsidR="00137154" w:rsidRDefault="00261420">
          <w:pPr>
            <w:pStyle w:val="TOC3"/>
            <w:tabs>
              <w:tab w:val="left" w:pos="1100"/>
              <w:tab w:val="right" w:leader="dot" w:pos="9628"/>
            </w:tabs>
            <w:rPr>
              <w:rFonts w:asciiTheme="minorHAnsi" w:eastAsiaTheme="minorEastAsia" w:hAnsiTheme="minorHAnsi" w:cstheme="minorBidi"/>
              <w:noProof/>
              <w:color w:val="auto"/>
              <w:sz w:val="22"/>
              <w:szCs w:val="22"/>
            </w:rPr>
          </w:pPr>
          <w:hyperlink w:anchor="_Toc84019462" w:history="1">
            <w:r w:rsidR="00137154" w:rsidRPr="00A82D73">
              <w:rPr>
                <w:rStyle w:val="Hyperlink"/>
                <w:noProof/>
              </w:rPr>
              <w:t>4.1.3</w:t>
            </w:r>
            <w:r w:rsidR="00137154">
              <w:rPr>
                <w:rFonts w:asciiTheme="minorHAnsi" w:eastAsiaTheme="minorEastAsia" w:hAnsiTheme="minorHAnsi" w:cstheme="minorBidi"/>
                <w:noProof/>
                <w:color w:val="auto"/>
                <w:sz w:val="22"/>
                <w:szCs w:val="22"/>
              </w:rPr>
              <w:tab/>
            </w:r>
            <w:r w:rsidR="00137154" w:rsidRPr="00A82D73">
              <w:rPr>
                <w:rStyle w:val="Hyperlink"/>
                <w:rFonts w:eastAsia="Calibri"/>
                <w:noProof/>
              </w:rPr>
              <w:t>Ship owners</w:t>
            </w:r>
            <w:r w:rsidR="00137154">
              <w:rPr>
                <w:noProof/>
                <w:webHidden/>
              </w:rPr>
              <w:tab/>
            </w:r>
            <w:r w:rsidR="00137154">
              <w:rPr>
                <w:noProof/>
                <w:webHidden/>
              </w:rPr>
              <w:fldChar w:fldCharType="begin"/>
            </w:r>
            <w:r w:rsidR="00137154">
              <w:rPr>
                <w:noProof/>
                <w:webHidden/>
              </w:rPr>
              <w:instrText xml:space="preserve"> PAGEREF _Toc84019462 \h </w:instrText>
            </w:r>
            <w:r w:rsidR="00137154">
              <w:rPr>
                <w:noProof/>
                <w:webHidden/>
              </w:rPr>
            </w:r>
            <w:r w:rsidR="00137154">
              <w:rPr>
                <w:noProof/>
                <w:webHidden/>
              </w:rPr>
              <w:fldChar w:fldCharType="separate"/>
            </w:r>
            <w:r w:rsidR="00137154">
              <w:rPr>
                <w:noProof/>
                <w:webHidden/>
              </w:rPr>
              <w:t>22</w:t>
            </w:r>
            <w:r w:rsidR="00137154">
              <w:rPr>
                <w:noProof/>
                <w:webHidden/>
              </w:rPr>
              <w:fldChar w:fldCharType="end"/>
            </w:r>
          </w:hyperlink>
        </w:p>
        <w:p w14:paraId="67D4C894" w14:textId="6BAD2BAF" w:rsidR="00137154" w:rsidRDefault="00261420">
          <w:pPr>
            <w:pStyle w:val="TOC1"/>
            <w:tabs>
              <w:tab w:val="left" w:pos="420"/>
              <w:tab w:val="right" w:leader="dot" w:pos="9628"/>
            </w:tabs>
            <w:rPr>
              <w:rFonts w:asciiTheme="minorHAnsi" w:eastAsiaTheme="minorEastAsia" w:hAnsiTheme="minorHAnsi" w:cstheme="minorBidi"/>
              <w:noProof/>
              <w:color w:val="auto"/>
              <w:sz w:val="22"/>
              <w:szCs w:val="22"/>
            </w:rPr>
          </w:pPr>
          <w:hyperlink w:anchor="_Toc84019463" w:history="1">
            <w:r w:rsidR="00137154" w:rsidRPr="00A82D73">
              <w:rPr>
                <w:rStyle w:val="Hyperlink"/>
                <w:noProof/>
              </w:rPr>
              <w:t>5</w:t>
            </w:r>
            <w:r w:rsidR="00137154">
              <w:rPr>
                <w:rFonts w:asciiTheme="minorHAnsi" w:eastAsiaTheme="minorEastAsia" w:hAnsiTheme="minorHAnsi" w:cstheme="minorBidi"/>
                <w:noProof/>
                <w:color w:val="auto"/>
                <w:sz w:val="22"/>
                <w:szCs w:val="22"/>
              </w:rPr>
              <w:tab/>
            </w:r>
            <w:r w:rsidR="00137154" w:rsidRPr="00A82D73">
              <w:rPr>
                <w:rStyle w:val="Hyperlink"/>
                <w:noProof/>
              </w:rPr>
              <w:t>Conclusions and Recommendations</w:t>
            </w:r>
            <w:r w:rsidR="00137154">
              <w:rPr>
                <w:noProof/>
                <w:webHidden/>
              </w:rPr>
              <w:tab/>
            </w:r>
            <w:r w:rsidR="00137154">
              <w:rPr>
                <w:noProof/>
                <w:webHidden/>
              </w:rPr>
              <w:fldChar w:fldCharType="begin"/>
            </w:r>
            <w:r w:rsidR="00137154">
              <w:rPr>
                <w:noProof/>
                <w:webHidden/>
              </w:rPr>
              <w:instrText xml:space="preserve"> PAGEREF _Toc84019463 \h </w:instrText>
            </w:r>
            <w:r w:rsidR="00137154">
              <w:rPr>
                <w:noProof/>
                <w:webHidden/>
              </w:rPr>
            </w:r>
            <w:r w:rsidR="00137154">
              <w:rPr>
                <w:noProof/>
                <w:webHidden/>
              </w:rPr>
              <w:fldChar w:fldCharType="separate"/>
            </w:r>
            <w:r w:rsidR="00137154">
              <w:rPr>
                <w:noProof/>
                <w:webHidden/>
              </w:rPr>
              <w:t>23</w:t>
            </w:r>
            <w:r w:rsidR="00137154">
              <w:rPr>
                <w:noProof/>
                <w:webHidden/>
              </w:rPr>
              <w:fldChar w:fldCharType="end"/>
            </w:r>
          </w:hyperlink>
        </w:p>
        <w:p w14:paraId="691FC58E" w14:textId="282E0D18" w:rsidR="00137154" w:rsidRDefault="00261420">
          <w:pPr>
            <w:pStyle w:val="TOC1"/>
            <w:tabs>
              <w:tab w:val="left" w:pos="420"/>
              <w:tab w:val="right" w:leader="dot" w:pos="9628"/>
            </w:tabs>
            <w:rPr>
              <w:rFonts w:asciiTheme="minorHAnsi" w:eastAsiaTheme="minorEastAsia" w:hAnsiTheme="minorHAnsi" w:cstheme="minorBidi"/>
              <w:noProof/>
              <w:color w:val="auto"/>
              <w:sz w:val="22"/>
              <w:szCs w:val="22"/>
            </w:rPr>
          </w:pPr>
          <w:hyperlink w:anchor="_Toc84019464" w:history="1">
            <w:r w:rsidR="00137154" w:rsidRPr="00A82D73">
              <w:rPr>
                <w:rStyle w:val="Hyperlink"/>
                <w:noProof/>
              </w:rPr>
              <w:t>6</w:t>
            </w:r>
            <w:r w:rsidR="00137154">
              <w:rPr>
                <w:rFonts w:asciiTheme="minorHAnsi" w:eastAsiaTheme="minorEastAsia" w:hAnsiTheme="minorHAnsi" w:cstheme="minorBidi"/>
                <w:noProof/>
                <w:color w:val="auto"/>
                <w:sz w:val="22"/>
                <w:szCs w:val="22"/>
              </w:rPr>
              <w:tab/>
            </w:r>
            <w:r w:rsidR="00137154" w:rsidRPr="00A82D73">
              <w:rPr>
                <w:rStyle w:val="Hyperlink"/>
                <w:noProof/>
              </w:rPr>
              <w:t>Risk Register</w:t>
            </w:r>
            <w:r w:rsidR="00137154">
              <w:rPr>
                <w:noProof/>
                <w:webHidden/>
              </w:rPr>
              <w:tab/>
            </w:r>
            <w:r w:rsidR="00137154">
              <w:rPr>
                <w:noProof/>
                <w:webHidden/>
              </w:rPr>
              <w:fldChar w:fldCharType="begin"/>
            </w:r>
            <w:r w:rsidR="00137154">
              <w:rPr>
                <w:noProof/>
                <w:webHidden/>
              </w:rPr>
              <w:instrText xml:space="preserve"> PAGEREF _Toc84019464 \h </w:instrText>
            </w:r>
            <w:r w:rsidR="00137154">
              <w:rPr>
                <w:noProof/>
                <w:webHidden/>
              </w:rPr>
            </w:r>
            <w:r w:rsidR="00137154">
              <w:rPr>
                <w:noProof/>
                <w:webHidden/>
              </w:rPr>
              <w:fldChar w:fldCharType="separate"/>
            </w:r>
            <w:r w:rsidR="00137154">
              <w:rPr>
                <w:noProof/>
                <w:webHidden/>
              </w:rPr>
              <w:t>1</w:t>
            </w:r>
            <w:r w:rsidR="00137154">
              <w:rPr>
                <w:noProof/>
                <w:webHidden/>
              </w:rPr>
              <w:fldChar w:fldCharType="end"/>
            </w:r>
          </w:hyperlink>
        </w:p>
        <w:p w14:paraId="02EAD918" w14:textId="6F1971EE" w:rsidR="00137154" w:rsidRDefault="00261420">
          <w:pPr>
            <w:pStyle w:val="TOC1"/>
            <w:tabs>
              <w:tab w:val="left" w:pos="420"/>
              <w:tab w:val="right" w:leader="dot" w:pos="9628"/>
            </w:tabs>
            <w:rPr>
              <w:rFonts w:asciiTheme="minorHAnsi" w:eastAsiaTheme="minorEastAsia" w:hAnsiTheme="minorHAnsi" w:cstheme="minorBidi"/>
              <w:noProof/>
              <w:color w:val="auto"/>
              <w:sz w:val="22"/>
              <w:szCs w:val="22"/>
            </w:rPr>
          </w:pPr>
          <w:hyperlink w:anchor="_Toc84019465" w:history="1">
            <w:r w:rsidR="00137154" w:rsidRPr="00A82D73">
              <w:rPr>
                <w:rStyle w:val="Hyperlink"/>
                <w:noProof/>
              </w:rPr>
              <w:t>7</w:t>
            </w:r>
            <w:r w:rsidR="00137154">
              <w:rPr>
                <w:rFonts w:asciiTheme="minorHAnsi" w:eastAsiaTheme="minorEastAsia" w:hAnsiTheme="minorHAnsi" w:cstheme="minorBidi"/>
                <w:noProof/>
                <w:color w:val="auto"/>
                <w:sz w:val="22"/>
                <w:szCs w:val="22"/>
              </w:rPr>
              <w:tab/>
            </w:r>
            <w:r w:rsidR="00137154" w:rsidRPr="00A82D73">
              <w:rPr>
                <w:rStyle w:val="Hyperlink"/>
                <w:noProof/>
              </w:rPr>
              <w:t>References</w:t>
            </w:r>
            <w:r w:rsidR="00137154">
              <w:rPr>
                <w:noProof/>
                <w:webHidden/>
              </w:rPr>
              <w:tab/>
            </w:r>
            <w:r w:rsidR="00137154">
              <w:rPr>
                <w:noProof/>
                <w:webHidden/>
              </w:rPr>
              <w:fldChar w:fldCharType="begin"/>
            </w:r>
            <w:r w:rsidR="00137154">
              <w:rPr>
                <w:noProof/>
                <w:webHidden/>
              </w:rPr>
              <w:instrText xml:space="preserve"> PAGEREF _Toc84019465 \h </w:instrText>
            </w:r>
            <w:r w:rsidR="00137154">
              <w:rPr>
                <w:noProof/>
                <w:webHidden/>
              </w:rPr>
            </w:r>
            <w:r w:rsidR="00137154">
              <w:rPr>
                <w:noProof/>
                <w:webHidden/>
              </w:rPr>
              <w:fldChar w:fldCharType="separate"/>
            </w:r>
            <w:r w:rsidR="00137154">
              <w:rPr>
                <w:noProof/>
                <w:webHidden/>
              </w:rPr>
              <w:t>2</w:t>
            </w:r>
            <w:r w:rsidR="00137154">
              <w:rPr>
                <w:noProof/>
                <w:webHidden/>
              </w:rPr>
              <w:fldChar w:fldCharType="end"/>
            </w:r>
          </w:hyperlink>
        </w:p>
        <w:p w14:paraId="06970E8B" w14:textId="559A75E7" w:rsidR="00137154" w:rsidRDefault="00261420">
          <w:pPr>
            <w:pStyle w:val="TOC1"/>
            <w:tabs>
              <w:tab w:val="right" w:leader="dot" w:pos="9628"/>
            </w:tabs>
            <w:rPr>
              <w:rFonts w:asciiTheme="minorHAnsi" w:eastAsiaTheme="minorEastAsia" w:hAnsiTheme="minorHAnsi" w:cstheme="minorBidi"/>
              <w:noProof/>
              <w:color w:val="auto"/>
              <w:sz w:val="22"/>
              <w:szCs w:val="22"/>
            </w:rPr>
          </w:pPr>
          <w:hyperlink w:anchor="_Toc84019466" w:history="1">
            <w:r w:rsidR="00137154" w:rsidRPr="00A82D73">
              <w:rPr>
                <w:rStyle w:val="Hyperlink"/>
                <w:noProof/>
              </w:rPr>
              <w:t>Acknowledgement</w:t>
            </w:r>
            <w:r w:rsidR="00137154">
              <w:rPr>
                <w:noProof/>
                <w:webHidden/>
              </w:rPr>
              <w:tab/>
            </w:r>
            <w:r w:rsidR="00137154">
              <w:rPr>
                <w:noProof/>
                <w:webHidden/>
              </w:rPr>
              <w:fldChar w:fldCharType="begin"/>
            </w:r>
            <w:r w:rsidR="00137154">
              <w:rPr>
                <w:noProof/>
                <w:webHidden/>
              </w:rPr>
              <w:instrText xml:space="preserve"> PAGEREF _Toc84019466 \h </w:instrText>
            </w:r>
            <w:r w:rsidR="00137154">
              <w:rPr>
                <w:noProof/>
                <w:webHidden/>
              </w:rPr>
            </w:r>
            <w:r w:rsidR="00137154">
              <w:rPr>
                <w:noProof/>
                <w:webHidden/>
              </w:rPr>
              <w:fldChar w:fldCharType="separate"/>
            </w:r>
            <w:r w:rsidR="00137154">
              <w:rPr>
                <w:noProof/>
                <w:webHidden/>
              </w:rPr>
              <w:t>4</w:t>
            </w:r>
            <w:r w:rsidR="00137154">
              <w:rPr>
                <w:noProof/>
                <w:webHidden/>
              </w:rPr>
              <w:fldChar w:fldCharType="end"/>
            </w:r>
          </w:hyperlink>
        </w:p>
        <w:p w14:paraId="6C158D0A" w14:textId="37C025CF" w:rsidR="00137154" w:rsidRDefault="00261420">
          <w:pPr>
            <w:pStyle w:val="TOC1"/>
            <w:tabs>
              <w:tab w:val="right" w:leader="dot" w:pos="9628"/>
            </w:tabs>
            <w:rPr>
              <w:rFonts w:asciiTheme="minorHAnsi" w:eastAsiaTheme="minorEastAsia" w:hAnsiTheme="minorHAnsi" w:cstheme="minorBidi"/>
              <w:noProof/>
              <w:color w:val="auto"/>
              <w:sz w:val="22"/>
              <w:szCs w:val="22"/>
            </w:rPr>
          </w:pPr>
          <w:hyperlink w:anchor="_Toc84019467" w:history="1">
            <w:r w:rsidR="00137154" w:rsidRPr="00A82D73">
              <w:rPr>
                <w:rStyle w:val="Hyperlink"/>
                <w:noProof/>
              </w:rPr>
              <w:t>Appendix A – Quality Assurance Review Form</w:t>
            </w:r>
            <w:r w:rsidR="00137154">
              <w:rPr>
                <w:noProof/>
                <w:webHidden/>
              </w:rPr>
              <w:tab/>
            </w:r>
            <w:r w:rsidR="00137154">
              <w:rPr>
                <w:noProof/>
                <w:webHidden/>
              </w:rPr>
              <w:fldChar w:fldCharType="begin"/>
            </w:r>
            <w:r w:rsidR="00137154">
              <w:rPr>
                <w:noProof/>
                <w:webHidden/>
              </w:rPr>
              <w:instrText xml:space="preserve"> PAGEREF _Toc84019467 \h </w:instrText>
            </w:r>
            <w:r w:rsidR="00137154">
              <w:rPr>
                <w:noProof/>
                <w:webHidden/>
              </w:rPr>
            </w:r>
            <w:r w:rsidR="00137154">
              <w:rPr>
                <w:noProof/>
                <w:webHidden/>
              </w:rPr>
              <w:fldChar w:fldCharType="separate"/>
            </w:r>
            <w:r w:rsidR="00137154">
              <w:rPr>
                <w:noProof/>
                <w:webHidden/>
              </w:rPr>
              <w:t>5</w:t>
            </w:r>
            <w:r w:rsidR="00137154">
              <w:rPr>
                <w:noProof/>
                <w:webHidden/>
              </w:rPr>
              <w:fldChar w:fldCharType="end"/>
            </w:r>
          </w:hyperlink>
        </w:p>
        <w:p w14:paraId="6D8DEB35" w14:textId="27C01092" w:rsidR="004C14E2" w:rsidRPr="0045629F" w:rsidRDefault="00AF6EDB">
          <w:pPr>
            <w:rPr>
              <w:b/>
              <w:bCs/>
              <w:noProof/>
              <w:lang w:val="en-GB"/>
            </w:rPr>
          </w:pPr>
          <w:r w:rsidRPr="0045629F">
            <w:rPr>
              <w:b/>
              <w:bCs/>
              <w:noProof/>
              <w:lang w:val="en-GB"/>
            </w:rPr>
            <w:fldChar w:fldCharType="end"/>
          </w:r>
        </w:p>
      </w:sdtContent>
    </w:sdt>
    <w:p w14:paraId="04F4F7DE" w14:textId="67770EA7" w:rsidR="006B7DF1" w:rsidRDefault="006B7DF1" w:rsidP="00710F7F">
      <w:pPr>
        <w:rPr>
          <w:b/>
          <w:sz w:val="24"/>
          <w:lang w:val="en-GB"/>
        </w:rPr>
      </w:pPr>
    </w:p>
    <w:p w14:paraId="5D79FE4C" w14:textId="0EFDCB28" w:rsidR="00606DF0" w:rsidRDefault="00606DF0" w:rsidP="00710F7F">
      <w:pPr>
        <w:rPr>
          <w:b/>
          <w:sz w:val="24"/>
          <w:lang w:val="en-GB"/>
        </w:rPr>
      </w:pPr>
    </w:p>
    <w:p w14:paraId="396783E4" w14:textId="31C008EF" w:rsidR="00606DF0" w:rsidRDefault="00606DF0" w:rsidP="00710F7F">
      <w:pPr>
        <w:rPr>
          <w:b/>
          <w:sz w:val="24"/>
          <w:lang w:val="en-GB"/>
        </w:rPr>
      </w:pPr>
    </w:p>
    <w:p w14:paraId="2F238F85" w14:textId="0C2E6E01" w:rsidR="00606DF0" w:rsidRDefault="00606DF0" w:rsidP="00710F7F">
      <w:pPr>
        <w:rPr>
          <w:b/>
          <w:sz w:val="24"/>
          <w:lang w:val="en-GB"/>
        </w:rPr>
      </w:pPr>
    </w:p>
    <w:p w14:paraId="6C3EE232" w14:textId="71A3C188" w:rsidR="00606DF0" w:rsidRDefault="00606DF0" w:rsidP="00710F7F">
      <w:pPr>
        <w:rPr>
          <w:b/>
          <w:sz w:val="24"/>
          <w:lang w:val="en-GB"/>
        </w:rPr>
      </w:pPr>
    </w:p>
    <w:p w14:paraId="324464D6" w14:textId="26657F2F" w:rsidR="00606DF0" w:rsidRDefault="00606DF0" w:rsidP="00710F7F">
      <w:pPr>
        <w:rPr>
          <w:b/>
          <w:sz w:val="24"/>
          <w:lang w:val="en-GB"/>
        </w:rPr>
      </w:pPr>
    </w:p>
    <w:p w14:paraId="1ECD07EA" w14:textId="16E8B62D" w:rsidR="00606DF0" w:rsidRDefault="00606DF0" w:rsidP="00710F7F">
      <w:pPr>
        <w:rPr>
          <w:b/>
          <w:sz w:val="24"/>
          <w:lang w:val="en-GB"/>
        </w:rPr>
      </w:pPr>
    </w:p>
    <w:p w14:paraId="78A18721" w14:textId="249D6171" w:rsidR="00606DF0" w:rsidRDefault="00606DF0" w:rsidP="00710F7F">
      <w:pPr>
        <w:rPr>
          <w:b/>
          <w:sz w:val="24"/>
          <w:lang w:val="en-GB"/>
        </w:rPr>
      </w:pPr>
    </w:p>
    <w:p w14:paraId="44B002AB" w14:textId="4240861F" w:rsidR="00606DF0" w:rsidRDefault="00606DF0" w:rsidP="00710F7F">
      <w:pPr>
        <w:rPr>
          <w:b/>
          <w:sz w:val="24"/>
          <w:lang w:val="en-GB"/>
        </w:rPr>
      </w:pPr>
    </w:p>
    <w:p w14:paraId="40661F50" w14:textId="77777777" w:rsidR="00357301" w:rsidRDefault="00357301" w:rsidP="00710F7F">
      <w:pPr>
        <w:rPr>
          <w:b/>
          <w:sz w:val="24"/>
          <w:lang w:val="en-GB"/>
        </w:rPr>
      </w:pPr>
    </w:p>
    <w:p w14:paraId="6F605A01" w14:textId="77777777" w:rsidR="00606DF0" w:rsidRDefault="00606DF0" w:rsidP="00710F7F">
      <w:pPr>
        <w:rPr>
          <w:b/>
          <w:sz w:val="24"/>
          <w:lang w:val="en-GB"/>
        </w:rPr>
      </w:pPr>
    </w:p>
    <w:p w14:paraId="6BA1E708" w14:textId="7777777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lastRenderedPageBreak/>
        <w:t>Table of Figures</w:t>
      </w:r>
    </w:p>
    <w:p w14:paraId="373A6A01" w14:textId="0C0B0088" w:rsidR="003A404B" w:rsidRDefault="00916415">
      <w:pPr>
        <w:pStyle w:val="TableofFigures"/>
        <w:tabs>
          <w:tab w:val="right" w:leader="dot" w:pos="9628"/>
        </w:tabs>
        <w:rPr>
          <w:rFonts w:asciiTheme="minorHAnsi" w:eastAsiaTheme="minorEastAsia" w:hAnsiTheme="minorHAnsi" w:cstheme="minorBidi"/>
          <w:noProof/>
          <w:color w:val="auto"/>
          <w:sz w:val="22"/>
          <w:szCs w:val="22"/>
        </w:rPr>
      </w:pPr>
      <w:r>
        <w:rPr>
          <w:rFonts w:asciiTheme="minorHAnsi" w:eastAsiaTheme="majorEastAsia" w:hAnsiTheme="minorHAnsi" w:cstheme="majorBidi"/>
          <w:b/>
          <w:sz w:val="22"/>
          <w:szCs w:val="22"/>
          <w:lang w:val="en-GB"/>
        </w:rPr>
        <w:fldChar w:fldCharType="begin"/>
      </w:r>
      <w:r>
        <w:rPr>
          <w:rFonts w:asciiTheme="minorHAnsi" w:eastAsiaTheme="majorEastAsia" w:hAnsiTheme="minorHAnsi" w:cstheme="majorBidi"/>
          <w:b/>
          <w:sz w:val="22"/>
          <w:szCs w:val="22"/>
          <w:lang w:val="en-GB"/>
        </w:rPr>
        <w:instrText xml:space="preserve"> TOC \h \z \c "Figure" </w:instrText>
      </w:r>
      <w:r>
        <w:rPr>
          <w:rFonts w:asciiTheme="minorHAnsi" w:eastAsiaTheme="majorEastAsia" w:hAnsiTheme="minorHAnsi" w:cstheme="majorBidi"/>
          <w:b/>
          <w:sz w:val="22"/>
          <w:szCs w:val="22"/>
          <w:lang w:val="en-GB"/>
        </w:rPr>
        <w:fldChar w:fldCharType="separate"/>
      </w:r>
      <w:hyperlink w:anchor="_Toc84018236" w:history="1">
        <w:r w:rsidR="003A404B" w:rsidRPr="00014107">
          <w:rPr>
            <w:rStyle w:val="Hyperlink"/>
            <w:noProof/>
          </w:rPr>
          <w:t>Figure 1. Emission control areas (ECA). Source: DND GL</w:t>
        </w:r>
        <w:r w:rsidR="003A404B">
          <w:rPr>
            <w:noProof/>
            <w:webHidden/>
          </w:rPr>
          <w:tab/>
        </w:r>
        <w:r w:rsidR="003A404B">
          <w:rPr>
            <w:noProof/>
            <w:webHidden/>
          </w:rPr>
          <w:fldChar w:fldCharType="begin"/>
        </w:r>
        <w:r w:rsidR="003A404B">
          <w:rPr>
            <w:noProof/>
            <w:webHidden/>
          </w:rPr>
          <w:instrText xml:space="preserve"> PAGEREF _Toc84018236 \h </w:instrText>
        </w:r>
        <w:r w:rsidR="003A404B">
          <w:rPr>
            <w:noProof/>
            <w:webHidden/>
          </w:rPr>
        </w:r>
        <w:r w:rsidR="003A404B">
          <w:rPr>
            <w:noProof/>
            <w:webHidden/>
          </w:rPr>
          <w:fldChar w:fldCharType="separate"/>
        </w:r>
        <w:r w:rsidR="003A404B">
          <w:rPr>
            <w:noProof/>
            <w:webHidden/>
          </w:rPr>
          <w:t>2</w:t>
        </w:r>
        <w:r w:rsidR="003A404B">
          <w:rPr>
            <w:noProof/>
            <w:webHidden/>
          </w:rPr>
          <w:fldChar w:fldCharType="end"/>
        </w:r>
      </w:hyperlink>
    </w:p>
    <w:p w14:paraId="570178AF" w14:textId="0CBE5DAE" w:rsidR="003A404B"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4018237" w:history="1">
        <w:r w:rsidR="003A404B" w:rsidRPr="00014107">
          <w:rPr>
            <w:rStyle w:val="Hyperlink"/>
            <w:noProof/>
          </w:rPr>
          <w:t>Figure 2. Port of Rotterdam Bunker Sales 2018-2021 (source: Port of Rotterdam, 2021)</w:t>
        </w:r>
        <w:r w:rsidR="003A404B">
          <w:rPr>
            <w:noProof/>
            <w:webHidden/>
          </w:rPr>
          <w:tab/>
        </w:r>
        <w:r w:rsidR="003A404B">
          <w:rPr>
            <w:noProof/>
            <w:webHidden/>
          </w:rPr>
          <w:fldChar w:fldCharType="begin"/>
        </w:r>
        <w:r w:rsidR="003A404B">
          <w:rPr>
            <w:noProof/>
            <w:webHidden/>
          </w:rPr>
          <w:instrText xml:space="preserve"> PAGEREF _Toc84018237 \h </w:instrText>
        </w:r>
        <w:r w:rsidR="003A404B">
          <w:rPr>
            <w:noProof/>
            <w:webHidden/>
          </w:rPr>
        </w:r>
        <w:r w:rsidR="003A404B">
          <w:rPr>
            <w:noProof/>
            <w:webHidden/>
          </w:rPr>
          <w:fldChar w:fldCharType="separate"/>
        </w:r>
        <w:r w:rsidR="003A404B">
          <w:rPr>
            <w:noProof/>
            <w:webHidden/>
          </w:rPr>
          <w:t>7</w:t>
        </w:r>
        <w:r w:rsidR="003A404B">
          <w:rPr>
            <w:noProof/>
            <w:webHidden/>
          </w:rPr>
          <w:fldChar w:fldCharType="end"/>
        </w:r>
      </w:hyperlink>
    </w:p>
    <w:p w14:paraId="6E7FC6FC" w14:textId="2FAD239C" w:rsidR="003A404B"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4018238" w:history="1">
        <w:r w:rsidR="003A404B" w:rsidRPr="00014107">
          <w:rPr>
            <w:rStyle w:val="Hyperlink"/>
            <w:noProof/>
          </w:rPr>
          <w:t>Figure 3. Energy density of several fuels considering tank weights and the low heating value (source: The Royal Society 2019)</w:t>
        </w:r>
        <w:r w:rsidR="003A404B">
          <w:rPr>
            <w:noProof/>
            <w:webHidden/>
          </w:rPr>
          <w:tab/>
        </w:r>
        <w:r w:rsidR="003A404B">
          <w:rPr>
            <w:noProof/>
            <w:webHidden/>
          </w:rPr>
          <w:fldChar w:fldCharType="begin"/>
        </w:r>
        <w:r w:rsidR="003A404B">
          <w:rPr>
            <w:noProof/>
            <w:webHidden/>
          </w:rPr>
          <w:instrText xml:space="preserve"> PAGEREF _Toc84018238 \h </w:instrText>
        </w:r>
        <w:r w:rsidR="003A404B">
          <w:rPr>
            <w:noProof/>
            <w:webHidden/>
          </w:rPr>
        </w:r>
        <w:r w:rsidR="003A404B">
          <w:rPr>
            <w:noProof/>
            <w:webHidden/>
          </w:rPr>
          <w:fldChar w:fldCharType="separate"/>
        </w:r>
        <w:r w:rsidR="003A404B">
          <w:rPr>
            <w:noProof/>
            <w:webHidden/>
          </w:rPr>
          <w:t>8</w:t>
        </w:r>
        <w:r w:rsidR="003A404B">
          <w:rPr>
            <w:noProof/>
            <w:webHidden/>
          </w:rPr>
          <w:fldChar w:fldCharType="end"/>
        </w:r>
      </w:hyperlink>
    </w:p>
    <w:p w14:paraId="3701A397" w14:textId="26D99899" w:rsidR="003A404B"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4018239" w:history="1">
        <w:r w:rsidR="003A404B" w:rsidRPr="00014107">
          <w:rPr>
            <w:rStyle w:val="Hyperlink"/>
            <w:noProof/>
          </w:rPr>
          <w:t>Figure 4. Overall flowchart for biofuel production starting from different feedstocks (Source: IEA Bioenergy 2017).</w:t>
        </w:r>
        <w:r w:rsidR="003A404B">
          <w:rPr>
            <w:noProof/>
            <w:webHidden/>
          </w:rPr>
          <w:tab/>
        </w:r>
        <w:r w:rsidR="003A404B">
          <w:rPr>
            <w:noProof/>
            <w:webHidden/>
          </w:rPr>
          <w:fldChar w:fldCharType="begin"/>
        </w:r>
        <w:r w:rsidR="003A404B">
          <w:rPr>
            <w:noProof/>
            <w:webHidden/>
          </w:rPr>
          <w:instrText xml:space="preserve"> PAGEREF _Toc84018239 \h </w:instrText>
        </w:r>
        <w:r w:rsidR="003A404B">
          <w:rPr>
            <w:noProof/>
            <w:webHidden/>
          </w:rPr>
        </w:r>
        <w:r w:rsidR="003A404B">
          <w:rPr>
            <w:noProof/>
            <w:webHidden/>
          </w:rPr>
          <w:fldChar w:fldCharType="separate"/>
        </w:r>
        <w:r w:rsidR="003A404B">
          <w:rPr>
            <w:noProof/>
            <w:webHidden/>
          </w:rPr>
          <w:t>13</w:t>
        </w:r>
        <w:r w:rsidR="003A404B">
          <w:rPr>
            <w:noProof/>
            <w:webHidden/>
          </w:rPr>
          <w:fldChar w:fldCharType="end"/>
        </w:r>
      </w:hyperlink>
    </w:p>
    <w:p w14:paraId="54ED9D03" w14:textId="1DFA108B" w:rsidR="003A404B"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4018240" w:history="1">
        <w:r w:rsidR="003A404B" w:rsidRPr="00014107">
          <w:rPr>
            <w:rStyle w:val="Hyperlink"/>
            <w:noProof/>
          </w:rPr>
          <w:t>Figure 5. Emission profile for different fuels considering production background emissions (adapted from Balcombe 2018)</w:t>
        </w:r>
        <w:r w:rsidR="003A404B">
          <w:rPr>
            <w:noProof/>
            <w:webHidden/>
          </w:rPr>
          <w:tab/>
        </w:r>
        <w:r w:rsidR="003A404B">
          <w:rPr>
            <w:noProof/>
            <w:webHidden/>
          </w:rPr>
          <w:fldChar w:fldCharType="begin"/>
        </w:r>
        <w:r w:rsidR="003A404B">
          <w:rPr>
            <w:noProof/>
            <w:webHidden/>
          </w:rPr>
          <w:instrText xml:space="preserve"> PAGEREF _Toc84018240 \h </w:instrText>
        </w:r>
        <w:r w:rsidR="003A404B">
          <w:rPr>
            <w:noProof/>
            <w:webHidden/>
          </w:rPr>
        </w:r>
        <w:r w:rsidR="003A404B">
          <w:rPr>
            <w:noProof/>
            <w:webHidden/>
          </w:rPr>
          <w:fldChar w:fldCharType="separate"/>
        </w:r>
        <w:r w:rsidR="003A404B">
          <w:rPr>
            <w:noProof/>
            <w:webHidden/>
          </w:rPr>
          <w:t>14</w:t>
        </w:r>
        <w:r w:rsidR="003A404B">
          <w:rPr>
            <w:noProof/>
            <w:webHidden/>
          </w:rPr>
          <w:fldChar w:fldCharType="end"/>
        </w:r>
      </w:hyperlink>
    </w:p>
    <w:p w14:paraId="3AAD6F08" w14:textId="6600B72A" w:rsidR="003A404B"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4018241" w:history="1">
        <w:r w:rsidR="003A404B" w:rsidRPr="00014107">
          <w:rPr>
            <w:rStyle w:val="Hyperlink"/>
            <w:noProof/>
          </w:rPr>
          <w:t>Figure 6. Public consultation: How likely is the uptake of renewable fuels in the marine sector without specific policy intervention? Source: European Commission Proposal 2021 – Amending Directive 2009/16/EC</w:t>
        </w:r>
        <w:r w:rsidR="003A404B">
          <w:rPr>
            <w:noProof/>
            <w:webHidden/>
          </w:rPr>
          <w:tab/>
        </w:r>
        <w:r w:rsidR="003A404B">
          <w:rPr>
            <w:noProof/>
            <w:webHidden/>
          </w:rPr>
          <w:fldChar w:fldCharType="begin"/>
        </w:r>
        <w:r w:rsidR="003A404B">
          <w:rPr>
            <w:noProof/>
            <w:webHidden/>
          </w:rPr>
          <w:instrText xml:space="preserve"> PAGEREF _Toc84018241 \h </w:instrText>
        </w:r>
        <w:r w:rsidR="003A404B">
          <w:rPr>
            <w:noProof/>
            <w:webHidden/>
          </w:rPr>
        </w:r>
        <w:r w:rsidR="003A404B">
          <w:rPr>
            <w:noProof/>
            <w:webHidden/>
          </w:rPr>
          <w:fldChar w:fldCharType="separate"/>
        </w:r>
        <w:r w:rsidR="003A404B">
          <w:rPr>
            <w:noProof/>
            <w:webHidden/>
          </w:rPr>
          <w:t>16</w:t>
        </w:r>
        <w:r w:rsidR="003A404B">
          <w:rPr>
            <w:noProof/>
            <w:webHidden/>
          </w:rPr>
          <w:fldChar w:fldCharType="end"/>
        </w:r>
      </w:hyperlink>
    </w:p>
    <w:p w14:paraId="2A8951CF" w14:textId="44E2169F" w:rsidR="003A404B"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4018242" w:history="1">
        <w:r w:rsidR="003A404B" w:rsidRPr="00014107">
          <w:rPr>
            <w:rStyle w:val="Hyperlink"/>
            <w:noProof/>
          </w:rPr>
          <w:t>Figure 7. European Commission 2050 long-term scenarios for maritime fuel mix (source: Prussi et al., 2021)</w:t>
        </w:r>
        <w:r w:rsidR="003A404B">
          <w:rPr>
            <w:noProof/>
            <w:webHidden/>
          </w:rPr>
          <w:tab/>
        </w:r>
        <w:r w:rsidR="003A404B">
          <w:rPr>
            <w:noProof/>
            <w:webHidden/>
          </w:rPr>
          <w:fldChar w:fldCharType="begin"/>
        </w:r>
        <w:r w:rsidR="003A404B">
          <w:rPr>
            <w:noProof/>
            <w:webHidden/>
          </w:rPr>
          <w:instrText xml:space="preserve"> PAGEREF _Toc84018242 \h </w:instrText>
        </w:r>
        <w:r w:rsidR="003A404B">
          <w:rPr>
            <w:noProof/>
            <w:webHidden/>
          </w:rPr>
        </w:r>
        <w:r w:rsidR="003A404B">
          <w:rPr>
            <w:noProof/>
            <w:webHidden/>
          </w:rPr>
          <w:fldChar w:fldCharType="separate"/>
        </w:r>
        <w:r w:rsidR="003A404B">
          <w:rPr>
            <w:noProof/>
            <w:webHidden/>
          </w:rPr>
          <w:t>17</w:t>
        </w:r>
        <w:r w:rsidR="003A404B">
          <w:rPr>
            <w:noProof/>
            <w:webHidden/>
          </w:rPr>
          <w:fldChar w:fldCharType="end"/>
        </w:r>
      </w:hyperlink>
    </w:p>
    <w:p w14:paraId="71144C1C" w14:textId="6CDA7998" w:rsidR="003A404B"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4018243" w:history="1">
        <w:r w:rsidR="003A404B" w:rsidRPr="00014107">
          <w:rPr>
            <w:rStyle w:val="Hyperlink"/>
            <w:noProof/>
          </w:rPr>
          <w:t>Figure 8.  Price record of FAME, RMG (IFO) 380, ULSFO and MGO (source: Platts, Ship and Bunker).</w:t>
        </w:r>
        <w:r w:rsidR="003A404B">
          <w:rPr>
            <w:noProof/>
            <w:webHidden/>
          </w:rPr>
          <w:tab/>
        </w:r>
        <w:r w:rsidR="003A404B">
          <w:rPr>
            <w:noProof/>
            <w:webHidden/>
          </w:rPr>
          <w:fldChar w:fldCharType="begin"/>
        </w:r>
        <w:r w:rsidR="003A404B">
          <w:rPr>
            <w:noProof/>
            <w:webHidden/>
          </w:rPr>
          <w:instrText xml:space="preserve"> PAGEREF _Toc84018243 \h </w:instrText>
        </w:r>
        <w:r w:rsidR="003A404B">
          <w:rPr>
            <w:noProof/>
            <w:webHidden/>
          </w:rPr>
        </w:r>
        <w:r w:rsidR="003A404B">
          <w:rPr>
            <w:noProof/>
            <w:webHidden/>
          </w:rPr>
          <w:fldChar w:fldCharType="separate"/>
        </w:r>
        <w:r w:rsidR="003A404B">
          <w:rPr>
            <w:noProof/>
            <w:webHidden/>
          </w:rPr>
          <w:t>18</w:t>
        </w:r>
        <w:r w:rsidR="003A404B">
          <w:rPr>
            <w:noProof/>
            <w:webHidden/>
          </w:rPr>
          <w:fldChar w:fldCharType="end"/>
        </w:r>
      </w:hyperlink>
    </w:p>
    <w:p w14:paraId="750A1431" w14:textId="45FBF636" w:rsidR="00710F7F" w:rsidRPr="00131E03" w:rsidRDefault="00916415" w:rsidP="00710F7F">
      <w:pPr>
        <w:rPr>
          <w:sz w:val="22"/>
          <w:szCs w:val="22"/>
          <w:lang w:val="en-GB"/>
        </w:rPr>
      </w:pPr>
      <w:r>
        <w:rPr>
          <w:rFonts w:asciiTheme="minorHAnsi" w:eastAsiaTheme="majorEastAsia" w:hAnsiTheme="minorHAnsi" w:cstheme="majorBidi"/>
          <w:b/>
          <w:sz w:val="22"/>
          <w:szCs w:val="22"/>
          <w:lang w:val="en-GB"/>
        </w:rPr>
        <w:fldChar w:fldCharType="end"/>
      </w:r>
    </w:p>
    <w:p w14:paraId="71442182" w14:textId="127C3892" w:rsidR="00710F7F" w:rsidRDefault="00710F7F" w:rsidP="00710F7F">
      <w:pPr>
        <w:rPr>
          <w:lang w:val="en-GB"/>
        </w:rPr>
      </w:pPr>
    </w:p>
    <w:p w14:paraId="71D78036" w14:textId="77777777" w:rsidR="004D4CE4" w:rsidRDefault="005202D0" w:rsidP="00EC0977">
      <w:pPr>
        <w:rPr>
          <w:b/>
          <w:color w:val="002244" w:themeColor="accent1"/>
          <w:sz w:val="28"/>
          <w:szCs w:val="28"/>
          <w:lang w:val="en-GB"/>
        </w:rPr>
      </w:pPr>
      <w:bookmarkStart w:id="2" w:name="_Toc42783544"/>
      <w:r>
        <w:rPr>
          <w:b/>
          <w:color w:val="002244" w:themeColor="accent1"/>
          <w:sz w:val="28"/>
          <w:szCs w:val="28"/>
          <w:lang w:val="en-GB"/>
        </w:rPr>
        <w:t xml:space="preserve">List of </w:t>
      </w:r>
      <w:r w:rsidR="006B7DF1" w:rsidRPr="00EC0977">
        <w:rPr>
          <w:b/>
          <w:color w:val="002244" w:themeColor="accent1"/>
          <w:sz w:val="28"/>
          <w:szCs w:val="28"/>
          <w:lang w:val="en-GB"/>
        </w:rPr>
        <w:t>Tables</w:t>
      </w:r>
      <w:bookmarkEnd w:id="2"/>
    </w:p>
    <w:p w14:paraId="2FA31B0F" w14:textId="48FC68F1" w:rsidR="004D4CE4" w:rsidRDefault="006B7DF1">
      <w:pPr>
        <w:pStyle w:val="TableofFigures"/>
        <w:tabs>
          <w:tab w:val="right" w:leader="dot" w:pos="9628"/>
        </w:tabs>
        <w:rPr>
          <w:rFonts w:asciiTheme="minorHAnsi" w:eastAsiaTheme="minorEastAsia" w:hAnsiTheme="minorHAnsi" w:cstheme="minorBidi"/>
          <w:noProof/>
          <w:color w:val="auto"/>
          <w:sz w:val="22"/>
          <w:szCs w:val="22"/>
        </w:rPr>
      </w:pPr>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hyperlink w:anchor="_Toc83296284" w:history="1">
        <w:r w:rsidR="004D4CE4" w:rsidRPr="00DB39D7">
          <w:rPr>
            <w:rStyle w:val="Hyperlink"/>
            <w:noProof/>
          </w:rPr>
          <w:t>Table 1. Annex VI NO</w:t>
        </w:r>
        <w:r w:rsidR="004D4CE4" w:rsidRPr="00DB39D7">
          <w:rPr>
            <w:rStyle w:val="Hyperlink"/>
            <w:noProof/>
            <w:vertAlign w:val="subscript"/>
          </w:rPr>
          <w:t>x</w:t>
        </w:r>
        <w:r w:rsidR="004D4CE4" w:rsidRPr="00DB39D7">
          <w:rPr>
            <w:rStyle w:val="Hyperlink"/>
            <w:noProof/>
          </w:rPr>
          <w:t xml:space="preserve"> emissions limits by Tier</w:t>
        </w:r>
        <w:r w:rsidR="004D4CE4">
          <w:rPr>
            <w:noProof/>
            <w:webHidden/>
          </w:rPr>
          <w:tab/>
        </w:r>
        <w:r w:rsidR="004D4CE4">
          <w:rPr>
            <w:noProof/>
            <w:webHidden/>
          </w:rPr>
          <w:fldChar w:fldCharType="begin"/>
        </w:r>
        <w:r w:rsidR="004D4CE4">
          <w:rPr>
            <w:noProof/>
            <w:webHidden/>
          </w:rPr>
          <w:instrText xml:space="preserve"> PAGEREF _Toc83296284 \h </w:instrText>
        </w:r>
        <w:r w:rsidR="004D4CE4">
          <w:rPr>
            <w:noProof/>
            <w:webHidden/>
          </w:rPr>
        </w:r>
        <w:r w:rsidR="004D4CE4">
          <w:rPr>
            <w:noProof/>
            <w:webHidden/>
          </w:rPr>
          <w:fldChar w:fldCharType="separate"/>
        </w:r>
        <w:r w:rsidR="004D4CE4">
          <w:rPr>
            <w:noProof/>
            <w:webHidden/>
          </w:rPr>
          <w:t>2</w:t>
        </w:r>
        <w:r w:rsidR="004D4CE4">
          <w:rPr>
            <w:noProof/>
            <w:webHidden/>
          </w:rPr>
          <w:fldChar w:fldCharType="end"/>
        </w:r>
      </w:hyperlink>
    </w:p>
    <w:p w14:paraId="1F51DB54" w14:textId="2A757C7F" w:rsidR="004D4CE4"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3296285" w:history="1">
        <w:r w:rsidR="004D4CE4" w:rsidRPr="00DB39D7">
          <w:rPr>
            <w:rStyle w:val="Hyperlink"/>
            <w:noProof/>
          </w:rPr>
          <w:t>Table 2. marine gas oil (MGO) and marine diesel oil (MDO).</w:t>
        </w:r>
        <w:r w:rsidR="004D4CE4">
          <w:rPr>
            <w:noProof/>
            <w:webHidden/>
          </w:rPr>
          <w:tab/>
        </w:r>
        <w:r w:rsidR="004D4CE4">
          <w:rPr>
            <w:noProof/>
            <w:webHidden/>
          </w:rPr>
          <w:fldChar w:fldCharType="begin"/>
        </w:r>
        <w:r w:rsidR="004D4CE4">
          <w:rPr>
            <w:noProof/>
            <w:webHidden/>
          </w:rPr>
          <w:instrText xml:space="preserve"> PAGEREF _Toc83296285 \h </w:instrText>
        </w:r>
        <w:r w:rsidR="004D4CE4">
          <w:rPr>
            <w:noProof/>
            <w:webHidden/>
          </w:rPr>
        </w:r>
        <w:r w:rsidR="004D4CE4">
          <w:rPr>
            <w:noProof/>
            <w:webHidden/>
          </w:rPr>
          <w:fldChar w:fldCharType="separate"/>
        </w:r>
        <w:r w:rsidR="004D4CE4">
          <w:rPr>
            <w:noProof/>
            <w:webHidden/>
          </w:rPr>
          <w:t>9</w:t>
        </w:r>
        <w:r w:rsidR="004D4CE4">
          <w:rPr>
            <w:noProof/>
            <w:webHidden/>
          </w:rPr>
          <w:fldChar w:fldCharType="end"/>
        </w:r>
      </w:hyperlink>
    </w:p>
    <w:p w14:paraId="2257E6EE" w14:textId="4ECF7697" w:rsidR="004D4CE4"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3296286" w:history="1">
        <w:r w:rsidR="004D4CE4" w:rsidRPr="00DB39D7">
          <w:rPr>
            <w:rStyle w:val="Hyperlink"/>
            <w:noProof/>
          </w:rPr>
          <w:t>Table 3. Fuel and engine compatibility (adapted from Uslu, 2019).</w:t>
        </w:r>
        <w:r w:rsidR="004D4CE4">
          <w:rPr>
            <w:noProof/>
            <w:webHidden/>
          </w:rPr>
          <w:tab/>
        </w:r>
        <w:r w:rsidR="004D4CE4">
          <w:rPr>
            <w:noProof/>
            <w:webHidden/>
          </w:rPr>
          <w:fldChar w:fldCharType="begin"/>
        </w:r>
        <w:r w:rsidR="004D4CE4">
          <w:rPr>
            <w:noProof/>
            <w:webHidden/>
          </w:rPr>
          <w:instrText xml:space="preserve"> PAGEREF _Toc83296286 \h </w:instrText>
        </w:r>
        <w:r w:rsidR="004D4CE4">
          <w:rPr>
            <w:noProof/>
            <w:webHidden/>
          </w:rPr>
        </w:r>
        <w:r w:rsidR="004D4CE4">
          <w:rPr>
            <w:noProof/>
            <w:webHidden/>
          </w:rPr>
          <w:fldChar w:fldCharType="separate"/>
        </w:r>
        <w:r w:rsidR="004D4CE4">
          <w:rPr>
            <w:noProof/>
            <w:webHidden/>
          </w:rPr>
          <w:t>15</w:t>
        </w:r>
        <w:r w:rsidR="004D4CE4">
          <w:rPr>
            <w:noProof/>
            <w:webHidden/>
          </w:rPr>
          <w:fldChar w:fldCharType="end"/>
        </w:r>
      </w:hyperlink>
    </w:p>
    <w:p w14:paraId="214301E5" w14:textId="29B81509" w:rsidR="004D4CE4"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3296287" w:history="1">
        <w:r w:rsidR="004D4CE4" w:rsidRPr="00DB39D7">
          <w:rPr>
            <w:rStyle w:val="Hyperlink"/>
            <w:noProof/>
          </w:rPr>
          <w:t>Table 4. Decarbonization premium per ton of product in comparison to HFO, assuming equivalent densities and heat value.</w:t>
        </w:r>
        <w:r w:rsidR="004D4CE4">
          <w:rPr>
            <w:noProof/>
            <w:webHidden/>
          </w:rPr>
          <w:tab/>
        </w:r>
        <w:r w:rsidR="004D4CE4">
          <w:rPr>
            <w:noProof/>
            <w:webHidden/>
          </w:rPr>
          <w:fldChar w:fldCharType="begin"/>
        </w:r>
        <w:r w:rsidR="004D4CE4">
          <w:rPr>
            <w:noProof/>
            <w:webHidden/>
          </w:rPr>
          <w:instrText xml:space="preserve"> PAGEREF _Toc83296287 \h </w:instrText>
        </w:r>
        <w:r w:rsidR="004D4CE4">
          <w:rPr>
            <w:noProof/>
            <w:webHidden/>
          </w:rPr>
        </w:r>
        <w:r w:rsidR="004D4CE4">
          <w:rPr>
            <w:noProof/>
            <w:webHidden/>
          </w:rPr>
          <w:fldChar w:fldCharType="separate"/>
        </w:r>
        <w:r w:rsidR="004D4CE4">
          <w:rPr>
            <w:noProof/>
            <w:webHidden/>
          </w:rPr>
          <w:t>18</w:t>
        </w:r>
        <w:r w:rsidR="004D4CE4">
          <w:rPr>
            <w:noProof/>
            <w:webHidden/>
          </w:rPr>
          <w:fldChar w:fldCharType="end"/>
        </w:r>
      </w:hyperlink>
    </w:p>
    <w:p w14:paraId="22AC61F8" w14:textId="011FA4A4" w:rsidR="004D4CE4"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3296288" w:history="1">
        <w:r w:rsidR="004D4CE4" w:rsidRPr="00DB39D7">
          <w:rPr>
            <w:rStyle w:val="Hyperlink"/>
            <w:noProof/>
          </w:rPr>
          <w:t>Table 5. Comparative of biofuels and their development status (Panoutsou et al., 2021; Prussi et al., 2021; Verbeek et al., 2020)</w:t>
        </w:r>
        <w:r w:rsidR="004D4CE4">
          <w:rPr>
            <w:noProof/>
            <w:webHidden/>
          </w:rPr>
          <w:tab/>
        </w:r>
        <w:r w:rsidR="004D4CE4">
          <w:rPr>
            <w:noProof/>
            <w:webHidden/>
          </w:rPr>
          <w:fldChar w:fldCharType="begin"/>
        </w:r>
        <w:r w:rsidR="004D4CE4">
          <w:rPr>
            <w:noProof/>
            <w:webHidden/>
          </w:rPr>
          <w:instrText xml:space="preserve"> PAGEREF _Toc83296288 \h </w:instrText>
        </w:r>
        <w:r w:rsidR="004D4CE4">
          <w:rPr>
            <w:noProof/>
            <w:webHidden/>
          </w:rPr>
        </w:r>
        <w:r w:rsidR="004D4CE4">
          <w:rPr>
            <w:noProof/>
            <w:webHidden/>
          </w:rPr>
          <w:fldChar w:fldCharType="separate"/>
        </w:r>
        <w:r w:rsidR="004D4CE4">
          <w:rPr>
            <w:noProof/>
            <w:webHidden/>
          </w:rPr>
          <w:t>19</w:t>
        </w:r>
        <w:r w:rsidR="004D4CE4">
          <w:rPr>
            <w:noProof/>
            <w:webHidden/>
          </w:rPr>
          <w:fldChar w:fldCharType="end"/>
        </w:r>
      </w:hyperlink>
    </w:p>
    <w:p w14:paraId="4A372E46" w14:textId="79A29602" w:rsidR="004D4CE4" w:rsidRDefault="00261420">
      <w:pPr>
        <w:pStyle w:val="TableofFigures"/>
        <w:tabs>
          <w:tab w:val="right" w:leader="dot" w:pos="9628"/>
        </w:tabs>
        <w:rPr>
          <w:rFonts w:asciiTheme="minorHAnsi" w:eastAsiaTheme="minorEastAsia" w:hAnsiTheme="minorHAnsi" w:cstheme="minorBidi"/>
          <w:noProof/>
          <w:color w:val="auto"/>
          <w:sz w:val="22"/>
          <w:szCs w:val="22"/>
        </w:rPr>
      </w:pPr>
      <w:hyperlink w:anchor="_Toc83296289" w:history="1">
        <w:r w:rsidR="004D4CE4" w:rsidRPr="00DB39D7">
          <w:rPr>
            <w:rStyle w:val="Hyperlink"/>
            <w:noProof/>
          </w:rPr>
          <w:t>Table 6. Marine fuels map</w:t>
        </w:r>
        <w:r w:rsidR="004D4CE4">
          <w:rPr>
            <w:noProof/>
            <w:webHidden/>
          </w:rPr>
          <w:tab/>
        </w:r>
        <w:r w:rsidR="004D4CE4">
          <w:rPr>
            <w:noProof/>
            <w:webHidden/>
          </w:rPr>
          <w:fldChar w:fldCharType="begin"/>
        </w:r>
        <w:r w:rsidR="004D4CE4">
          <w:rPr>
            <w:noProof/>
            <w:webHidden/>
          </w:rPr>
          <w:instrText xml:space="preserve"> PAGEREF _Toc83296289 \h </w:instrText>
        </w:r>
        <w:r w:rsidR="004D4CE4">
          <w:rPr>
            <w:noProof/>
            <w:webHidden/>
          </w:rPr>
        </w:r>
        <w:r w:rsidR="004D4CE4">
          <w:rPr>
            <w:noProof/>
            <w:webHidden/>
          </w:rPr>
          <w:fldChar w:fldCharType="separate"/>
        </w:r>
        <w:r w:rsidR="004D4CE4">
          <w:rPr>
            <w:noProof/>
            <w:webHidden/>
          </w:rPr>
          <w:t>24</w:t>
        </w:r>
        <w:r w:rsidR="004D4CE4">
          <w:rPr>
            <w:noProof/>
            <w:webHidden/>
          </w:rPr>
          <w:fldChar w:fldCharType="end"/>
        </w:r>
      </w:hyperlink>
    </w:p>
    <w:p w14:paraId="4292FA4D" w14:textId="41F722B3" w:rsidR="006B7DF1" w:rsidRPr="00131E03" w:rsidRDefault="006B7DF1" w:rsidP="006B7DF1">
      <w:pPr>
        <w:rPr>
          <w:rFonts w:asciiTheme="minorHAnsi" w:eastAsiaTheme="majorEastAsia" w:hAnsiTheme="minorHAnsi" w:cstheme="majorBidi"/>
          <w:bCs/>
          <w:noProof/>
          <w:sz w:val="22"/>
          <w:szCs w:val="22"/>
          <w:lang w:val="en-GB"/>
        </w:rPr>
      </w:pPr>
      <w:r w:rsidRPr="00131E03">
        <w:rPr>
          <w:rFonts w:asciiTheme="minorHAnsi" w:eastAsiaTheme="majorEastAsia" w:hAnsiTheme="minorHAnsi" w:cstheme="majorBidi"/>
          <w:bCs/>
          <w:noProof/>
          <w:sz w:val="22"/>
          <w:szCs w:val="22"/>
          <w:lang w:val="en-GB"/>
        </w:rPr>
        <w:fldChar w:fldCharType="end"/>
      </w:r>
    </w:p>
    <w:p w14:paraId="78F5F11C" w14:textId="330BE454" w:rsidR="006B7DF1" w:rsidRDefault="006B7DF1">
      <w:pPr>
        <w:spacing w:after="160" w:line="259" w:lineRule="auto"/>
        <w:jc w:val="left"/>
        <w:rPr>
          <w:lang w:val="en-GB"/>
        </w:rPr>
      </w:pPr>
    </w:p>
    <w:p w14:paraId="7610B5C2" w14:textId="77777777" w:rsidR="00D10E5F" w:rsidRDefault="00D10E5F" w:rsidP="00D10E5F">
      <w:pPr>
        <w:tabs>
          <w:tab w:val="right" w:leader="dot" w:pos="9629"/>
        </w:tabs>
        <w:rPr>
          <w:lang w:val="en-GB"/>
        </w:rPr>
      </w:pPr>
    </w:p>
    <w:p w14:paraId="083510D3" w14:textId="77777777" w:rsidR="00D10E5F" w:rsidRDefault="00D10E5F" w:rsidP="00D10E5F">
      <w:pPr>
        <w:tabs>
          <w:tab w:val="right" w:leader="dot" w:pos="9629"/>
        </w:tabs>
        <w:rPr>
          <w:lang w:val="en-GB"/>
        </w:rPr>
      </w:pPr>
    </w:p>
    <w:p w14:paraId="559C40D8" w14:textId="77777777" w:rsidR="00D10E5F" w:rsidRDefault="00D10E5F" w:rsidP="00D10E5F">
      <w:pPr>
        <w:tabs>
          <w:tab w:val="right" w:leader="dot" w:pos="9629"/>
        </w:tabs>
        <w:rPr>
          <w:lang w:val="en-GB"/>
        </w:rPr>
      </w:pPr>
    </w:p>
    <w:p w14:paraId="641D315A" w14:textId="77777777" w:rsidR="00D10E5F" w:rsidRDefault="00D10E5F" w:rsidP="00D10E5F">
      <w:pPr>
        <w:tabs>
          <w:tab w:val="right" w:leader="dot" w:pos="9629"/>
        </w:tabs>
        <w:rPr>
          <w:lang w:val="en-GB"/>
        </w:rPr>
      </w:pPr>
    </w:p>
    <w:p w14:paraId="7BC274C8" w14:textId="77777777" w:rsidR="00D10E5F" w:rsidRDefault="00D10E5F" w:rsidP="00D10E5F">
      <w:pPr>
        <w:tabs>
          <w:tab w:val="right" w:leader="dot" w:pos="9629"/>
        </w:tabs>
        <w:rPr>
          <w:lang w:val="en-GB"/>
        </w:rPr>
      </w:pPr>
    </w:p>
    <w:p w14:paraId="614C4EA7" w14:textId="77777777" w:rsidR="00D10E5F" w:rsidRDefault="00D10E5F" w:rsidP="00D10E5F">
      <w:pPr>
        <w:tabs>
          <w:tab w:val="right" w:leader="dot" w:pos="9629"/>
        </w:tabs>
        <w:rPr>
          <w:lang w:val="en-GB"/>
        </w:rPr>
      </w:pPr>
    </w:p>
    <w:p w14:paraId="67C6F409" w14:textId="77777777" w:rsidR="00D10E5F" w:rsidRDefault="00D10E5F" w:rsidP="00D10E5F">
      <w:pPr>
        <w:tabs>
          <w:tab w:val="right" w:leader="dot" w:pos="9629"/>
        </w:tabs>
        <w:rPr>
          <w:lang w:val="en-GB"/>
        </w:rPr>
      </w:pPr>
    </w:p>
    <w:p w14:paraId="2C759748" w14:textId="77777777" w:rsidR="00D10E5F" w:rsidRDefault="00D10E5F" w:rsidP="00D10E5F">
      <w:pPr>
        <w:tabs>
          <w:tab w:val="right" w:leader="dot" w:pos="9629"/>
        </w:tabs>
        <w:rPr>
          <w:lang w:val="en-GB"/>
        </w:rPr>
      </w:pPr>
    </w:p>
    <w:p w14:paraId="56274AF7" w14:textId="77777777" w:rsidR="00D10E5F" w:rsidRDefault="00D10E5F" w:rsidP="00D10E5F">
      <w:pPr>
        <w:tabs>
          <w:tab w:val="right" w:leader="dot" w:pos="9629"/>
        </w:tabs>
        <w:rPr>
          <w:lang w:val="en-GB"/>
        </w:rPr>
      </w:pPr>
    </w:p>
    <w:p w14:paraId="23A02891" w14:textId="77777777" w:rsidR="00D10E5F" w:rsidRDefault="00D10E5F" w:rsidP="00D10E5F">
      <w:pPr>
        <w:tabs>
          <w:tab w:val="right" w:leader="dot" w:pos="9629"/>
        </w:tabs>
        <w:rPr>
          <w:lang w:val="en-GB"/>
        </w:rPr>
      </w:pPr>
    </w:p>
    <w:p w14:paraId="03BC3839" w14:textId="77777777" w:rsidR="00D10E5F" w:rsidRDefault="00D10E5F" w:rsidP="00D10E5F">
      <w:pPr>
        <w:tabs>
          <w:tab w:val="right" w:leader="dot" w:pos="9629"/>
        </w:tabs>
        <w:rPr>
          <w:lang w:val="en-GB"/>
        </w:rPr>
      </w:pPr>
    </w:p>
    <w:p w14:paraId="7E4824A1" w14:textId="77777777" w:rsidR="00D10E5F" w:rsidRDefault="00D10E5F" w:rsidP="00D10E5F">
      <w:pPr>
        <w:tabs>
          <w:tab w:val="right" w:leader="dot" w:pos="9629"/>
        </w:tabs>
        <w:rPr>
          <w:lang w:val="en-GB"/>
        </w:rPr>
      </w:pPr>
    </w:p>
    <w:p w14:paraId="29EBE26A" w14:textId="77777777" w:rsidR="00D10E5F" w:rsidRDefault="00D10E5F" w:rsidP="00D10E5F">
      <w:pPr>
        <w:tabs>
          <w:tab w:val="right" w:leader="dot" w:pos="9629"/>
        </w:tabs>
        <w:rPr>
          <w:lang w:val="en-GB"/>
        </w:rPr>
      </w:pPr>
    </w:p>
    <w:p w14:paraId="06BD5940" w14:textId="77777777" w:rsidR="00D10E5F" w:rsidRDefault="00D10E5F" w:rsidP="00D10E5F">
      <w:pPr>
        <w:tabs>
          <w:tab w:val="right" w:leader="dot" w:pos="9629"/>
        </w:tabs>
        <w:rPr>
          <w:lang w:val="en-GB"/>
        </w:rPr>
      </w:pPr>
    </w:p>
    <w:p w14:paraId="2BCE3840" w14:textId="77777777" w:rsidR="00D10E5F" w:rsidRDefault="00D10E5F" w:rsidP="00D10E5F">
      <w:pPr>
        <w:tabs>
          <w:tab w:val="right" w:leader="dot" w:pos="9629"/>
        </w:tabs>
        <w:rPr>
          <w:lang w:val="en-GB"/>
        </w:rPr>
      </w:pPr>
    </w:p>
    <w:p w14:paraId="3C25E27E" w14:textId="77777777" w:rsidR="00D10E5F" w:rsidRDefault="00D10E5F" w:rsidP="00D10E5F">
      <w:pPr>
        <w:tabs>
          <w:tab w:val="right" w:leader="dot" w:pos="9629"/>
        </w:tabs>
        <w:rPr>
          <w:lang w:val="en-GB"/>
        </w:rPr>
      </w:pPr>
    </w:p>
    <w:p w14:paraId="73FE46AA" w14:textId="77777777" w:rsidR="00D10E5F" w:rsidRDefault="00D10E5F" w:rsidP="00D10E5F">
      <w:pPr>
        <w:tabs>
          <w:tab w:val="right" w:leader="dot" w:pos="9629"/>
        </w:tabs>
        <w:rPr>
          <w:lang w:val="en-GB"/>
        </w:rPr>
      </w:pPr>
    </w:p>
    <w:p w14:paraId="3589CB4C" w14:textId="77777777" w:rsidR="00D10E5F" w:rsidRDefault="00D10E5F" w:rsidP="00D10E5F">
      <w:pPr>
        <w:tabs>
          <w:tab w:val="right" w:leader="dot" w:pos="9629"/>
        </w:tabs>
        <w:rPr>
          <w:lang w:val="en-GB"/>
        </w:rPr>
      </w:pPr>
    </w:p>
    <w:p w14:paraId="139C3308" w14:textId="77777777" w:rsidR="00D10E5F" w:rsidRDefault="00D10E5F" w:rsidP="00D10E5F">
      <w:pPr>
        <w:tabs>
          <w:tab w:val="right" w:leader="dot" w:pos="9629"/>
        </w:tabs>
        <w:rPr>
          <w:lang w:val="en-GB"/>
        </w:rPr>
      </w:pPr>
    </w:p>
    <w:p w14:paraId="5B7AF179" w14:textId="77777777" w:rsidR="00D10E5F" w:rsidRDefault="00D10E5F" w:rsidP="00D10E5F">
      <w:pPr>
        <w:tabs>
          <w:tab w:val="right" w:leader="dot" w:pos="9629"/>
        </w:tabs>
        <w:rPr>
          <w:lang w:val="en-GB"/>
        </w:rPr>
      </w:pPr>
    </w:p>
    <w:p w14:paraId="6B36DAFE" w14:textId="77777777" w:rsidR="00D10E5F" w:rsidRDefault="00D10E5F" w:rsidP="00D10E5F">
      <w:pPr>
        <w:tabs>
          <w:tab w:val="right" w:leader="dot" w:pos="9629"/>
        </w:tabs>
        <w:rPr>
          <w:lang w:val="en-GB"/>
        </w:rPr>
      </w:pPr>
    </w:p>
    <w:p w14:paraId="616EF2B2" w14:textId="77777777" w:rsidR="00D10E5F" w:rsidRDefault="00D10E5F" w:rsidP="00D10E5F">
      <w:pPr>
        <w:tabs>
          <w:tab w:val="right" w:leader="dot" w:pos="9629"/>
        </w:tabs>
        <w:rPr>
          <w:lang w:val="en-GB"/>
        </w:rPr>
      </w:pPr>
    </w:p>
    <w:p w14:paraId="77DF2E44" w14:textId="77777777" w:rsidR="00D10E5F" w:rsidRDefault="00D10E5F" w:rsidP="00D10E5F">
      <w:pPr>
        <w:tabs>
          <w:tab w:val="right" w:leader="dot" w:pos="9629"/>
        </w:tabs>
        <w:rPr>
          <w:lang w:val="en-GB"/>
        </w:rPr>
      </w:pPr>
    </w:p>
    <w:p w14:paraId="1D114834" w14:textId="77777777" w:rsidR="00D10E5F" w:rsidRDefault="00D10E5F" w:rsidP="00D10E5F">
      <w:pPr>
        <w:tabs>
          <w:tab w:val="right" w:leader="dot" w:pos="9629"/>
        </w:tabs>
        <w:rPr>
          <w:lang w:val="en-GB"/>
        </w:rPr>
      </w:pPr>
    </w:p>
    <w:p w14:paraId="2160BE03" w14:textId="77777777" w:rsidR="007F05D6" w:rsidRDefault="007F05D6" w:rsidP="00D10E5F">
      <w:pPr>
        <w:tabs>
          <w:tab w:val="right" w:leader="dot" w:pos="9629"/>
        </w:tabs>
        <w:rPr>
          <w:lang w:val="en-GB"/>
        </w:rPr>
      </w:pPr>
    </w:p>
    <w:p w14:paraId="411B39D1" w14:textId="77777777" w:rsidR="007F05D6" w:rsidRDefault="007F05D6" w:rsidP="00D10E5F">
      <w:pPr>
        <w:tabs>
          <w:tab w:val="right" w:leader="dot" w:pos="9629"/>
        </w:tabs>
        <w:rPr>
          <w:lang w:val="en-GB"/>
        </w:rPr>
      </w:pPr>
    </w:p>
    <w:p w14:paraId="597DE343" w14:textId="117E9B5F" w:rsidR="00D10E5F" w:rsidRPr="0045629F" w:rsidRDefault="00D10E5F" w:rsidP="00D10E5F">
      <w:pPr>
        <w:tabs>
          <w:tab w:val="right" w:leader="dot" w:pos="9629"/>
        </w:tabs>
        <w:rPr>
          <w:noProof/>
          <w:lang w:val="en-GB"/>
        </w:rPr>
      </w:pPr>
      <w:r w:rsidRPr="0045629F">
        <w:rPr>
          <w:lang w:val="en-GB"/>
        </w:rPr>
        <w:fldChar w:fldCharType="begin"/>
      </w:r>
      <w:r w:rsidRPr="0045629F">
        <w:rPr>
          <w:lang w:val="en-GB"/>
        </w:rPr>
        <w:instrText xml:space="preserve"> TOC \h \z \c "Table" </w:instrText>
      </w:r>
      <w:r w:rsidRPr="0045629F">
        <w:rPr>
          <w:lang w:val="en-GB"/>
        </w:rPr>
        <w:fldChar w:fldCharType="separate"/>
      </w:r>
    </w:p>
    <w:p w14:paraId="4D846931" w14:textId="77777777" w:rsidR="00D10E5F" w:rsidRPr="0045629F" w:rsidRDefault="00D10E5F" w:rsidP="00D10E5F">
      <w:pPr>
        <w:rPr>
          <w:rFonts w:eastAsiaTheme="minorEastAsia"/>
          <w:lang w:val="en-GB"/>
        </w:rPr>
      </w:pPr>
    </w:p>
    <w:p w14:paraId="6BC44D32" w14:textId="77777777" w:rsidR="00D10E5F" w:rsidRPr="00EC0977" w:rsidRDefault="00D10E5F" w:rsidP="00D10E5F">
      <w:pPr>
        <w:rPr>
          <w:b/>
          <w:color w:val="002244" w:themeColor="accent1"/>
          <w:sz w:val="28"/>
          <w:szCs w:val="28"/>
          <w:lang w:val="en-GB"/>
        </w:rPr>
      </w:pPr>
      <w:bookmarkStart w:id="3" w:name="_Toc505697544"/>
      <w:bookmarkStart w:id="4" w:name="_Toc42783545"/>
      <w:r w:rsidRPr="00EC0977">
        <w:rPr>
          <w:b/>
          <w:color w:val="002244" w:themeColor="accent1"/>
          <w:sz w:val="28"/>
          <w:szCs w:val="28"/>
          <w:lang w:val="en-GB"/>
        </w:rPr>
        <w:t>Abbreviations</w:t>
      </w:r>
      <w:bookmarkEnd w:id="3"/>
      <w:bookmarkEnd w:id="4"/>
      <w:r>
        <w:rPr>
          <w:b/>
          <w:color w:val="002244" w:themeColor="accent1"/>
          <w:sz w:val="28"/>
          <w:szCs w:val="28"/>
          <w:lang w:val="en-GB"/>
        </w:rPr>
        <w:t xml:space="preserve"> </w:t>
      </w:r>
    </w:p>
    <w:p w14:paraId="64D2738B" w14:textId="77777777" w:rsidR="00D10E5F" w:rsidRPr="0045629F" w:rsidRDefault="00D10E5F" w:rsidP="00D10E5F">
      <w:pPr>
        <w:rPr>
          <w:lang w:val="en-GB"/>
        </w:rPr>
      </w:pPr>
    </w:p>
    <w:tbl>
      <w:tblPr>
        <w:tblStyle w:val="GridTable1Light"/>
        <w:tblW w:w="9498" w:type="dxa"/>
        <w:tblLook w:val="04A0" w:firstRow="1" w:lastRow="0" w:firstColumn="1" w:lastColumn="0" w:noHBand="0" w:noVBand="1"/>
      </w:tblPr>
      <w:tblGrid>
        <w:gridCol w:w="3118"/>
        <w:gridCol w:w="6380"/>
      </w:tblGrid>
      <w:tr w:rsidR="00D10E5F" w:rsidRPr="0045629F" w14:paraId="5DD1063E" w14:textId="77777777" w:rsidTr="007D4A4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12" w:space="0" w:color="002244"/>
              <w:right w:val="single" w:sz="4" w:space="0" w:color="002244"/>
            </w:tcBorders>
            <w:shd w:val="clear" w:color="auto" w:fill="0075B0"/>
            <w:noWrap/>
          </w:tcPr>
          <w:p w14:paraId="78A7896A" w14:textId="77777777" w:rsidR="00D10E5F" w:rsidRPr="00CE2C42" w:rsidRDefault="00D10E5F" w:rsidP="007D4A4F">
            <w:pPr>
              <w:pStyle w:val="Informal1"/>
              <w:rPr>
                <w:rFonts w:asciiTheme="majorHAnsi" w:hAnsiTheme="majorHAnsi" w:cstheme="majorHAnsi"/>
                <w:b w:val="0"/>
                <w:sz w:val="20"/>
                <w:lang w:eastAsia="en-GB"/>
              </w:rPr>
            </w:pPr>
            <w:r w:rsidRPr="00CE2C42">
              <w:rPr>
                <w:rFonts w:asciiTheme="majorHAnsi" w:hAnsiTheme="majorHAnsi" w:cstheme="majorHAnsi"/>
                <w:b w:val="0"/>
                <w:sz w:val="20"/>
                <w:lang w:eastAsia="en-GB"/>
              </w:rPr>
              <w:t>Symbol / short name</w:t>
            </w:r>
          </w:p>
        </w:tc>
        <w:tc>
          <w:tcPr>
            <w:tcW w:w="6380" w:type="dxa"/>
            <w:tcBorders>
              <w:top w:val="single" w:sz="4" w:space="0" w:color="002244"/>
              <w:left w:val="single" w:sz="4" w:space="0" w:color="002244"/>
              <w:bottom w:val="single" w:sz="12" w:space="0" w:color="002244"/>
              <w:right w:val="single" w:sz="4" w:space="0" w:color="002244"/>
            </w:tcBorders>
            <w:shd w:val="clear" w:color="auto" w:fill="0075B0"/>
          </w:tcPr>
          <w:p w14:paraId="4E4F9341" w14:textId="77777777" w:rsidR="00D10E5F" w:rsidRPr="00CE2C42" w:rsidRDefault="00D10E5F" w:rsidP="007D4A4F">
            <w:pPr>
              <w:ind w:firstLine="72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0"/>
                <w:lang w:val="en-GB" w:eastAsia="en-GB"/>
              </w:rPr>
            </w:pPr>
          </w:p>
        </w:tc>
      </w:tr>
      <w:tr w:rsidR="00D10E5F" w:rsidRPr="0045629F" w14:paraId="72A968F3"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12" w:space="0" w:color="002244"/>
              <w:left w:val="single" w:sz="4" w:space="0" w:color="002244"/>
              <w:bottom w:val="single" w:sz="4" w:space="0" w:color="002244"/>
              <w:right w:val="single" w:sz="4" w:space="0" w:color="002244"/>
            </w:tcBorders>
            <w:noWrap/>
          </w:tcPr>
          <w:p w14:paraId="36E96C5D" w14:textId="77777777" w:rsidR="00D10E5F" w:rsidRPr="00D10E5F" w:rsidRDefault="00D10E5F" w:rsidP="007D4A4F">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GHG</w:t>
            </w:r>
          </w:p>
        </w:tc>
        <w:tc>
          <w:tcPr>
            <w:tcW w:w="6380" w:type="dxa"/>
            <w:tcBorders>
              <w:top w:val="single" w:sz="12" w:space="0" w:color="002244"/>
              <w:left w:val="single" w:sz="4" w:space="0" w:color="002244"/>
              <w:bottom w:val="single" w:sz="4" w:space="0" w:color="002244"/>
              <w:right w:val="single" w:sz="4" w:space="0" w:color="002244"/>
            </w:tcBorders>
          </w:tcPr>
          <w:p w14:paraId="33EEFE95"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Greenhouse Gases</w:t>
            </w:r>
          </w:p>
        </w:tc>
      </w:tr>
      <w:tr w:rsidR="00D10E5F" w:rsidRPr="0045629F" w14:paraId="46AF1182"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682C35C6" w14:textId="77777777" w:rsidR="00D10E5F" w:rsidRPr="00D10E5F" w:rsidRDefault="00D10E5F" w:rsidP="007D4A4F">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IMO</w:t>
            </w:r>
          </w:p>
        </w:tc>
        <w:tc>
          <w:tcPr>
            <w:tcW w:w="6380" w:type="dxa"/>
            <w:tcBorders>
              <w:top w:val="single" w:sz="4" w:space="0" w:color="002244"/>
              <w:left w:val="single" w:sz="4" w:space="0" w:color="002244"/>
              <w:bottom w:val="single" w:sz="4" w:space="0" w:color="002244"/>
              <w:right w:val="single" w:sz="4" w:space="0" w:color="002244"/>
            </w:tcBorders>
          </w:tcPr>
          <w:p w14:paraId="0317E4BE"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International Maritime Organization</w:t>
            </w:r>
          </w:p>
        </w:tc>
      </w:tr>
      <w:tr w:rsidR="00D10E5F" w:rsidRPr="0045629F" w14:paraId="4999D46D"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453F82D1" w14:textId="77777777" w:rsidR="00D10E5F" w:rsidRPr="00137154" w:rsidRDefault="00D10E5F" w:rsidP="007D4A4F">
            <w:pPr>
              <w:rPr>
                <w:rFonts w:asciiTheme="majorHAnsi" w:hAnsiTheme="majorHAnsi" w:cstheme="majorHAnsi"/>
                <w:b w:val="0"/>
                <w:color w:val="auto"/>
                <w:sz w:val="20"/>
                <w:lang w:val="en-GB"/>
              </w:rPr>
            </w:pPr>
            <w:r w:rsidRPr="00137154">
              <w:rPr>
                <w:rFonts w:asciiTheme="majorHAnsi" w:hAnsiTheme="majorHAnsi" w:cstheme="majorHAnsi"/>
                <w:b w:val="0"/>
                <w:color w:val="auto"/>
                <w:sz w:val="20"/>
                <w:lang w:val="en-GB"/>
              </w:rPr>
              <w:t>EEA</w:t>
            </w:r>
          </w:p>
        </w:tc>
        <w:tc>
          <w:tcPr>
            <w:tcW w:w="6380" w:type="dxa"/>
            <w:tcBorders>
              <w:top w:val="single" w:sz="4" w:space="0" w:color="002244"/>
              <w:left w:val="single" w:sz="4" w:space="0" w:color="002244"/>
              <w:bottom w:val="single" w:sz="4" w:space="0" w:color="002244"/>
              <w:right w:val="single" w:sz="4" w:space="0" w:color="002244"/>
            </w:tcBorders>
          </w:tcPr>
          <w:p w14:paraId="308A6D8F"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European Economic Area</w:t>
            </w:r>
          </w:p>
        </w:tc>
      </w:tr>
      <w:tr w:rsidR="00D10E5F" w:rsidRPr="0045629F" w14:paraId="1C1ABE17"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D772C65" w14:textId="77777777" w:rsidR="00D10E5F" w:rsidRPr="00D10E5F" w:rsidRDefault="00D10E5F" w:rsidP="007D4A4F">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UNFCC</w:t>
            </w:r>
          </w:p>
        </w:tc>
        <w:tc>
          <w:tcPr>
            <w:tcW w:w="6380" w:type="dxa"/>
            <w:tcBorders>
              <w:top w:val="single" w:sz="4" w:space="0" w:color="002244"/>
              <w:left w:val="single" w:sz="4" w:space="0" w:color="002244"/>
              <w:bottom w:val="single" w:sz="4" w:space="0" w:color="002244"/>
              <w:right w:val="single" w:sz="4" w:space="0" w:color="002244"/>
            </w:tcBorders>
          </w:tcPr>
          <w:p w14:paraId="4FEEED84"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color w:val="auto"/>
                <w:sz w:val="20"/>
                <w:lang w:val="en-GB"/>
              </w:rPr>
              <w:t xml:space="preserve">United Nations Framework Convention </w:t>
            </w:r>
            <w:r w:rsidRPr="00D10E5F">
              <w:rPr>
                <w:rFonts w:asciiTheme="majorHAnsi" w:hAnsiTheme="majorHAnsi" w:cstheme="majorHAnsi"/>
                <w:bCs/>
                <w:sz w:val="20"/>
              </w:rPr>
              <w:t xml:space="preserve">on </w:t>
            </w:r>
            <w:r w:rsidRPr="00D10E5F">
              <w:rPr>
                <w:rFonts w:asciiTheme="majorHAnsi" w:hAnsiTheme="majorHAnsi" w:cstheme="majorHAnsi"/>
                <w:bCs/>
                <w:color w:val="auto"/>
                <w:sz w:val="20"/>
                <w:lang w:val="en-GB"/>
              </w:rPr>
              <w:t>Climate Change</w:t>
            </w:r>
          </w:p>
        </w:tc>
      </w:tr>
      <w:tr w:rsidR="00D10E5F" w:rsidRPr="0045629F" w14:paraId="4F10427C"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48FB49BA" w14:textId="77777777" w:rsidR="00D10E5F" w:rsidRPr="00D10E5F" w:rsidRDefault="00D10E5F" w:rsidP="007D4A4F">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MARPOL</w:t>
            </w:r>
          </w:p>
        </w:tc>
        <w:tc>
          <w:tcPr>
            <w:tcW w:w="6380" w:type="dxa"/>
            <w:tcBorders>
              <w:top w:val="single" w:sz="4" w:space="0" w:color="002244"/>
              <w:left w:val="single" w:sz="4" w:space="0" w:color="002244"/>
              <w:bottom w:val="single" w:sz="4" w:space="0" w:color="002244"/>
              <w:right w:val="single" w:sz="4" w:space="0" w:color="002244"/>
            </w:tcBorders>
          </w:tcPr>
          <w:p w14:paraId="6B484873"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color w:val="auto"/>
                <w:sz w:val="20"/>
              </w:rPr>
              <w:t xml:space="preserve">International Convention </w:t>
            </w:r>
            <w:r w:rsidRPr="00D10E5F">
              <w:rPr>
                <w:rFonts w:asciiTheme="majorHAnsi" w:hAnsiTheme="majorHAnsi" w:cstheme="majorHAnsi"/>
                <w:bCs/>
                <w:sz w:val="20"/>
              </w:rPr>
              <w:t xml:space="preserve">for the </w:t>
            </w:r>
            <w:r w:rsidRPr="00D10E5F">
              <w:rPr>
                <w:rFonts w:asciiTheme="majorHAnsi" w:hAnsiTheme="majorHAnsi" w:cstheme="majorHAnsi"/>
                <w:bCs/>
                <w:color w:val="auto"/>
                <w:sz w:val="20"/>
              </w:rPr>
              <w:t xml:space="preserve">Prevention </w:t>
            </w:r>
            <w:r w:rsidRPr="00D10E5F">
              <w:rPr>
                <w:rFonts w:asciiTheme="majorHAnsi" w:hAnsiTheme="majorHAnsi" w:cstheme="majorHAnsi"/>
                <w:bCs/>
                <w:sz w:val="20"/>
              </w:rPr>
              <w:t xml:space="preserve">of </w:t>
            </w:r>
            <w:r w:rsidRPr="00D10E5F">
              <w:rPr>
                <w:rFonts w:asciiTheme="majorHAnsi" w:hAnsiTheme="majorHAnsi" w:cstheme="majorHAnsi"/>
                <w:bCs/>
                <w:color w:val="auto"/>
                <w:sz w:val="20"/>
              </w:rPr>
              <w:t xml:space="preserve">Pollution </w:t>
            </w:r>
            <w:r w:rsidRPr="00D10E5F">
              <w:rPr>
                <w:rFonts w:asciiTheme="majorHAnsi" w:hAnsiTheme="majorHAnsi" w:cstheme="majorHAnsi"/>
                <w:bCs/>
                <w:sz w:val="20"/>
              </w:rPr>
              <w:t xml:space="preserve">From </w:t>
            </w:r>
            <w:r w:rsidRPr="00D10E5F">
              <w:rPr>
                <w:rFonts w:asciiTheme="majorHAnsi" w:hAnsiTheme="majorHAnsi" w:cstheme="majorHAnsi"/>
                <w:bCs/>
                <w:color w:val="auto"/>
                <w:sz w:val="20"/>
              </w:rPr>
              <w:t>Ships</w:t>
            </w:r>
          </w:p>
        </w:tc>
      </w:tr>
      <w:tr w:rsidR="00D10E5F" w:rsidRPr="0045629F" w14:paraId="193C3CDE"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3DD37FAA" w14:textId="77777777" w:rsidR="00D10E5F" w:rsidRPr="00D10E5F" w:rsidRDefault="00D10E5F" w:rsidP="007D4A4F">
            <w:pPr>
              <w:rPr>
                <w:rFonts w:asciiTheme="majorHAnsi" w:hAnsiTheme="majorHAnsi" w:cstheme="majorHAnsi"/>
                <w:b w:val="0"/>
                <w:color w:val="auto"/>
                <w:sz w:val="20"/>
                <w:lang w:val="en-GB"/>
              </w:rPr>
            </w:pPr>
            <w:r w:rsidRPr="00D10E5F">
              <w:rPr>
                <w:rFonts w:asciiTheme="majorHAnsi" w:hAnsiTheme="majorHAnsi" w:cstheme="majorHAnsi"/>
                <w:b w:val="0"/>
                <w:sz w:val="20"/>
              </w:rPr>
              <w:t>UN</w:t>
            </w:r>
          </w:p>
        </w:tc>
        <w:tc>
          <w:tcPr>
            <w:tcW w:w="6380" w:type="dxa"/>
            <w:tcBorders>
              <w:top w:val="single" w:sz="4" w:space="0" w:color="002244"/>
              <w:left w:val="single" w:sz="4" w:space="0" w:color="002244"/>
              <w:bottom w:val="single" w:sz="4" w:space="0" w:color="002244"/>
              <w:right w:val="single" w:sz="4" w:space="0" w:color="002244"/>
            </w:tcBorders>
          </w:tcPr>
          <w:p w14:paraId="75D576D2"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United Nations</w:t>
            </w:r>
          </w:p>
        </w:tc>
      </w:tr>
      <w:tr w:rsidR="00D10E5F" w:rsidRPr="0045629F" w14:paraId="301AA09B"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36F7DDC0" w14:textId="77777777" w:rsidR="00D10E5F" w:rsidRPr="00D10E5F" w:rsidRDefault="00D10E5F" w:rsidP="007D4A4F">
            <w:pPr>
              <w:rPr>
                <w:rFonts w:asciiTheme="majorHAnsi" w:hAnsiTheme="majorHAnsi" w:cstheme="majorHAnsi"/>
                <w:b w:val="0"/>
                <w:color w:val="auto"/>
                <w:sz w:val="20"/>
                <w:lang w:val="en-GB"/>
              </w:rPr>
            </w:pPr>
            <w:r w:rsidRPr="00D10E5F">
              <w:rPr>
                <w:rFonts w:asciiTheme="majorHAnsi" w:hAnsiTheme="majorHAnsi" w:cstheme="majorHAnsi"/>
                <w:b w:val="0"/>
                <w:sz w:val="20"/>
              </w:rPr>
              <w:t>ECA</w:t>
            </w:r>
          </w:p>
        </w:tc>
        <w:tc>
          <w:tcPr>
            <w:tcW w:w="6380" w:type="dxa"/>
            <w:tcBorders>
              <w:top w:val="single" w:sz="4" w:space="0" w:color="002244"/>
              <w:left w:val="single" w:sz="4" w:space="0" w:color="002244"/>
              <w:bottom w:val="single" w:sz="4" w:space="0" w:color="002244"/>
              <w:right w:val="single" w:sz="4" w:space="0" w:color="002244"/>
            </w:tcBorders>
          </w:tcPr>
          <w:p w14:paraId="5E02E511"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Emission Control Areas</w:t>
            </w:r>
          </w:p>
        </w:tc>
      </w:tr>
      <w:tr w:rsidR="00D10E5F" w:rsidRPr="0045629F" w14:paraId="5B2168A2"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08903593" w14:textId="77777777" w:rsidR="00D10E5F" w:rsidRPr="00D10E5F" w:rsidRDefault="00D10E5F" w:rsidP="007D4A4F">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NOx</w:t>
            </w:r>
          </w:p>
        </w:tc>
        <w:tc>
          <w:tcPr>
            <w:tcW w:w="6380" w:type="dxa"/>
            <w:tcBorders>
              <w:top w:val="single" w:sz="4" w:space="0" w:color="002244"/>
              <w:left w:val="single" w:sz="4" w:space="0" w:color="002244"/>
              <w:bottom w:val="single" w:sz="4" w:space="0" w:color="002244"/>
              <w:right w:val="single" w:sz="4" w:space="0" w:color="002244"/>
            </w:tcBorders>
          </w:tcPr>
          <w:p w14:paraId="1F640506"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N</w:t>
            </w:r>
            <w:r w:rsidRPr="00D10E5F">
              <w:rPr>
                <w:rFonts w:asciiTheme="majorHAnsi" w:hAnsiTheme="majorHAnsi" w:cstheme="majorHAnsi"/>
                <w:bCs/>
                <w:color w:val="auto"/>
                <w:sz w:val="20"/>
                <w:lang w:val="en-GB"/>
              </w:rPr>
              <w:t xml:space="preserve">itrogen </w:t>
            </w:r>
            <w:r w:rsidRPr="00D10E5F">
              <w:rPr>
                <w:rFonts w:asciiTheme="majorHAnsi" w:hAnsiTheme="majorHAnsi" w:cstheme="majorHAnsi"/>
                <w:bCs/>
                <w:sz w:val="20"/>
              </w:rPr>
              <w:t>Oxide</w:t>
            </w:r>
          </w:p>
        </w:tc>
      </w:tr>
      <w:tr w:rsidR="00D10E5F" w:rsidRPr="0045629F" w14:paraId="28931B69"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BB7E432" w14:textId="77777777" w:rsidR="00D10E5F" w:rsidRPr="00D10E5F" w:rsidRDefault="00D10E5F" w:rsidP="007D4A4F">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SOx</w:t>
            </w:r>
          </w:p>
        </w:tc>
        <w:tc>
          <w:tcPr>
            <w:tcW w:w="6380" w:type="dxa"/>
            <w:tcBorders>
              <w:top w:val="single" w:sz="4" w:space="0" w:color="002244"/>
              <w:left w:val="single" w:sz="4" w:space="0" w:color="002244"/>
              <w:bottom w:val="single" w:sz="4" w:space="0" w:color="002244"/>
              <w:right w:val="single" w:sz="4" w:space="0" w:color="002244"/>
            </w:tcBorders>
          </w:tcPr>
          <w:p w14:paraId="48BA27BB"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S</w:t>
            </w:r>
            <w:r w:rsidRPr="00D10E5F">
              <w:rPr>
                <w:rFonts w:asciiTheme="majorHAnsi" w:hAnsiTheme="majorHAnsi" w:cstheme="majorHAnsi"/>
                <w:bCs/>
                <w:color w:val="auto"/>
                <w:sz w:val="20"/>
                <w:lang w:val="en-GB"/>
              </w:rPr>
              <w:t xml:space="preserve">ulfur </w:t>
            </w:r>
            <w:r w:rsidRPr="00D10E5F">
              <w:rPr>
                <w:rFonts w:asciiTheme="majorHAnsi" w:hAnsiTheme="majorHAnsi" w:cstheme="majorHAnsi"/>
                <w:bCs/>
                <w:sz w:val="20"/>
              </w:rPr>
              <w:t>Oxide</w:t>
            </w:r>
          </w:p>
        </w:tc>
      </w:tr>
      <w:tr w:rsidR="00D10E5F" w:rsidRPr="0045629F" w14:paraId="06D6AE7C"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E8F42E4" w14:textId="77777777" w:rsidR="00D10E5F" w:rsidRPr="00D10E5F" w:rsidRDefault="00D10E5F" w:rsidP="007D4A4F">
            <w:pPr>
              <w:rPr>
                <w:rFonts w:asciiTheme="majorHAnsi" w:hAnsiTheme="majorHAnsi" w:cstheme="majorHAnsi"/>
                <w:b w:val="0"/>
                <w:color w:val="auto"/>
                <w:sz w:val="20"/>
                <w:lang w:val="en-GB"/>
              </w:rPr>
            </w:pPr>
            <w:r w:rsidRPr="00D10E5F">
              <w:rPr>
                <w:rFonts w:asciiTheme="majorHAnsi" w:hAnsiTheme="majorHAnsi" w:cstheme="majorHAnsi"/>
                <w:b w:val="0"/>
                <w:color w:val="auto"/>
                <w:sz w:val="20"/>
                <w:lang w:val="en-GB"/>
              </w:rPr>
              <w:t>VOC</w:t>
            </w:r>
          </w:p>
        </w:tc>
        <w:tc>
          <w:tcPr>
            <w:tcW w:w="6380" w:type="dxa"/>
            <w:tcBorders>
              <w:top w:val="single" w:sz="4" w:space="0" w:color="002244"/>
              <w:left w:val="single" w:sz="4" w:space="0" w:color="002244"/>
              <w:bottom w:val="single" w:sz="4" w:space="0" w:color="002244"/>
              <w:right w:val="single" w:sz="4" w:space="0" w:color="002244"/>
            </w:tcBorders>
          </w:tcPr>
          <w:p w14:paraId="49060410"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lang w:val="en-GB"/>
              </w:rPr>
            </w:pPr>
            <w:r w:rsidRPr="00D10E5F">
              <w:rPr>
                <w:rFonts w:asciiTheme="majorHAnsi" w:hAnsiTheme="majorHAnsi" w:cstheme="majorHAnsi"/>
                <w:bCs/>
                <w:sz w:val="20"/>
              </w:rPr>
              <w:t>V</w:t>
            </w:r>
            <w:r w:rsidRPr="00D10E5F">
              <w:rPr>
                <w:rFonts w:asciiTheme="majorHAnsi" w:hAnsiTheme="majorHAnsi" w:cstheme="majorHAnsi"/>
                <w:bCs/>
                <w:color w:val="auto"/>
                <w:sz w:val="20"/>
                <w:lang w:val="en-GB"/>
              </w:rPr>
              <w:t xml:space="preserve">olatile </w:t>
            </w:r>
            <w:r w:rsidRPr="00D10E5F">
              <w:rPr>
                <w:rFonts w:asciiTheme="majorHAnsi" w:hAnsiTheme="majorHAnsi" w:cstheme="majorHAnsi"/>
                <w:bCs/>
                <w:sz w:val="20"/>
              </w:rPr>
              <w:t>Organic Compounds</w:t>
            </w:r>
          </w:p>
        </w:tc>
      </w:tr>
      <w:tr w:rsidR="00D10E5F" w:rsidRPr="0045629F" w14:paraId="37CC97DF"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74F08843" w14:textId="77777777" w:rsidR="00D10E5F" w:rsidRPr="00137154" w:rsidRDefault="00D10E5F" w:rsidP="007D4A4F">
            <w:pPr>
              <w:rPr>
                <w:rFonts w:asciiTheme="majorHAnsi" w:hAnsiTheme="majorHAnsi" w:cstheme="majorHAnsi"/>
                <w:b w:val="0"/>
                <w:color w:val="auto"/>
                <w:sz w:val="22"/>
                <w:szCs w:val="22"/>
                <w:lang w:val="en-GB"/>
              </w:rPr>
            </w:pPr>
            <w:r w:rsidRPr="00D10E5F">
              <w:rPr>
                <w:rFonts w:asciiTheme="majorHAnsi" w:hAnsiTheme="majorHAnsi" w:cstheme="majorHAnsi"/>
                <w:b w:val="0"/>
                <w:color w:val="auto"/>
                <w:sz w:val="20"/>
                <w:lang w:val="en-GB"/>
              </w:rPr>
              <w:t>PM</w:t>
            </w:r>
          </w:p>
        </w:tc>
        <w:tc>
          <w:tcPr>
            <w:tcW w:w="6380" w:type="dxa"/>
            <w:tcBorders>
              <w:top w:val="single" w:sz="4" w:space="0" w:color="002244"/>
              <w:left w:val="single" w:sz="4" w:space="0" w:color="002244"/>
              <w:bottom w:val="single" w:sz="4" w:space="0" w:color="002244"/>
              <w:right w:val="single" w:sz="4" w:space="0" w:color="002244"/>
            </w:tcBorders>
          </w:tcPr>
          <w:p w14:paraId="4AA85B8A"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2"/>
                <w:szCs w:val="22"/>
                <w:lang w:val="en-GB"/>
              </w:rPr>
            </w:pPr>
            <w:r w:rsidRPr="00D10E5F">
              <w:rPr>
                <w:rFonts w:asciiTheme="majorHAnsi" w:hAnsiTheme="majorHAnsi" w:cstheme="majorHAnsi"/>
                <w:bCs/>
                <w:sz w:val="20"/>
              </w:rPr>
              <w:t>Particular Matter</w:t>
            </w:r>
          </w:p>
        </w:tc>
      </w:tr>
      <w:tr w:rsidR="00D10E5F" w:rsidRPr="0045629F" w14:paraId="05ED78E7"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3EEB1E94" w14:textId="77777777" w:rsidR="00D10E5F" w:rsidRPr="00137154" w:rsidRDefault="00D10E5F" w:rsidP="007D4A4F">
            <w:pPr>
              <w:rPr>
                <w:rFonts w:asciiTheme="majorHAnsi" w:hAnsiTheme="majorHAnsi" w:cstheme="majorHAnsi"/>
                <w:b w:val="0"/>
                <w:lang w:val="en-GB"/>
              </w:rPr>
            </w:pPr>
            <w:r w:rsidRPr="00137154">
              <w:rPr>
                <w:rFonts w:asciiTheme="majorHAnsi" w:hAnsiTheme="majorHAnsi" w:cstheme="majorHAnsi"/>
                <w:b w:val="0"/>
              </w:rPr>
              <w:t>RED</w:t>
            </w:r>
          </w:p>
        </w:tc>
        <w:tc>
          <w:tcPr>
            <w:tcW w:w="6380" w:type="dxa"/>
            <w:tcBorders>
              <w:top w:val="single" w:sz="4" w:space="0" w:color="002244"/>
              <w:left w:val="single" w:sz="4" w:space="0" w:color="002244"/>
              <w:bottom w:val="single" w:sz="4" w:space="0" w:color="002244"/>
              <w:right w:val="single" w:sz="4" w:space="0" w:color="002244"/>
            </w:tcBorders>
          </w:tcPr>
          <w:p w14:paraId="5D00E210"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Renewable Energy Directive</w:t>
            </w:r>
          </w:p>
        </w:tc>
      </w:tr>
      <w:tr w:rsidR="00D10E5F" w:rsidRPr="0045629F" w14:paraId="79CE186A"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0243D76A" w14:textId="77777777" w:rsidR="00D10E5F" w:rsidRPr="00137154" w:rsidRDefault="00D10E5F" w:rsidP="007D4A4F">
            <w:pPr>
              <w:rPr>
                <w:rFonts w:asciiTheme="majorHAnsi" w:hAnsiTheme="majorHAnsi" w:cstheme="majorHAnsi"/>
                <w:b w:val="0"/>
                <w:lang w:val="en-GB"/>
              </w:rPr>
            </w:pPr>
            <w:r w:rsidRPr="00137154">
              <w:rPr>
                <w:rFonts w:asciiTheme="majorHAnsi" w:hAnsiTheme="majorHAnsi" w:cstheme="majorHAnsi"/>
                <w:b w:val="0"/>
              </w:rPr>
              <w:t>ILUC</w:t>
            </w:r>
          </w:p>
        </w:tc>
        <w:tc>
          <w:tcPr>
            <w:tcW w:w="6380" w:type="dxa"/>
            <w:tcBorders>
              <w:top w:val="single" w:sz="4" w:space="0" w:color="002244"/>
              <w:left w:val="single" w:sz="4" w:space="0" w:color="002244"/>
              <w:bottom w:val="single" w:sz="4" w:space="0" w:color="002244"/>
              <w:right w:val="single" w:sz="4" w:space="0" w:color="002244"/>
            </w:tcBorders>
          </w:tcPr>
          <w:p w14:paraId="7FABB866"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Indirect Land Use Change</w:t>
            </w:r>
          </w:p>
        </w:tc>
      </w:tr>
      <w:tr w:rsidR="00D10E5F" w:rsidRPr="0045629F" w14:paraId="7BDC5657"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728B98E9" w14:textId="77777777" w:rsidR="00D10E5F" w:rsidRPr="00137154" w:rsidRDefault="00D10E5F" w:rsidP="007D4A4F">
            <w:pPr>
              <w:rPr>
                <w:rFonts w:asciiTheme="majorHAnsi" w:hAnsiTheme="majorHAnsi" w:cstheme="majorHAnsi"/>
                <w:b w:val="0"/>
                <w:lang w:val="en-GB"/>
              </w:rPr>
            </w:pPr>
            <w:r w:rsidRPr="00137154">
              <w:rPr>
                <w:rFonts w:asciiTheme="majorHAnsi" w:hAnsiTheme="majorHAnsi" w:cstheme="majorHAnsi"/>
                <w:b w:val="0"/>
              </w:rPr>
              <w:t>HBE</w:t>
            </w:r>
          </w:p>
        </w:tc>
        <w:tc>
          <w:tcPr>
            <w:tcW w:w="6380" w:type="dxa"/>
            <w:tcBorders>
              <w:top w:val="single" w:sz="4" w:space="0" w:color="002244"/>
              <w:left w:val="single" w:sz="4" w:space="0" w:color="002244"/>
              <w:bottom w:val="single" w:sz="4" w:space="0" w:color="002244"/>
              <w:right w:val="single" w:sz="4" w:space="0" w:color="002244"/>
            </w:tcBorders>
          </w:tcPr>
          <w:p w14:paraId="70760CF7"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Hernieuwbare Brandstofeenheden</w:t>
            </w:r>
          </w:p>
        </w:tc>
      </w:tr>
      <w:tr w:rsidR="00D10E5F" w:rsidRPr="0045629F" w14:paraId="7A8C0312"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4EE93620" w14:textId="77777777" w:rsidR="00D10E5F" w:rsidRPr="00137154" w:rsidRDefault="00D10E5F" w:rsidP="007D4A4F">
            <w:pPr>
              <w:rPr>
                <w:rFonts w:asciiTheme="majorHAnsi" w:hAnsiTheme="majorHAnsi" w:cstheme="majorHAnsi"/>
                <w:b w:val="0"/>
                <w:lang w:val="en-GB"/>
              </w:rPr>
            </w:pPr>
            <w:r w:rsidRPr="00137154">
              <w:rPr>
                <w:rFonts w:asciiTheme="majorHAnsi" w:hAnsiTheme="majorHAnsi" w:cstheme="majorHAnsi"/>
                <w:b w:val="0"/>
              </w:rPr>
              <w:t>EGD</w:t>
            </w:r>
          </w:p>
        </w:tc>
        <w:tc>
          <w:tcPr>
            <w:tcW w:w="6380" w:type="dxa"/>
            <w:tcBorders>
              <w:top w:val="single" w:sz="4" w:space="0" w:color="002244"/>
              <w:left w:val="single" w:sz="4" w:space="0" w:color="002244"/>
              <w:bottom w:val="single" w:sz="4" w:space="0" w:color="002244"/>
              <w:right w:val="single" w:sz="4" w:space="0" w:color="002244"/>
            </w:tcBorders>
          </w:tcPr>
          <w:p w14:paraId="63CE4077"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lang w:val="en-GB"/>
              </w:rPr>
            </w:pPr>
            <w:r w:rsidRPr="00D10E5F">
              <w:rPr>
                <w:rFonts w:asciiTheme="majorHAnsi" w:hAnsiTheme="majorHAnsi" w:cstheme="majorHAnsi"/>
                <w:bCs/>
              </w:rPr>
              <w:t>European Green Deal</w:t>
            </w:r>
          </w:p>
        </w:tc>
      </w:tr>
      <w:tr w:rsidR="00D10E5F" w:rsidRPr="0045629F" w14:paraId="621F7CF6"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685ED4AE" w14:textId="77777777" w:rsidR="00D10E5F" w:rsidRPr="00137154" w:rsidRDefault="00D10E5F" w:rsidP="007D4A4F">
            <w:pPr>
              <w:rPr>
                <w:rFonts w:asciiTheme="majorHAnsi" w:hAnsiTheme="majorHAnsi" w:cstheme="majorHAnsi"/>
                <w:b w:val="0"/>
                <w:color w:val="auto"/>
                <w:sz w:val="22"/>
                <w:szCs w:val="22"/>
                <w:lang w:val="en-GB"/>
              </w:rPr>
            </w:pPr>
            <w:r w:rsidRPr="00137154">
              <w:rPr>
                <w:rFonts w:asciiTheme="majorHAnsi" w:hAnsiTheme="majorHAnsi" w:cstheme="majorHAnsi"/>
                <w:b w:val="0"/>
              </w:rPr>
              <w:t>ETS</w:t>
            </w:r>
          </w:p>
        </w:tc>
        <w:tc>
          <w:tcPr>
            <w:tcW w:w="6380" w:type="dxa"/>
            <w:tcBorders>
              <w:top w:val="single" w:sz="4" w:space="0" w:color="002244"/>
              <w:left w:val="single" w:sz="4" w:space="0" w:color="002244"/>
              <w:bottom w:val="single" w:sz="4" w:space="0" w:color="002244"/>
              <w:right w:val="single" w:sz="4" w:space="0" w:color="002244"/>
            </w:tcBorders>
          </w:tcPr>
          <w:p w14:paraId="1911FCE4"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2"/>
                <w:szCs w:val="22"/>
                <w:lang w:val="en-GB"/>
              </w:rPr>
            </w:pPr>
            <w:r w:rsidRPr="00D10E5F">
              <w:rPr>
                <w:rFonts w:asciiTheme="majorHAnsi" w:hAnsiTheme="majorHAnsi" w:cstheme="majorHAnsi"/>
                <w:bCs/>
              </w:rPr>
              <w:t>Emission Trading System</w:t>
            </w:r>
          </w:p>
        </w:tc>
      </w:tr>
      <w:tr w:rsidR="00D10E5F" w:rsidRPr="0045629F" w14:paraId="475B41C3"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6D09C3CE" w14:textId="77777777" w:rsidR="00D10E5F" w:rsidRPr="00137154" w:rsidRDefault="00D10E5F" w:rsidP="007D4A4F">
            <w:pPr>
              <w:rPr>
                <w:rFonts w:asciiTheme="majorHAnsi" w:hAnsiTheme="majorHAnsi" w:cstheme="majorHAnsi"/>
                <w:b w:val="0"/>
                <w:sz w:val="20"/>
                <w:lang w:val="en-GB"/>
              </w:rPr>
            </w:pPr>
            <w:r w:rsidRPr="00D10E5F">
              <w:rPr>
                <w:rFonts w:asciiTheme="majorHAnsi" w:hAnsiTheme="majorHAnsi" w:cstheme="majorHAnsi"/>
                <w:b w:val="0"/>
                <w:color w:val="auto"/>
                <w:sz w:val="20"/>
                <w:lang w:val="en-GB"/>
              </w:rPr>
              <w:t>HFO</w:t>
            </w:r>
          </w:p>
        </w:tc>
        <w:tc>
          <w:tcPr>
            <w:tcW w:w="6380" w:type="dxa"/>
            <w:tcBorders>
              <w:top w:val="single" w:sz="4" w:space="0" w:color="002244"/>
              <w:left w:val="single" w:sz="4" w:space="0" w:color="002244"/>
              <w:bottom w:val="single" w:sz="4" w:space="0" w:color="002244"/>
              <w:right w:val="single" w:sz="4" w:space="0" w:color="002244"/>
            </w:tcBorders>
          </w:tcPr>
          <w:p w14:paraId="2AA998E5"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lang w:val="en-GB"/>
              </w:rPr>
            </w:pPr>
            <w:r w:rsidRPr="00D10E5F">
              <w:rPr>
                <w:rFonts w:asciiTheme="majorHAnsi" w:hAnsiTheme="majorHAnsi" w:cstheme="majorHAnsi"/>
                <w:bCs/>
                <w:sz w:val="20"/>
              </w:rPr>
              <w:t>Heavy Fuel Oil</w:t>
            </w:r>
          </w:p>
        </w:tc>
      </w:tr>
      <w:tr w:rsidR="00D10E5F" w:rsidRPr="0045629F" w14:paraId="679150BA"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12F6B500" w14:textId="77777777" w:rsidR="00D10E5F" w:rsidRPr="00137154" w:rsidRDefault="00D10E5F" w:rsidP="007D4A4F">
            <w:pPr>
              <w:rPr>
                <w:rFonts w:cs="Calibri"/>
                <w:b w:val="0"/>
                <w:color w:val="auto"/>
                <w:sz w:val="22"/>
                <w:szCs w:val="22"/>
                <w:lang w:val="en-GB"/>
              </w:rPr>
            </w:pPr>
            <w:r w:rsidRPr="00137154">
              <w:rPr>
                <w:rFonts w:cs="Calibri"/>
                <w:b w:val="0"/>
              </w:rPr>
              <w:t xml:space="preserve">LNG </w:t>
            </w:r>
          </w:p>
        </w:tc>
        <w:tc>
          <w:tcPr>
            <w:tcW w:w="6380" w:type="dxa"/>
            <w:tcBorders>
              <w:top w:val="single" w:sz="4" w:space="0" w:color="002244"/>
              <w:left w:val="single" w:sz="4" w:space="0" w:color="002244"/>
              <w:bottom w:val="single" w:sz="4" w:space="0" w:color="002244"/>
              <w:right w:val="single" w:sz="4" w:space="0" w:color="002244"/>
            </w:tcBorders>
          </w:tcPr>
          <w:p w14:paraId="1D8A8EB4"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cs="Calibri"/>
                <w:bCs/>
                <w:color w:val="auto"/>
                <w:sz w:val="22"/>
                <w:szCs w:val="22"/>
                <w:lang w:val="en-GB"/>
              </w:rPr>
            </w:pPr>
            <w:r w:rsidRPr="00D10E5F">
              <w:rPr>
                <w:rFonts w:cs="Calibri"/>
                <w:bCs/>
              </w:rPr>
              <w:t>Liquefied Natural Gas</w:t>
            </w:r>
          </w:p>
        </w:tc>
      </w:tr>
      <w:tr w:rsidR="00D10E5F" w:rsidRPr="0045629F" w14:paraId="3F60EF73"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4CD2D865" w14:textId="77777777" w:rsidR="00D10E5F" w:rsidRPr="00137154" w:rsidRDefault="00D10E5F" w:rsidP="007D4A4F">
            <w:pPr>
              <w:rPr>
                <w:rFonts w:cs="Calibri"/>
                <w:b w:val="0"/>
              </w:rPr>
            </w:pPr>
            <w:r w:rsidRPr="00137154">
              <w:rPr>
                <w:rFonts w:cs="Calibri"/>
                <w:b w:val="0"/>
              </w:rPr>
              <w:t>MGO</w:t>
            </w:r>
          </w:p>
        </w:tc>
        <w:tc>
          <w:tcPr>
            <w:tcW w:w="6380" w:type="dxa"/>
            <w:tcBorders>
              <w:top w:val="single" w:sz="4" w:space="0" w:color="002244"/>
              <w:left w:val="single" w:sz="4" w:space="0" w:color="002244"/>
              <w:bottom w:val="single" w:sz="4" w:space="0" w:color="002244"/>
              <w:right w:val="single" w:sz="4" w:space="0" w:color="002244"/>
            </w:tcBorders>
          </w:tcPr>
          <w:p w14:paraId="4FC478F3"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cs="Calibri"/>
                <w:bCs/>
              </w:rPr>
              <w:t>Marine Gas Oil</w:t>
            </w:r>
          </w:p>
        </w:tc>
      </w:tr>
      <w:tr w:rsidR="00D10E5F" w:rsidRPr="0045629F" w14:paraId="66ABCC7F"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04CEDB35" w14:textId="77777777" w:rsidR="00D10E5F" w:rsidRPr="00137154" w:rsidRDefault="00D10E5F" w:rsidP="007D4A4F">
            <w:pPr>
              <w:rPr>
                <w:rFonts w:cs="Calibri"/>
                <w:b w:val="0"/>
              </w:rPr>
            </w:pPr>
            <w:r w:rsidRPr="00137154">
              <w:rPr>
                <w:rFonts w:cs="Calibri"/>
                <w:b w:val="0"/>
              </w:rPr>
              <w:t>MDO</w:t>
            </w:r>
          </w:p>
        </w:tc>
        <w:tc>
          <w:tcPr>
            <w:tcW w:w="6380" w:type="dxa"/>
            <w:tcBorders>
              <w:top w:val="single" w:sz="4" w:space="0" w:color="002244"/>
              <w:left w:val="single" w:sz="4" w:space="0" w:color="002244"/>
              <w:bottom w:val="single" w:sz="4" w:space="0" w:color="002244"/>
              <w:right w:val="single" w:sz="4" w:space="0" w:color="002244"/>
            </w:tcBorders>
          </w:tcPr>
          <w:p w14:paraId="0EBC3E39"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asciiTheme="majorHAnsi" w:hAnsiTheme="majorHAnsi" w:cstheme="majorBidi"/>
                <w:bCs/>
              </w:rPr>
              <w:t>Marine Diesel Oil</w:t>
            </w:r>
          </w:p>
        </w:tc>
      </w:tr>
      <w:tr w:rsidR="00D10E5F" w:rsidRPr="0045629F" w14:paraId="5DA08F06"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67D12264" w14:textId="77777777" w:rsidR="00D10E5F" w:rsidRPr="00137154" w:rsidRDefault="00D10E5F" w:rsidP="007D4A4F">
            <w:pPr>
              <w:rPr>
                <w:rFonts w:cs="Calibri"/>
                <w:b w:val="0"/>
              </w:rPr>
            </w:pPr>
            <w:r w:rsidRPr="00137154">
              <w:rPr>
                <w:rFonts w:cs="Calibri"/>
                <w:b w:val="0"/>
              </w:rPr>
              <w:t>HVO</w:t>
            </w:r>
          </w:p>
        </w:tc>
        <w:tc>
          <w:tcPr>
            <w:tcW w:w="6380" w:type="dxa"/>
            <w:tcBorders>
              <w:top w:val="single" w:sz="4" w:space="0" w:color="002244"/>
              <w:left w:val="single" w:sz="4" w:space="0" w:color="002244"/>
              <w:bottom w:val="single" w:sz="4" w:space="0" w:color="002244"/>
              <w:right w:val="single" w:sz="4" w:space="0" w:color="002244"/>
            </w:tcBorders>
          </w:tcPr>
          <w:p w14:paraId="5D2132A3"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asciiTheme="majorHAnsi" w:hAnsiTheme="majorHAnsi" w:cstheme="majorBidi"/>
                <w:bCs/>
              </w:rPr>
              <w:t>Hydrotreated Vegetal Oil</w:t>
            </w:r>
          </w:p>
        </w:tc>
      </w:tr>
      <w:tr w:rsidR="00D10E5F" w:rsidRPr="0045629F" w14:paraId="0069B20F" w14:textId="77777777" w:rsidTr="007D4A4F">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739BC406" w14:textId="77777777" w:rsidR="00D10E5F" w:rsidRPr="00137154" w:rsidRDefault="00D10E5F" w:rsidP="007D4A4F">
            <w:pPr>
              <w:rPr>
                <w:rFonts w:cs="Calibri"/>
                <w:b w:val="0"/>
              </w:rPr>
            </w:pPr>
            <w:r w:rsidRPr="00137154">
              <w:rPr>
                <w:rFonts w:cs="Calibri"/>
                <w:b w:val="0"/>
              </w:rPr>
              <w:t>FAME</w:t>
            </w:r>
          </w:p>
        </w:tc>
        <w:tc>
          <w:tcPr>
            <w:tcW w:w="6380" w:type="dxa"/>
            <w:tcBorders>
              <w:top w:val="single" w:sz="4" w:space="0" w:color="002244"/>
              <w:left w:val="single" w:sz="4" w:space="0" w:color="002244"/>
              <w:bottom w:val="single" w:sz="4" w:space="0" w:color="002244"/>
              <w:right w:val="single" w:sz="4" w:space="0" w:color="002244"/>
            </w:tcBorders>
          </w:tcPr>
          <w:p w14:paraId="39BC1B22" w14:textId="77777777" w:rsidR="00D10E5F" w:rsidRPr="00D10E5F" w:rsidRDefault="00D10E5F" w:rsidP="007D4A4F">
            <w:pPr>
              <w:cnfStyle w:val="000000000000" w:firstRow="0" w:lastRow="0" w:firstColumn="0" w:lastColumn="0" w:oddVBand="0" w:evenVBand="0" w:oddHBand="0" w:evenHBand="0" w:firstRowFirstColumn="0" w:firstRowLastColumn="0" w:lastRowFirstColumn="0" w:lastRowLastColumn="0"/>
              <w:rPr>
                <w:rFonts w:cs="Calibri"/>
                <w:bCs/>
              </w:rPr>
            </w:pPr>
            <w:r w:rsidRPr="00D10E5F">
              <w:rPr>
                <w:rFonts w:asciiTheme="majorHAnsi" w:hAnsiTheme="majorHAnsi" w:cstheme="majorBidi"/>
                <w:bCs/>
              </w:rPr>
              <w:t>Fatty Acid Methyl Ester</w:t>
            </w:r>
          </w:p>
        </w:tc>
      </w:tr>
    </w:tbl>
    <w:p w14:paraId="6A4341E1" w14:textId="71E0A098" w:rsidR="00BC65D1" w:rsidRDefault="00D10E5F">
      <w:pPr>
        <w:spacing w:after="160" w:line="259" w:lineRule="auto"/>
        <w:jc w:val="left"/>
        <w:rPr>
          <w:lang w:val="en-GB"/>
        </w:rPr>
      </w:pPr>
      <w:r w:rsidRPr="0045629F">
        <w:rPr>
          <w:lang w:val="en-GB"/>
        </w:rPr>
        <w:fldChar w:fldCharType="end"/>
      </w:r>
    </w:p>
    <w:p w14:paraId="2A5FA59D" w14:textId="14BEE3E8" w:rsidR="00F82080" w:rsidRDefault="00F82080">
      <w:pPr>
        <w:spacing w:after="160" w:line="259" w:lineRule="auto"/>
        <w:jc w:val="left"/>
        <w:rPr>
          <w:lang w:val="en-GB"/>
        </w:rPr>
      </w:pPr>
    </w:p>
    <w:p w14:paraId="7A3A024F" w14:textId="72AA92F4" w:rsidR="00F82080" w:rsidRDefault="00F82080">
      <w:pPr>
        <w:spacing w:after="160" w:line="259" w:lineRule="auto"/>
        <w:jc w:val="left"/>
        <w:rPr>
          <w:lang w:val="en-GB"/>
        </w:rPr>
      </w:pPr>
    </w:p>
    <w:p w14:paraId="14D494C7" w14:textId="274BD8F1" w:rsidR="00D10E5F" w:rsidRDefault="00D10E5F">
      <w:pPr>
        <w:spacing w:after="160" w:line="259" w:lineRule="auto"/>
        <w:jc w:val="left"/>
        <w:rPr>
          <w:lang w:val="en-GB"/>
        </w:rPr>
      </w:pPr>
    </w:p>
    <w:p w14:paraId="23CE4F19" w14:textId="54DB0AC0" w:rsidR="00D10E5F" w:rsidRDefault="00D10E5F">
      <w:pPr>
        <w:spacing w:after="160" w:line="259" w:lineRule="auto"/>
        <w:jc w:val="left"/>
        <w:rPr>
          <w:lang w:val="en-GB"/>
        </w:rPr>
      </w:pPr>
    </w:p>
    <w:p w14:paraId="72384F73" w14:textId="2FDF8020" w:rsidR="00D10E5F" w:rsidRDefault="00D10E5F">
      <w:pPr>
        <w:spacing w:after="160" w:line="259" w:lineRule="auto"/>
        <w:jc w:val="left"/>
        <w:rPr>
          <w:lang w:val="en-GB"/>
        </w:rPr>
      </w:pPr>
    </w:p>
    <w:p w14:paraId="2C43144F" w14:textId="4D31AF1D" w:rsidR="00D10E5F" w:rsidRDefault="00D10E5F">
      <w:pPr>
        <w:spacing w:after="160" w:line="259" w:lineRule="auto"/>
        <w:jc w:val="left"/>
        <w:rPr>
          <w:lang w:val="en-GB"/>
        </w:rPr>
      </w:pPr>
    </w:p>
    <w:p w14:paraId="0617D6C3" w14:textId="444608A3" w:rsidR="00D10E5F" w:rsidRDefault="00D10E5F">
      <w:pPr>
        <w:spacing w:after="160" w:line="259" w:lineRule="auto"/>
        <w:jc w:val="left"/>
        <w:rPr>
          <w:lang w:val="en-GB"/>
        </w:rPr>
      </w:pPr>
    </w:p>
    <w:p w14:paraId="4DC62BD5" w14:textId="77777777" w:rsidR="00D10E5F" w:rsidRDefault="00D10E5F">
      <w:pPr>
        <w:spacing w:after="160" w:line="259" w:lineRule="auto"/>
        <w:jc w:val="left"/>
        <w:rPr>
          <w:lang w:val="en-GB"/>
        </w:rPr>
      </w:pPr>
    </w:p>
    <w:p w14:paraId="5232466E" w14:textId="0A58D1A4" w:rsidR="00F82080" w:rsidRDefault="00F82080">
      <w:pPr>
        <w:spacing w:after="160" w:line="259" w:lineRule="auto"/>
        <w:jc w:val="left"/>
        <w:rPr>
          <w:lang w:val="en-GB"/>
        </w:rPr>
      </w:pPr>
    </w:p>
    <w:p w14:paraId="0C6F346F" w14:textId="150BC0E4" w:rsidR="00F82080" w:rsidRDefault="00F82080">
      <w:pPr>
        <w:spacing w:after="160" w:line="259" w:lineRule="auto"/>
        <w:jc w:val="left"/>
        <w:rPr>
          <w:lang w:val="en-GB"/>
        </w:rPr>
      </w:pPr>
    </w:p>
    <w:p w14:paraId="7EF3A50B" w14:textId="6FBA755F" w:rsidR="00F82080" w:rsidRDefault="00F82080">
      <w:pPr>
        <w:spacing w:after="160" w:line="259" w:lineRule="auto"/>
        <w:jc w:val="left"/>
        <w:rPr>
          <w:lang w:val="en-GB"/>
        </w:rPr>
      </w:pPr>
    </w:p>
    <w:p w14:paraId="5F35A596" w14:textId="688F70C6" w:rsidR="00F82080" w:rsidRDefault="00F82080">
      <w:pPr>
        <w:spacing w:after="160" w:line="259" w:lineRule="auto"/>
        <w:jc w:val="left"/>
        <w:rPr>
          <w:lang w:val="en-GB"/>
        </w:rPr>
      </w:pPr>
    </w:p>
    <w:p w14:paraId="61E63D7C" w14:textId="77777777" w:rsidR="00F82080" w:rsidRDefault="00F82080">
      <w:pPr>
        <w:spacing w:after="160" w:line="259" w:lineRule="auto"/>
        <w:jc w:val="left"/>
        <w:rPr>
          <w:lang w:val="en-GB"/>
        </w:rPr>
      </w:pPr>
    </w:p>
    <w:p w14:paraId="79D53088" w14:textId="77777777" w:rsidR="00EC0977" w:rsidRPr="00C31319" w:rsidRDefault="00EC0977" w:rsidP="005D6854">
      <w:pPr>
        <w:pStyle w:val="Heading1"/>
      </w:pPr>
      <w:bookmarkStart w:id="5" w:name="_Toc42678637"/>
      <w:bookmarkStart w:id="6" w:name="_Toc84019441"/>
      <w:r>
        <w:lastRenderedPageBreak/>
        <w:t>Introduction</w:t>
      </w:r>
      <w:bookmarkEnd w:id="5"/>
      <w:bookmarkEnd w:id="6"/>
    </w:p>
    <w:p w14:paraId="4103B56E" w14:textId="6DE8D254" w:rsidR="362A3EC5" w:rsidRDefault="362A3EC5" w:rsidP="362A3EC5">
      <w:pPr>
        <w:rPr>
          <w:szCs w:val="21"/>
        </w:rPr>
      </w:pPr>
    </w:p>
    <w:p w14:paraId="02B3C76C" w14:textId="1A474AAB" w:rsidR="00EC0977" w:rsidRDefault="18F1886A" w:rsidP="005D6854">
      <w:pPr>
        <w:pStyle w:val="Heading2"/>
      </w:pPr>
      <w:bookmarkStart w:id="7" w:name="_Toc84019442"/>
      <w:r>
        <w:t>Background</w:t>
      </w:r>
      <w:r w:rsidR="3CAD31CD">
        <w:t xml:space="preserve"> IDEALFUEL Bio-HFO</w:t>
      </w:r>
      <w:bookmarkEnd w:id="7"/>
    </w:p>
    <w:p w14:paraId="448F6000" w14:textId="0C47194C" w:rsidR="5937A937" w:rsidRDefault="5937A937" w:rsidP="5937A937">
      <w:pPr>
        <w:rPr>
          <w:szCs w:val="21"/>
        </w:rPr>
      </w:pPr>
    </w:p>
    <w:p w14:paraId="22B8B703" w14:textId="66C0D252" w:rsidR="009E3767" w:rsidRPr="000B393A" w:rsidRDefault="6B49D179" w:rsidP="00766A25">
      <w:pPr>
        <w:spacing w:after="120" w:line="360" w:lineRule="auto"/>
        <w:ind w:firstLine="444"/>
        <w:rPr>
          <w:rFonts w:asciiTheme="majorHAnsi" w:hAnsiTheme="majorHAnsi" w:cstheme="majorBidi"/>
          <w:sz w:val="22"/>
          <w:szCs w:val="22"/>
        </w:rPr>
      </w:pPr>
      <w:r w:rsidRPr="5937A937">
        <w:rPr>
          <w:rFonts w:asciiTheme="majorHAnsi" w:hAnsiTheme="majorHAnsi" w:cstheme="majorBidi"/>
          <w:sz w:val="22"/>
          <w:szCs w:val="22"/>
          <w:lang w:val="en-GB"/>
        </w:rPr>
        <w:t xml:space="preserve">The maritime </w:t>
      </w:r>
      <w:r w:rsidR="0DAD5EA3" w:rsidRPr="5937A937">
        <w:rPr>
          <w:rFonts w:asciiTheme="majorHAnsi" w:hAnsiTheme="majorHAnsi" w:cstheme="majorBidi"/>
          <w:sz w:val="22"/>
          <w:szCs w:val="22"/>
          <w:lang w:val="en-GB"/>
        </w:rPr>
        <w:t xml:space="preserve">industry </w:t>
      </w:r>
      <w:r w:rsidRPr="5937A937">
        <w:rPr>
          <w:rFonts w:asciiTheme="majorHAnsi" w:hAnsiTheme="majorHAnsi" w:cstheme="majorBidi"/>
          <w:sz w:val="22"/>
          <w:szCs w:val="22"/>
          <w:lang w:val="en-GB"/>
        </w:rPr>
        <w:t xml:space="preserve">is a growing </w:t>
      </w:r>
      <w:r w:rsidR="0244E872" w:rsidRPr="5937A937">
        <w:rPr>
          <w:rFonts w:asciiTheme="majorHAnsi" w:hAnsiTheme="majorHAnsi" w:cstheme="majorBidi"/>
          <w:sz w:val="22"/>
          <w:szCs w:val="22"/>
          <w:lang w:val="en-GB"/>
        </w:rPr>
        <w:t>business</w:t>
      </w:r>
      <w:r w:rsidRPr="5937A937">
        <w:rPr>
          <w:rFonts w:asciiTheme="majorHAnsi" w:hAnsiTheme="majorHAnsi" w:cstheme="majorBidi"/>
          <w:sz w:val="22"/>
          <w:szCs w:val="22"/>
          <w:lang w:val="en-GB"/>
        </w:rPr>
        <w:t>, w</w:t>
      </w:r>
      <w:r w:rsidR="5FB205B6" w:rsidRPr="5937A937">
        <w:rPr>
          <w:rFonts w:asciiTheme="majorHAnsi" w:hAnsiTheme="majorHAnsi" w:cstheme="majorBidi"/>
          <w:sz w:val="22"/>
          <w:szCs w:val="22"/>
          <w:lang w:val="en-GB"/>
        </w:rPr>
        <w:t xml:space="preserve">hich accounts for </w:t>
      </w:r>
      <w:r w:rsidR="726196C0" w:rsidRPr="5937A937">
        <w:rPr>
          <w:rFonts w:asciiTheme="majorHAnsi" w:hAnsiTheme="majorHAnsi" w:cstheme="majorBidi"/>
          <w:sz w:val="22"/>
          <w:szCs w:val="22"/>
          <w:lang w:val="en-GB"/>
        </w:rPr>
        <w:t xml:space="preserve">12 % of total transport </w:t>
      </w:r>
      <w:r w:rsidR="00862D32" w:rsidRPr="5937A937">
        <w:rPr>
          <w:rFonts w:asciiTheme="majorHAnsi" w:hAnsiTheme="majorHAnsi" w:cstheme="majorBidi"/>
          <w:sz w:val="22"/>
          <w:szCs w:val="22"/>
          <w:lang w:val="en-GB"/>
        </w:rPr>
        <w:t xml:space="preserve">global </w:t>
      </w:r>
      <w:r w:rsidR="726196C0" w:rsidRPr="5937A937">
        <w:rPr>
          <w:rFonts w:asciiTheme="majorHAnsi" w:hAnsiTheme="majorHAnsi" w:cstheme="majorBidi"/>
          <w:sz w:val="22"/>
          <w:szCs w:val="22"/>
          <w:lang w:val="en-GB"/>
        </w:rPr>
        <w:t xml:space="preserve">energy demand </w:t>
      </w:r>
      <w:r w:rsidR="187486A6" w:rsidRPr="5937A937">
        <w:rPr>
          <w:rFonts w:asciiTheme="majorHAnsi" w:hAnsiTheme="majorHAnsi" w:cstheme="majorBidi"/>
          <w:sz w:val="22"/>
          <w:szCs w:val="22"/>
          <w:lang w:val="en-GB"/>
        </w:rPr>
        <w:t xml:space="preserve">with </w:t>
      </w:r>
      <w:r w:rsidR="00766A25">
        <w:rPr>
          <w:rFonts w:asciiTheme="majorHAnsi" w:hAnsiTheme="majorHAnsi" w:cstheme="majorBidi"/>
          <w:sz w:val="22"/>
          <w:szCs w:val="22"/>
          <w:lang w:val="en-GB"/>
        </w:rPr>
        <w:t>a significant share on</w:t>
      </w:r>
      <w:r w:rsidR="008A0DFD" w:rsidRPr="008A0DFD">
        <w:rPr>
          <w:rFonts w:asciiTheme="majorHAnsi" w:hAnsiTheme="majorHAnsi" w:cstheme="majorBidi"/>
          <w:sz w:val="22"/>
          <w:szCs w:val="22"/>
          <w:lang w:val="en-GB"/>
        </w:rPr>
        <w:t xml:space="preserve"> </w:t>
      </w:r>
      <w:r w:rsidR="008A0DFD" w:rsidRPr="5937A937">
        <w:rPr>
          <w:rFonts w:asciiTheme="majorHAnsi" w:hAnsiTheme="majorHAnsi" w:cstheme="majorBidi"/>
          <w:sz w:val="22"/>
          <w:szCs w:val="22"/>
          <w:lang w:val="en-GB"/>
        </w:rPr>
        <w:t>CO</w:t>
      </w:r>
      <w:r w:rsidR="008A0DFD" w:rsidRPr="00D852D9">
        <w:rPr>
          <w:rFonts w:asciiTheme="majorHAnsi" w:hAnsiTheme="majorHAnsi" w:cstheme="majorBidi"/>
          <w:sz w:val="22"/>
          <w:szCs w:val="22"/>
          <w:vertAlign w:val="subscript"/>
          <w:lang w:val="en-GB"/>
        </w:rPr>
        <w:t>2</w:t>
      </w:r>
      <w:r w:rsidR="187486A6" w:rsidRPr="5937A937">
        <w:rPr>
          <w:rFonts w:asciiTheme="majorHAnsi" w:hAnsiTheme="majorHAnsi" w:cstheme="majorBidi"/>
          <w:sz w:val="22"/>
          <w:szCs w:val="22"/>
          <w:lang w:val="en-GB"/>
        </w:rPr>
        <w:t xml:space="preserve"> emissions</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(Balcombe et al., 2019)</w:t>
      </w:r>
      <w:r w:rsidR="003B4A74">
        <w:rPr>
          <w:rFonts w:asciiTheme="majorHAnsi" w:hAnsiTheme="majorHAnsi" w:cstheme="majorBidi"/>
          <w:sz w:val="22"/>
          <w:szCs w:val="22"/>
          <w:lang w:val="en-GB"/>
        </w:rPr>
        <w:fldChar w:fldCharType="end"/>
      </w:r>
      <w:r w:rsidR="187486A6"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w:t>
      </w:r>
      <w:r w:rsidR="7A59A4E0" w:rsidRPr="5937A937">
        <w:rPr>
          <w:rFonts w:asciiTheme="majorHAnsi" w:hAnsiTheme="majorHAnsi" w:cstheme="majorBidi"/>
          <w:sz w:val="22"/>
          <w:szCs w:val="22"/>
          <w:lang w:val="en-GB"/>
        </w:rPr>
        <w:t xml:space="preserve">Currently, </w:t>
      </w:r>
      <w:r w:rsidR="57196BD7" w:rsidRPr="5937A937">
        <w:rPr>
          <w:rFonts w:asciiTheme="majorHAnsi" w:hAnsiTheme="majorHAnsi" w:cstheme="majorBidi"/>
          <w:sz w:val="22"/>
          <w:szCs w:val="22"/>
          <w:lang w:val="en-GB"/>
        </w:rPr>
        <w:t>it represents</w:t>
      </w:r>
      <w:r w:rsidR="49B0A269" w:rsidRPr="5937A937">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940 million tonnes of CO</w:t>
      </w:r>
      <w:r w:rsidRPr="00D852D9">
        <w:rPr>
          <w:rFonts w:asciiTheme="majorHAnsi" w:hAnsiTheme="majorHAnsi" w:cstheme="majorBidi"/>
          <w:sz w:val="22"/>
          <w:szCs w:val="22"/>
          <w:vertAlign w:val="subscript"/>
          <w:lang w:val="en-GB"/>
        </w:rPr>
        <w:t>2</w:t>
      </w:r>
      <w:r w:rsidR="4F0438C2" w:rsidRPr="5937A937">
        <w:rPr>
          <w:rFonts w:asciiTheme="majorHAnsi" w:hAnsiTheme="majorHAnsi" w:cstheme="majorBidi"/>
          <w:sz w:val="22"/>
          <w:szCs w:val="22"/>
          <w:lang w:val="en-GB"/>
        </w:rPr>
        <w:t xml:space="preserve"> emissions globally</w:t>
      </w:r>
      <w:r w:rsidRPr="5937A937">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{"citationItems":[{"id":"ITEM-1","itemData":{"DOI":"10.4324/9781003139836-21","URL":"https://ec.europa.eu/clima/policies/transport/shipping_en","abstract":"EU climate actions","accessed":{"date-parts":[["2021","8","31"]]},"author":[{"dropping-particle":"","family":"Abdenur","given":"Adriana Erthal","non-dropping-particle":"","parse-names":false,"suffix":""}],"container-title":"Global Governance Futures","id":"ITEM-1","issued":{"date-parts":[["2021"]]},"page":"238-252","title":"Climate action","type":"webpage"},"uris":["http://www.mendeley.com/documents/?uuid=e48ab161-a69a-483c-a511-9e430f0b5fa6"]}],"mendeley":{"formattedCitation":"(Abdenur, 2021)","plainTextFormattedCitation":"(Abdenur, 2021)","previouslyFormattedCitation":"(Abdenur, 2021)"},"properties":{"noteIndex":0},"schema":"https://github.com/citation-style-language/schema/raw/master/csl-citation.json"}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(Abdenur, 2021)</w:t>
      </w:r>
      <w:r w:rsidR="003B4A74">
        <w:rPr>
          <w:rFonts w:asciiTheme="majorHAnsi" w:hAnsiTheme="majorHAnsi" w:cstheme="majorBidi"/>
          <w:sz w:val="22"/>
          <w:szCs w:val="22"/>
          <w:lang w:val="en-GB"/>
        </w:rPr>
        <w:fldChar w:fldCharType="end"/>
      </w:r>
      <w:r w:rsidR="003B4A74">
        <w:rPr>
          <w:rFonts w:asciiTheme="majorHAnsi" w:hAnsiTheme="majorHAnsi" w:cstheme="majorBidi"/>
          <w:color w:val="113355"/>
          <w:sz w:val="22"/>
          <w:szCs w:val="22"/>
          <w:lang w:val="en-GB"/>
        </w:rPr>
        <w:t>.</w:t>
      </w:r>
      <w:r w:rsidRPr="5937A937">
        <w:rPr>
          <w:rFonts w:asciiTheme="majorHAnsi" w:hAnsiTheme="majorHAnsi" w:cstheme="majorBidi"/>
          <w:sz w:val="22"/>
          <w:szCs w:val="22"/>
          <w:lang w:val="en-GB"/>
        </w:rPr>
        <w:t xml:space="preserve"> </w:t>
      </w:r>
      <w:r w:rsidR="2D10C027" w:rsidRPr="5937A937">
        <w:rPr>
          <w:rFonts w:asciiTheme="majorHAnsi" w:hAnsiTheme="majorHAnsi" w:cstheme="majorBidi"/>
          <w:sz w:val="22"/>
          <w:szCs w:val="22"/>
          <w:lang w:val="en-GB"/>
        </w:rPr>
        <w:t>Although e</w:t>
      </w:r>
      <w:r w:rsidRPr="5937A937">
        <w:rPr>
          <w:rFonts w:asciiTheme="majorHAnsi" w:hAnsiTheme="majorHAnsi" w:cstheme="majorBidi"/>
          <w:sz w:val="22"/>
          <w:szCs w:val="22"/>
          <w:lang w:val="en-GB"/>
        </w:rPr>
        <w:t xml:space="preserve">fforts have already taken place to reduce </w:t>
      </w:r>
      <w:r w:rsidR="00766A25">
        <w:rPr>
          <w:rFonts w:asciiTheme="majorHAnsi" w:hAnsiTheme="majorHAnsi" w:cstheme="majorBidi"/>
          <w:sz w:val="22"/>
          <w:szCs w:val="22"/>
          <w:lang w:val="en-GB"/>
        </w:rPr>
        <w:t xml:space="preserve">in </w:t>
      </w:r>
      <w:r w:rsidRPr="5937A937">
        <w:rPr>
          <w:rFonts w:asciiTheme="majorHAnsi" w:hAnsiTheme="majorHAnsi" w:cstheme="majorBidi"/>
          <w:sz w:val="22"/>
          <w:szCs w:val="22"/>
          <w:lang w:val="en-GB"/>
        </w:rPr>
        <w:t xml:space="preserve">8% </w:t>
      </w:r>
      <w:r w:rsidR="00766A25">
        <w:rPr>
          <w:rFonts w:asciiTheme="majorHAnsi" w:hAnsiTheme="majorHAnsi" w:cstheme="majorBidi"/>
          <w:sz w:val="22"/>
          <w:szCs w:val="22"/>
          <w:lang w:val="en-GB"/>
        </w:rPr>
        <w:t xml:space="preserve">the </w:t>
      </w:r>
      <w:r w:rsidRPr="5937A937">
        <w:rPr>
          <w:rFonts w:asciiTheme="majorHAnsi" w:hAnsiTheme="majorHAnsi" w:cstheme="majorBidi"/>
          <w:sz w:val="22"/>
          <w:szCs w:val="22"/>
          <w:lang w:val="en-GB"/>
        </w:rPr>
        <w:t>CO</w:t>
      </w:r>
      <w:r w:rsidRPr="00D852D9">
        <w:rPr>
          <w:rFonts w:asciiTheme="majorHAnsi" w:hAnsiTheme="majorHAnsi" w:cstheme="majorBidi"/>
          <w:sz w:val="22"/>
          <w:szCs w:val="22"/>
          <w:vertAlign w:val="subscript"/>
          <w:lang w:val="en-GB"/>
        </w:rPr>
        <w:t>2</w:t>
      </w:r>
      <w:r w:rsidRPr="5937A937">
        <w:rPr>
          <w:rFonts w:asciiTheme="majorHAnsi" w:hAnsiTheme="majorHAnsi" w:cstheme="majorBidi"/>
          <w:sz w:val="22"/>
          <w:szCs w:val="22"/>
          <w:lang w:val="en-GB"/>
        </w:rPr>
        <w:t xml:space="preserve"> emissions between 2008 and 2015, the</w:t>
      </w:r>
      <w:r w:rsidR="3FA5692B" w:rsidRPr="5937A937">
        <w:rPr>
          <w:rFonts w:asciiTheme="majorHAnsi" w:hAnsiTheme="majorHAnsi" w:cstheme="majorBidi"/>
          <w:sz w:val="22"/>
          <w:szCs w:val="22"/>
          <w:lang w:val="en-GB"/>
        </w:rPr>
        <w:t>re is room for improv</w:t>
      </w:r>
      <w:r w:rsidR="00766A25">
        <w:rPr>
          <w:rFonts w:asciiTheme="majorHAnsi" w:hAnsiTheme="majorHAnsi" w:cstheme="majorBidi"/>
          <w:sz w:val="22"/>
          <w:szCs w:val="22"/>
          <w:lang w:val="en-GB"/>
        </w:rPr>
        <w:t xml:space="preserve">ed </w:t>
      </w:r>
      <w:r w:rsidR="3FA5692B" w:rsidRPr="5937A937">
        <w:rPr>
          <w:rFonts w:asciiTheme="majorHAnsi" w:hAnsiTheme="majorHAnsi" w:cstheme="majorBidi"/>
          <w:sz w:val="22"/>
          <w:szCs w:val="22"/>
          <w:lang w:val="en-GB"/>
        </w:rPr>
        <w:t>practices</w:t>
      </w:r>
      <w:r w:rsidRPr="5937A937">
        <w:rPr>
          <w:rFonts w:asciiTheme="majorHAnsi" w:hAnsiTheme="majorHAnsi" w:cstheme="majorBidi"/>
          <w:sz w:val="22"/>
          <w:szCs w:val="22"/>
          <w:lang w:val="en-GB"/>
        </w:rPr>
        <w:t xml:space="preserve">. According to the International Maritime Organization (IMO) </w:t>
      </w:r>
      <w:r w:rsidR="106AC49E" w:rsidRPr="5937A937">
        <w:rPr>
          <w:rFonts w:asciiTheme="majorHAnsi" w:hAnsiTheme="majorHAnsi" w:cstheme="majorBidi"/>
          <w:sz w:val="22"/>
          <w:szCs w:val="22"/>
          <w:lang w:val="en-GB"/>
        </w:rPr>
        <w:t xml:space="preserve">and </w:t>
      </w:r>
      <w:r w:rsidR="1126BFEC" w:rsidRPr="5937A937">
        <w:rPr>
          <w:rFonts w:asciiTheme="majorHAnsi" w:hAnsiTheme="majorHAnsi" w:cstheme="majorBidi"/>
          <w:sz w:val="22"/>
          <w:szCs w:val="22"/>
          <w:lang w:val="en-GB"/>
        </w:rPr>
        <w:t>considering the</w:t>
      </w:r>
      <w:r w:rsidRPr="5937A937">
        <w:rPr>
          <w:rFonts w:asciiTheme="majorHAnsi" w:hAnsiTheme="majorHAnsi" w:cstheme="majorBidi"/>
          <w:sz w:val="22"/>
          <w:szCs w:val="22"/>
          <w:lang w:val="en-GB"/>
        </w:rPr>
        <w:t xml:space="preserve"> business-as-usual </w:t>
      </w:r>
      <w:r w:rsidR="4C843D2E" w:rsidRPr="5937A937">
        <w:rPr>
          <w:rFonts w:asciiTheme="majorHAnsi" w:hAnsiTheme="majorHAnsi" w:cstheme="majorBidi"/>
          <w:sz w:val="22"/>
          <w:szCs w:val="22"/>
          <w:lang w:val="en-GB"/>
        </w:rPr>
        <w:t>scenario</w:t>
      </w:r>
      <w:r w:rsidR="6A5F3F94" w:rsidRPr="5937A937">
        <w:rPr>
          <w:rFonts w:asciiTheme="majorHAnsi" w:hAnsiTheme="majorHAnsi" w:cstheme="majorBidi"/>
          <w:sz w:val="22"/>
          <w:szCs w:val="22"/>
          <w:lang w:val="en-GB"/>
        </w:rPr>
        <w:t>,</w:t>
      </w:r>
      <w:r w:rsidR="4C843D2E" w:rsidRPr="5937A937">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emissions are expected to increase 50</w:t>
      </w:r>
      <w:r w:rsidR="00FA3DB1">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 to 250</w:t>
      </w:r>
      <w:r w:rsidR="00FA3DB1">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 by 2050</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{"citationItems":[{"id":"ITEM-1","itemData":{"DOI":"10.4324/9781003139836-21","URL":"https://ec.europa.eu/clima/policies/transport/shipping_en","abstract":"EU climate actions","accessed":{"date-parts":[["2021","8","31"]]},"author":[{"dropping-particle":"","family":"Abdenur","given":"Adriana Erthal","non-dropping-particle":"","parse-names":false,"suffix":""}],"container-title":"Global Governance Futures","id":"ITEM-1","issued":{"date-parts":[["2021"]]},"page":"238-252","title":"Climate action","type":"webpage"},"uris":["http://www.mendeley.com/documents/?uuid=e48ab161-a69a-483c-a511-9e430f0b5fa6"]},{"id":"ITEM-2","itemData":{"abstract":"The European shipping industry publishes position paper on the EU Green Deal \r\nOn the occasion of the European Shipping Week, ECSA - the European Community Shipowners'  Associations - has launched its position paper in response to the EU Green Deal proposed by the new European Commission.\r\n\"The shipping industry is fully committed to eradicating its GHG emissions completely as soon as possible in this century,\" said Claes Berglund, ECSA's President, as in line with the ambitious targets agreed for the sector by its global regulator, the UN International Maritime Organisation.\"\r\n\r\nThe newly-published position paper is the policy response of the industry towards the European Commission’s ambitious EU Green Deal.\r\n\r\nThe document welcomes and supports the EU’s ambition to take the lead in fighting climate change. Within this context, the European shipping industry aims to be an active contributor to the IMO discussions on both short-term and long-term measures, and seeks the EU’s support for a coordinated and holistic approach at the UN body.\r\n\r\nIn direct response to the EU Green Deal, the industry lays down 8 points where the EU can do together with the shipping industry:\r\n\r\nTake the lead in the international regulatory process\r\nIncentivise the modal shift in transport from roads and air to ferries and short sea shipping - need for an ambitious strategy\r\nResearch and Development - make the EU a frontrunner in low- and zero-carbon technologies\r\nPort call optimisation\r\nShore power and infrastructure for alternative fuels\r\nEstablish a green financing programme for the electrification of ferries\r\nUse the offshore potential for renewable energy\r\nDigitalisation","author":[{"dropping-particle":"","family":"ECSA","given":"","non-dropping-particle":"","parse-names":false,"suffix":""}],"id":"ITEM-2","issued":{"date-parts":[["2020"]]},"title":"A Green Deal for the European shipping industry","type":"article-journal"},"uris":["http://www.mendeley.com/documents/?uuid=e1945c32-0055-4ba3-b462-f781c9c86f91"]}],"mendeley":{"formattedCitation":"(Abdenur, 2021; ECSA, 2020)","plainTextFormattedCitation":"(Abdenur, 2021; ECSA, 2020)","previouslyFormattedCitation":"(Abdenur, 2021; ECSA, 2020)"},"properties":{"noteIndex":0},"schema":"https://github.com/citation-style-language/schema/raw/master/csl-citation.json"}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(Abdenur, 2021; ECSA, 2020)</w:t>
      </w:r>
      <w:r w:rsidR="003B4A74">
        <w:rPr>
          <w:rFonts w:asciiTheme="majorHAnsi" w:hAnsiTheme="majorHAnsi" w:cstheme="majorBidi"/>
          <w:sz w:val="22"/>
          <w:szCs w:val="22"/>
          <w:lang w:val="en-GB"/>
        </w:rPr>
        <w:fldChar w:fldCharType="end"/>
      </w:r>
      <w:r w:rsidR="003B4A74">
        <w:rPr>
          <w:rFonts w:asciiTheme="majorHAnsi" w:hAnsiTheme="majorHAnsi" w:cstheme="majorBidi"/>
          <w:sz w:val="22"/>
          <w:szCs w:val="22"/>
          <w:lang w:val="en-GB"/>
        </w:rPr>
        <w:t>.</w:t>
      </w:r>
    </w:p>
    <w:p w14:paraId="3EED2D56" w14:textId="684115AA" w:rsidR="009E3767" w:rsidRPr="000B393A" w:rsidRDefault="181D6297" w:rsidP="362A3EC5">
      <w:pPr>
        <w:spacing w:after="120" w:line="360" w:lineRule="auto"/>
        <w:ind w:firstLine="720"/>
        <w:rPr>
          <w:rFonts w:asciiTheme="majorHAnsi" w:hAnsiTheme="majorHAnsi" w:cstheme="majorBidi"/>
          <w:sz w:val="22"/>
          <w:szCs w:val="22"/>
        </w:rPr>
      </w:pPr>
      <w:r w:rsidRPr="362A3EC5">
        <w:rPr>
          <w:rFonts w:asciiTheme="majorHAnsi" w:hAnsiTheme="majorHAnsi" w:cstheme="majorBidi"/>
          <w:sz w:val="22"/>
          <w:szCs w:val="22"/>
          <w:lang w:val="en-GB"/>
        </w:rPr>
        <w:t xml:space="preserve">The decarbonization of the shipping industry is </w:t>
      </w:r>
      <w:r w:rsidR="54C5CCF4" w:rsidRPr="362A3EC5">
        <w:rPr>
          <w:rFonts w:asciiTheme="majorHAnsi" w:hAnsiTheme="majorHAnsi" w:cstheme="majorBidi"/>
          <w:sz w:val="22"/>
          <w:szCs w:val="22"/>
          <w:lang w:val="en-GB"/>
        </w:rPr>
        <w:t xml:space="preserve">a challenging task, which requires </w:t>
      </w:r>
      <w:r w:rsidRPr="362A3EC5">
        <w:rPr>
          <w:rFonts w:asciiTheme="majorHAnsi" w:hAnsiTheme="majorHAnsi" w:cstheme="majorBidi"/>
          <w:sz w:val="22"/>
          <w:szCs w:val="22"/>
          <w:lang w:val="en-GB"/>
        </w:rPr>
        <w:t xml:space="preserve">innovative </w:t>
      </w:r>
      <w:r w:rsidR="4EE368B2" w:rsidRPr="362A3EC5">
        <w:rPr>
          <w:rFonts w:asciiTheme="majorHAnsi" w:hAnsiTheme="majorHAnsi" w:cstheme="majorBidi"/>
          <w:sz w:val="22"/>
          <w:szCs w:val="22"/>
          <w:lang w:val="en-GB"/>
        </w:rPr>
        <w:t>solutions, p</w:t>
      </w:r>
      <w:r w:rsidRPr="362A3EC5">
        <w:rPr>
          <w:rFonts w:asciiTheme="majorHAnsi" w:hAnsiTheme="majorHAnsi" w:cstheme="majorBidi"/>
          <w:sz w:val="22"/>
          <w:szCs w:val="22"/>
          <w:lang w:val="en-GB"/>
        </w:rPr>
        <w:t xml:space="preserve">articularly, </w:t>
      </w:r>
      <w:r w:rsidR="11317E4D" w:rsidRPr="362A3EC5">
        <w:rPr>
          <w:rFonts w:asciiTheme="majorHAnsi" w:hAnsiTheme="majorHAnsi" w:cstheme="majorBidi"/>
          <w:sz w:val="22"/>
          <w:szCs w:val="22"/>
          <w:lang w:val="en-GB"/>
        </w:rPr>
        <w:t>towards</w:t>
      </w:r>
      <w:r w:rsidRPr="362A3EC5">
        <w:rPr>
          <w:rFonts w:asciiTheme="majorHAnsi" w:hAnsiTheme="majorHAnsi" w:cstheme="majorBidi"/>
          <w:sz w:val="22"/>
          <w:szCs w:val="22"/>
          <w:lang w:val="en-GB"/>
        </w:rPr>
        <w:t xml:space="preserve"> advanced “drop-in” biofuels</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{"citationItems":[{"id":"ITEM-1","itemData":{"abstract":"The European shipping industry publishes position paper on the EU Green Deal \r\nOn the occasion of the European Shipping Week, ECSA - the European Community Shipowners'  Associations - has launched its position paper in response to the EU Green Deal proposed by the new European Commission.\r\n\"The shipping industry is fully committed to eradicating its GHG emissions completely as soon as possible in this century,\" said Claes Berglund, ECSA's President, as in line with the ambitious targets agreed for the sector by its global regulator, the UN International Maritime Organisation.\"\r\n\r\nThe newly-published position paper is the policy response of the industry towards the European Commission’s ambitious EU Green Deal.\r\n\r\nThe document welcomes and supports the EU’s ambition to take the lead in fighting climate change. Within this context, the European shipping industry aims to be an active contributor to the IMO discussions on both short-term and long-term measures, and seeks the EU’s support for a coordinated and holistic approach at the UN body.\r\n\r\nIn direct response to the EU Green Deal, the industry lays down 8 points where the EU can do together with the shipping industry:\r\n\r\nTake the lead in the international regulatory process\r\nIncentivise the modal shift in transport from roads and air to ferries and short sea shipping - need for an ambitious strategy\r\nResearch and Development - make the EU a frontrunner in low- and zero-carbon technologies\r\nPort call optimisation\r\nShore power and infrastructure for alternative fuels\r\nEstablish a green financing programme for the electrification of ferries\r\nUse the offshore potential for renewable energy\r\nDigitalisation","author":[{"dropping-particle":"","family":"ECSA","given":"","non-dropping-particle":"","parse-names":false,"suffix":""}],"id":"ITEM-1","issued":{"date-parts":[["2020"]]},"title":"A Green Deal for the European shipping industry","type":"article-journal"},"uris":["http://www.mendeley.com/documents/?uuid=e1945c32-0055-4ba3-b462-f781c9c86f91"]}],"mendeley":{"formattedCitation":"(ECSA, 2020)","plainTextFormattedCitation":"(ECSA, 2020)","previouslyFormattedCitation":"(ECSA, 2020)"},"properties":{"noteIndex":0},"schema":"https://github.com/citation-style-language/schema/raw/master/csl-citation.json"}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(ECSA, 2020)</w:t>
      </w:r>
      <w:r w:rsidR="003B4A74">
        <w:rPr>
          <w:rFonts w:asciiTheme="majorHAnsi" w:hAnsiTheme="majorHAnsi" w:cstheme="majorBidi"/>
          <w:sz w:val="22"/>
          <w:szCs w:val="22"/>
          <w:lang w:val="en-GB"/>
        </w:rPr>
        <w:fldChar w:fldCharType="end"/>
      </w:r>
      <w:r w:rsidR="003B4A74">
        <w:rPr>
          <w:rFonts w:asciiTheme="majorHAnsi" w:hAnsiTheme="majorHAnsi" w:cstheme="majorBidi"/>
          <w:sz w:val="22"/>
          <w:szCs w:val="22"/>
          <w:lang w:val="en-GB"/>
        </w:rPr>
        <w:t>.</w:t>
      </w:r>
      <w:r w:rsidR="00766A25">
        <w:rPr>
          <w:rFonts w:asciiTheme="majorHAnsi" w:hAnsiTheme="majorHAnsi" w:cstheme="majorBidi"/>
          <w:sz w:val="22"/>
          <w:szCs w:val="22"/>
          <w:lang w:val="en-GB"/>
        </w:rPr>
        <w:t xml:space="preserve"> </w:t>
      </w:r>
      <w:r w:rsidR="00635632">
        <w:rPr>
          <w:rFonts w:asciiTheme="majorHAnsi" w:hAnsiTheme="majorHAnsi" w:cstheme="majorBidi"/>
          <w:sz w:val="22"/>
          <w:szCs w:val="22"/>
          <w:lang w:val="en-GB"/>
        </w:rPr>
        <w:t xml:space="preserve">Advanced biofuels have been defined </w:t>
      </w:r>
      <w:r w:rsidR="00E577C0">
        <w:rPr>
          <w:rFonts w:asciiTheme="majorHAnsi" w:hAnsiTheme="majorHAnsi" w:cstheme="majorBidi"/>
          <w:sz w:val="22"/>
          <w:szCs w:val="22"/>
          <w:lang w:val="en-GB"/>
        </w:rPr>
        <w:t>according to the Renewable Energy Directive II (RED II), as those</w:t>
      </w:r>
      <w:r w:rsidR="004450A2">
        <w:rPr>
          <w:rFonts w:asciiTheme="majorHAnsi" w:hAnsiTheme="majorHAnsi" w:cstheme="majorBidi"/>
          <w:sz w:val="22"/>
          <w:szCs w:val="22"/>
          <w:lang w:val="en-GB"/>
        </w:rPr>
        <w:t xml:space="preserve"> </w:t>
      </w:r>
      <w:r w:rsidR="00572DB8" w:rsidRPr="00572DB8">
        <w:rPr>
          <w:rFonts w:asciiTheme="majorHAnsi" w:hAnsiTheme="majorHAnsi" w:cstheme="majorBidi"/>
          <w:sz w:val="22"/>
          <w:szCs w:val="22"/>
          <w:lang w:val="en-GB"/>
        </w:rPr>
        <w:t>produced from</w:t>
      </w:r>
      <w:r w:rsidR="00572DB8">
        <w:rPr>
          <w:rFonts w:asciiTheme="majorHAnsi" w:hAnsiTheme="majorHAnsi" w:cstheme="majorBidi"/>
          <w:sz w:val="22"/>
          <w:szCs w:val="22"/>
          <w:lang w:val="en-GB"/>
        </w:rPr>
        <w:t xml:space="preserve"> the</w:t>
      </w:r>
      <w:r w:rsidR="00572DB8" w:rsidRPr="00572DB8">
        <w:rPr>
          <w:rFonts w:asciiTheme="majorHAnsi" w:hAnsiTheme="majorHAnsi" w:cstheme="majorBidi"/>
          <w:sz w:val="22"/>
          <w:szCs w:val="22"/>
          <w:lang w:val="en-GB"/>
        </w:rPr>
        <w:t xml:space="preserve"> feedstocks listed in of Annex IX part A of the </w:t>
      </w:r>
      <w:r w:rsidR="00572DB8">
        <w:rPr>
          <w:rFonts w:asciiTheme="majorHAnsi" w:hAnsiTheme="majorHAnsi" w:cstheme="majorBidi"/>
          <w:sz w:val="22"/>
          <w:szCs w:val="22"/>
          <w:lang w:val="en-GB"/>
        </w:rPr>
        <w:t xml:space="preserve">RED II </w:t>
      </w:r>
      <w:r w:rsidR="00572DB8">
        <w:rPr>
          <w:rFonts w:asciiTheme="majorHAnsi" w:hAnsiTheme="majorHAnsi" w:cstheme="majorBidi"/>
          <w:sz w:val="22"/>
          <w:szCs w:val="22"/>
          <w:lang w:val="en-GB"/>
        </w:rPr>
        <w:fldChar w:fldCharType="begin" w:fldLock="1"/>
      </w:r>
      <w:r w:rsidR="00E42C76">
        <w:rPr>
          <w:rFonts w:asciiTheme="majorHAnsi" w:hAnsiTheme="majorHAnsi" w:cstheme="majorBidi"/>
          <w:sz w:val="22"/>
          <w:szCs w:val="22"/>
          <w:lang w:val="en-GB"/>
        </w:rPr>
        <w:instrText>ADDIN CSL_CITATION {"citationItems":[{"id":"ITEM-1","itemData":{"URL":"https://www.eafo.eu/alternative-fuels/advanced-biofuels/generic-information","author":[{"dropping-particle":"","family":"European Alternative Fuels Observatory","given":"","non-dropping-particle":"","parse-names":false,"suffix":""}],"id":"ITEM-1","issued":{"date-parts":[["2020"]]},"title":"WHAT ARE ADVANCED BIOFUELS?","type":"webpage"},"uris":["http://www.mendeley.com/documents/?uuid=21c944a1-0746-467f-9517-0717a383dd37"]}],"mendeley":{"formattedCitation":"(European Alternative Fuels Observatory, 2020)","plainTextFormattedCitation":"(European Alternative Fuels Observatory, 2020)","previouslyFormattedCitation":"(European Alternative Fuels Observatory, 2020)"},"properties":{"noteIndex":0},"schema":"https://github.com/citation-style-language/schema/raw/master/csl-citation.json"}</w:instrText>
      </w:r>
      <w:r w:rsidR="00572DB8">
        <w:rPr>
          <w:rFonts w:asciiTheme="majorHAnsi" w:hAnsiTheme="majorHAnsi" w:cstheme="majorBidi"/>
          <w:sz w:val="22"/>
          <w:szCs w:val="22"/>
          <w:lang w:val="en-GB"/>
        </w:rPr>
        <w:fldChar w:fldCharType="separate"/>
      </w:r>
      <w:r w:rsidR="00572DB8" w:rsidRPr="00572DB8">
        <w:rPr>
          <w:rFonts w:asciiTheme="majorHAnsi" w:hAnsiTheme="majorHAnsi" w:cstheme="majorBidi"/>
          <w:noProof/>
          <w:sz w:val="22"/>
          <w:szCs w:val="22"/>
          <w:lang w:val="en-GB"/>
        </w:rPr>
        <w:t>(European Alternative Fuels Observatory, 2020)</w:t>
      </w:r>
      <w:r w:rsidR="00572DB8">
        <w:rPr>
          <w:rFonts w:asciiTheme="majorHAnsi" w:hAnsiTheme="majorHAnsi" w:cstheme="majorBidi"/>
          <w:sz w:val="22"/>
          <w:szCs w:val="22"/>
          <w:lang w:val="en-GB"/>
        </w:rPr>
        <w:fldChar w:fldCharType="end"/>
      </w:r>
      <w:r w:rsidR="00572DB8">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t>C</w:t>
      </w:r>
      <w:r w:rsidRPr="362A3EC5">
        <w:rPr>
          <w:rFonts w:asciiTheme="majorHAnsi" w:hAnsiTheme="majorHAnsi" w:cstheme="majorBidi"/>
          <w:sz w:val="22"/>
          <w:szCs w:val="22"/>
          <w:lang w:val="en-GB"/>
        </w:rPr>
        <w:t xml:space="preserve">ompared with other renewable </w:t>
      </w:r>
      <w:r w:rsidR="4FD6637E" w:rsidRPr="362A3EC5">
        <w:rPr>
          <w:rFonts w:asciiTheme="majorHAnsi" w:hAnsiTheme="majorHAnsi" w:cstheme="majorBidi"/>
          <w:sz w:val="22"/>
          <w:szCs w:val="22"/>
          <w:lang w:val="en-GB"/>
        </w:rPr>
        <w:t>options</w:t>
      </w:r>
      <w:r w:rsidR="02324E0A" w:rsidRPr="362A3EC5">
        <w:rPr>
          <w:rFonts w:asciiTheme="majorHAnsi" w:hAnsiTheme="majorHAnsi" w:cstheme="majorBidi"/>
          <w:sz w:val="22"/>
          <w:szCs w:val="22"/>
          <w:lang w:val="en-GB"/>
        </w:rPr>
        <w:t xml:space="preserve"> </w:t>
      </w:r>
      <w:r w:rsidRPr="362A3EC5">
        <w:rPr>
          <w:rFonts w:asciiTheme="majorHAnsi" w:hAnsiTheme="majorHAnsi" w:cstheme="majorBidi"/>
          <w:sz w:val="22"/>
          <w:szCs w:val="22"/>
          <w:lang w:val="en-GB"/>
        </w:rPr>
        <w:t xml:space="preserve">(e.g., electricity or hydrogen), advanced biofuels are the </w:t>
      </w:r>
      <w:r w:rsidR="1769465F" w:rsidRPr="362A3EC5">
        <w:rPr>
          <w:rFonts w:asciiTheme="majorHAnsi" w:hAnsiTheme="majorHAnsi" w:cstheme="majorBidi"/>
          <w:sz w:val="22"/>
          <w:szCs w:val="22"/>
          <w:lang w:val="en-GB"/>
        </w:rPr>
        <w:t>most effective</w:t>
      </w:r>
      <w:r w:rsidRPr="362A3EC5">
        <w:rPr>
          <w:rFonts w:asciiTheme="majorHAnsi" w:hAnsiTheme="majorHAnsi" w:cstheme="majorBidi"/>
          <w:sz w:val="22"/>
          <w:szCs w:val="22"/>
          <w:lang w:val="en-GB"/>
        </w:rPr>
        <w:t xml:space="preserve"> solution </w:t>
      </w:r>
      <w:r w:rsidR="0403E997" w:rsidRPr="362A3EC5">
        <w:rPr>
          <w:rFonts w:asciiTheme="majorHAnsi" w:hAnsiTheme="majorHAnsi" w:cstheme="majorBidi"/>
          <w:sz w:val="22"/>
          <w:szCs w:val="22"/>
          <w:lang w:val="en-GB"/>
        </w:rPr>
        <w:t>for the</w:t>
      </w:r>
      <w:r w:rsidRPr="362A3EC5">
        <w:rPr>
          <w:rFonts w:asciiTheme="majorHAnsi" w:hAnsiTheme="majorHAnsi" w:cstheme="majorBidi"/>
          <w:sz w:val="22"/>
          <w:szCs w:val="22"/>
          <w:lang w:val="en-GB"/>
        </w:rPr>
        <w:t xml:space="preserve"> </w:t>
      </w:r>
      <w:r w:rsidR="16ACAFE4" w:rsidRPr="362A3EC5">
        <w:rPr>
          <w:rFonts w:asciiTheme="majorHAnsi" w:hAnsiTheme="majorHAnsi" w:cstheme="majorBidi"/>
          <w:sz w:val="22"/>
          <w:szCs w:val="22"/>
          <w:lang w:val="en-GB"/>
        </w:rPr>
        <w:t xml:space="preserve">immediate </w:t>
      </w:r>
      <w:r w:rsidRPr="362A3EC5">
        <w:rPr>
          <w:rFonts w:asciiTheme="majorHAnsi" w:hAnsiTheme="majorHAnsi" w:cstheme="majorBidi"/>
          <w:sz w:val="22"/>
          <w:szCs w:val="22"/>
          <w:lang w:val="en-GB"/>
        </w:rPr>
        <w:t>reduc</w:t>
      </w:r>
      <w:r w:rsidR="0898E46E" w:rsidRPr="362A3EC5">
        <w:rPr>
          <w:rFonts w:asciiTheme="majorHAnsi" w:hAnsiTheme="majorHAnsi" w:cstheme="majorBidi"/>
          <w:sz w:val="22"/>
          <w:szCs w:val="22"/>
          <w:lang w:val="en-GB"/>
        </w:rPr>
        <w:t>tion on</w:t>
      </w:r>
      <w:r w:rsidRPr="362A3EC5">
        <w:rPr>
          <w:rFonts w:asciiTheme="majorHAnsi" w:hAnsiTheme="majorHAnsi" w:cstheme="majorBidi"/>
          <w:sz w:val="22"/>
          <w:szCs w:val="22"/>
          <w:lang w:val="en-GB"/>
        </w:rPr>
        <w:t xml:space="preserve"> GHG emissions</w:t>
      </w:r>
      <w:r w:rsidR="496A8D21" w:rsidRPr="362A3EC5">
        <w:rPr>
          <w:rFonts w:asciiTheme="majorHAnsi" w:hAnsiTheme="majorHAnsi" w:cstheme="majorBidi"/>
          <w:sz w:val="22"/>
          <w:szCs w:val="22"/>
          <w:lang w:val="en-GB"/>
        </w:rPr>
        <w:t>,</w:t>
      </w:r>
      <w:r w:rsidR="0A3D86E9" w:rsidRPr="362A3EC5">
        <w:rPr>
          <w:rFonts w:asciiTheme="majorHAnsi" w:hAnsiTheme="majorHAnsi" w:cstheme="majorBidi"/>
          <w:sz w:val="22"/>
          <w:szCs w:val="22"/>
          <w:lang w:val="en-GB"/>
        </w:rPr>
        <w:t xml:space="preserve"> safe </w:t>
      </w:r>
      <w:r w:rsidR="32489465" w:rsidRPr="362A3EC5">
        <w:rPr>
          <w:rFonts w:asciiTheme="majorHAnsi" w:hAnsiTheme="majorHAnsi" w:cstheme="majorBidi"/>
          <w:sz w:val="22"/>
          <w:szCs w:val="22"/>
          <w:lang w:val="en-GB"/>
        </w:rPr>
        <w:t>keep</w:t>
      </w:r>
      <w:r w:rsidR="01151642" w:rsidRPr="362A3EC5">
        <w:rPr>
          <w:rFonts w:asciiTheme="majorHAnsi" w:hAnsiTheme="majorHAnsi" w:cstheme="majorBidi"/>
          <w:sz w:val="22"/>
          <w:szCs w:val="22"/>
          <w:lang w:val="en-GB"/>
        </w:rPr>
        <w:t>ing</w:t>
      </w:r>
      <w:r w:rsidR="32489465" w:rsidRPr="362A3EC5">
        <w:rPr>
          <w:rFonts w:asciiTheme="majorHAnsi" w:hAnsiTheme="majorHAnsi" w:cstheme="majorBidi"/>
          <w:sz w:val="22"/>
          <w:szCs w:val="22"/>
          <w:lang w:val="en-GB"/>
        </w:rPr>
        <w:t xml:space="preserve"> the compromise</w:t>
      </w:r>
      <w:r w:rsidR="24BC6ECB" w:rsidRPr="362A3EC5">
        <w:rPr>
          <w:rFonts w:asciiTheme="majorHAnsi" w:hAnsiTheme="majorHAnsi" w:cstheme="majorBidi"/>
          <w:sz w:val="22"/>
          <w:szCs w:val="22"/>
          <w:lang w:val="en-GB"/>
        </w:rPr>
        <w:t xml:space="preserve"> </w:t>
      </w:r>
      <w:r w:rsidR="00766A25">
        <w:rPr>
          <w:rFonts w:asciiTheme="majorHAnsi" w:hAnsiTheme="majorHAnsi" w:cstheme="majorBidi"/>
          <w:sz w:val="22"/>
          <w:szCs w:val="22"/>
          <w:lang w:val="en-GB"/>
        </w:rPr>
        <w:t>with</w:t>
      </w:r>
      <w:r w:rsidRPr="362A3EC5">
        <w:rPr>
          <w:rFonts w:asciiTheme="majorHAnsi" w:hAnsiTheme="majorHAnsi" w:cstheme="majorBidi"/>
          <w:sz w:val="22"/>
          <w:szCs w:val="22"/>
          <w:lang w:val="en-GB"/>
        </w:rPr>
        <w:t xml:space="preserve"> 2030 targets. Advanced biofuels are considered an essential part of</w:t>
      </w:r>
      <w:r w:rsidR="0039263A">
        <w:rPr>
          <w:rFonts w:asciiTheme="majorHAnsi" w:hAnsiTheme="majorHAnsi" w:cstheme="majorBidi"/>
          <w:sz w:val="22"/>
          <w:szCs w:val="22"/>
          <w:lang w:val="en-GB"/>
        </w:rPr>
        <w:t xml:space="preserve"> the</w:t>
      </w:r>
      <w:r w:rsidRPr="362A3EC5">
        <w:rPr>
          <w:rFonts w:asciiTheme="majorHAnsi" w:hAnsiTheme="majorHAnsi" w:cstheme="majorBidi"/>
          <w:sz w:val="22"/>
          <w:szCs w:val="22"/>
          <w:lang w:val="en-GB"/>
        </w:rPr>
        <w:t xml:space="preserve"> </w:t>
      </w:r>
      <w:r w:rsidR="6761E4EB" w:rsidRPr="362A3EC5">
        <w:rPr>
          <w:rFonts w:asciiTheme="majorHAnsi" w:hAnsiTheme="majorHAnsi" w:cstheme="majorBidi"/>
          <w:sz w:val="22"/>
          <w:szCs w:val="22"/>
          <w:lang w:val="en-GB"/>
        </w:rPr>
        <w:t>European roadmap for decarbonization</w:t>
      </w:r>
      <w:r w:rsidRPr="362A3EC5">
        <w:rPr>
          <w:rFonts w:asciiTheme="majorHAnsi" w:hAnsiTheme="majorHAnsi" w:cstheme="majorBidi"/>
          <w:sz w:val="22"/>
          <w:szCs w:val="22"/>
          <w:lang w:val="en-GB"/>
        </w:rPr>
        <w:t xml:space="preserve">, their use can decrease the dependency </w:t>
      </w:r>
      <w:r w:rsidR="00766A25">
        <w:rPr>
          <w:rFonts w:asciiTheme="majorHAnsi" w:hAnsiTheme="majorHAnsi" w:cstheme="majorBidi"/>
          <w:sz w:val="22"/>
          <w:szCs w:val="22"/>
          <w:lang w:val="en-GB"/>
        </w:rPr>
        <w:t>on</w:t>
      </w:r>
      <w:r w:rsidRPr="362A3EC5">
        <w:rPr>
          <w:rFonts w:asciiTheme="majorHAnsi" w:hAnsiTheme="majorHAnsi" w:cstheme="majorBidi"/>
          <w:sz w:val="22"/>
          <w:szCs w:val="22"/>
          <w:lang w:val="en-GB"/>
        </w:rPr>
        <w:t xml:space="preserve"> fossil fuels while adding value to s</w:t>
      </w:r>
      <w:r w:rsidR="4427D842" w:rsidRPr="362A3EC5">
        <w:rPr>
          <w:rFonts w:asciiTheme="majorHAnsi" w:hAnsiTheme="majorHAnsi" w:cstheme="majorBidi"/>
          <w:sz w:val="22"/>
          <w:szCs w:val="22"/>
          <w:lang w:val="en-GB"/>
        </w:rPr>
        <w:t>econdary materials</w:t>
      </w:r>
      <w:r w:rsidRPr="362A3EC5">
        <w:rPr>
          <w:rFonts w:asciiTheme="majorHAnsi" w:hAnsiTheme="majorHAnsi" w:cstheme="majorBidi"/>
          <w:sz w:val="22"/>
          <w:szCs w:val="22"/>
          <w:lang w:val="en-GB"/>
        </w:rPr>
        <w:t xml:space="preserve"> that are considered of non-value</w:t>
      </w:r>
      <w:r w:rsidR="4CE0DDC7" w:rsidRPr="362A3EC5">
        <w:rPr>
          <w:rFonts w:asciiTheme="majorHAnsi" w:hAnsiTheme="majorHAnsi" w:cstheme="majorBidi"/>
          <w:sz w:val="22"/>
          <w:szCs w:val="22"/>
          <w:lang w:val="en-GB"/>
        </w:rPr>
        <w:t>, such as residues</w:t>
      </w:r>
      <w:r w:rsidR="003B4A74">
        <w:rPr>
          <w:rFonts w:asciiTheme="majorHAnsi" w:hAnsiTheme="majorHAnsi" w:cstheme="majorBidi"/>
          <w:sz w:val="22"/>
          <w:szCs w:val="22"/>
          <w:lang w:val="en-GB"/>
        </w:rPr>
        <w:t xml:space="preserve"> </w:t>
      </w:r>
      <w:r w:rsidR="003B4A74">
        <w:rPr>
          <w:rFonts w:asciiTheme="majorHAnsi" w:hAnsiTheme="majorHAnsi" w:cstheme="majorBidi"/>
          <w:sz w:val="22"/>
          <w:szCs w:val="22"/>
          <w:lang w:val="en-GB"/>
        </w:rPr>
        <w:fldChar w:fldCharType="begin" w:fldLock="1"/>
      </w:r>
      <w:r w:rsidR="003B4A74">
        <w:rPr>
          <w:rFonts w:asciiTheme="majorHAnsi" w:hAnsiTheme="majorHAnsi" w:cstheme="majorBidi"/>
          <w:sz w:val="22"/>
          <w:szCs w:val="22"/>
          <w:lang w:val="en-GB"/>
        </w:rPr>
        <w:instrText>ADDIN CSL_CITATION {"citationItems":[{"id":"ITEM-1","itemData":{"DOI":"10.1016/j.esr.2021.100633","ISSN":"2211467X","abstract":"Advanced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Reviews","id":"ITEM-1","issue":"March","issued":{"date-parts":[["2021"]]},"page":"100633","publisher":"Elsevier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uptake","type":"article-journal","volume":"34"},"uris":["http://www.mendeley.com/documents/?uuid=e0b8486c-e671-49c6-b25c-f2ad745dcfe0"]}],"mendeley":{"formattedCitation":"(Panoutsou et al., 2021)","plainTextFormattedCitation":"(Panoutsou et al., 2021)","previouslyFormattedCitation":"(Panoutsou et al., 2021)"},"properties":{"noteIndex":0},"schema":"https://github.com/citation-style-language/schema/raw/master/csl-citation.json"}</w:instrText>
      </w:r>
      <w:r w:rsidR="003B4A74">
        <w:rPr>
          <w:rFonts w:asciiTheme="majorHAnsi" w:hAnsiTheme="majorHAnsi" w:cstheme="majorBidi"/>
          <w:sz w:val="22"/>
          <w:szCs w:val="22"/>
          <w:lang w:val="en-GB"/>
        </w:rPr>
        <w:fldChar w:fldCharType="separate"/>
      </w:r>
      <w:r w:rsidR="003B4A74" w:rsidRPr="003B4A74">
        <w:rPr>
          <w:rFonts w:asciiTheme="majorHAnsi" w:hAnsiTheme="majorHAnsi" w:cstheme="majorBidi"/>
          <w:noProof/>
          <w:sz w:val="22"/>
          <w:szCs w:val="22"/>
          <w:lang w:val="en-GB"/>
        </w:rPr>
        <w:t>(Panoutsou et al., 2021)</w:t>
      </w:r>
      <w:r w:rsidR="003B4A74">
        <w:rPr>
          <w:rFonts w:asciiTheme="majorHAnsi" w:hAnsiTheme="majorHAnsi" w:cstheme="majorBidi"/>
          <w:sz w:val="22"/>
          <w:szCs w:val="22"/>
          <w:lang w:val="en-GB"/>
        </w:rPr>
        <w:fldChar w:fldCharType="end"/>
      </w:r>
      <w:r w:rsidRPr="362A3EC5">
        <w:rPr>
          <w:rFonts w:asciiTheme="majorHAnsi" w:hAnsiTheme="majorHAnsi" w:cstheme="majorBidi"/>
          <w:sz w:val="22"/>
          <w:szCs w:val="22"/>
          <w:lang w:val="en-GB"/>
        </w:rPr>
        <w:t xml:space="preserve">.   </w:t>
      </w:r>
    </w:p>
    <w:p w14:paraId="7269A623" w14:textId="6A15721D" w:rsidR="009E3767" w:rsidRPr="000B393A" w:rsidRDefault="6B49D179" w:rsidP="00C66DA5">
      <w:pPr>
        <w:spacing w:after="120" w:line="360" w:lineRule="auto"/>
        <w:ind w:firstLine="720"/>
        <w:rPr>
          <w:rFonts w:asciiTheme="majorHAnsi" w:hAnsiTheme="majorHAnsi" w:cstheme="majorBidi"/>
          <w:sz w:val="22"/>
          <w:szCs w:val="22"/>
        </w:rPr>
      </w:pPr>
      <w:r w:rsidRPr="5937A937">
        <w:rPr>
          <w:rFonts w:asciiTheme="majorHAnsi" w:hAnsiTheme="majorHAnsi" w:cstheme="majorBidi"/>
          <w:sz w:val="22"/>
          <w:szCs w:val="22"/>
          <w:lang w:val="en-GB"/>
        </w:rPr>
        <w:t xml:space="preserve">Currently less than </w:t>
      </w:r>
      <w:r w:rsidR="00012BF4">
        <w:rPr>
          <w:rFonts w:asciiTheme="majorHAnsi" w:hAnsiTheme="majorHAnsi" w:cstheme="majorBidi"/>
          <w:sz w:val="22"/>
          <w:szCs w:val="22"/>
          <w:lang w:val="en-GB"/>
        </w:rPr>
        <w:t>1</w:t>
      </w:r>
      <w:r w:rsidRPr="5937A937">
        <w:rPr>
          <w:rFonts w:asciiTheme="majorHAnsi" w:hAnsiTheme="majorHAnsi" w:cstheme="majorBidi"/>
          <w:sz w:val="22"/>
          <w:szCs w:val="22"/>
          <w:lang w:val="en-GB"/>
        </w:rPr>
        <w:t xml:space="preserve">% of the fuel used </w:t>
      </w:r>
      <w:r w:rsidR="1504D0F9" w:rsidRPr="5937A937">
        <w:rPr>
          <w:rFonts w:asciiTheme="majorHAnsi" w:hAnsiTheme="majorHAnsi" w:cstheme="majorBidi"/>
          <w:sz w:val="22"/>
          <w:szCs w:val="22"/>
          <w:lang w:val="en-GB"/>
        </w:rPr>
        <w:t xml:space="preserve">in marine </w:t>
      </w:r>
      <w:r w:rsidR="2B8D2F93" w:rsidRPr="5937A937">
        <w:rPr>
          <w:rFonts w:asciiTheme="majorHAnsi" w:hAnsiTheme="majorHAnsi" w:cstheme="majorBidi"/>
          <w:sz w:val="22"/>
          <w:szCs w:val="22"/>
          <w:lang w:val="en-GB"/>
        </w:rPr>
        <w:t>transportation</w:t>
      </w:r>
      <w:r w:rsidR="1504D0F9" w:rsidRPr="5937A937">
        <w:rPr>
          <w:rFonts w:asciiTheme="majorHAnsi" w:hAnsiTheme="majorHAnsi" w:cstheme="majorBidi"/>
          <w:sz w:val="22"/>
          <w:szCs w:val="22"/>
          <w:lang w:val="en-GB"/>
        </w:rPr>
        <w:t xml:space="preserve"> is </w:t>
      </w:r>
      <w:r w:rsidRPr="5937A937">
        <w:rPr>
          <w:rFonts w:asciiTheme="majorHAnsi" w:hAnsiTheme="majorHAnsi" w:cstheme="majorBidi"/>
          <w:sz w:val="22"/>
          <w:szCs w:val="22"/>
          <w:lang w:val="en-GB"/>
        </w:rPr>
        <w:t>bio</w:t>
      </w:r>
      <w:r w:rsidR="74DBB3BA" w:rsidRPr="5937A937">
        <w:rPr>
          <w:rFonts w:asciiTheme="majorHAnsi" w:hAnsiTheme="majorHAnsi" w:cstheme="majorBidi"/>
          <w:sz w:val="22"/>
          <w:szCs w:val="22"/>
          <w:lang w:val="en-GB"/>
        </w:rPr>
        <w:t>-based</w:t>
      </w:r>
      <w:r w:rsidR="0F75BCCB" w:rsidRPr="5937A937">
        <w:rPr>
          <w:rFonts w:asciiTheme="majorHAnsi" w:hAnsiTheme="majorHAnsi" w:cstheme="majorBidi"/>
          <w:sz w:val="22"/>
          <w:szCs w:val="22"/>
          <w:lang w:val="en-GB"/>
        </w:rPr>
        <w:t>.</w:t>
      </w:r>
      <w:r w:rsidR="05644B01" w:rsidRPr="5937A937">
        <w:rPr>
          <w:rFonts w:asciiTheme="majorHAnsi" w:hAnsiTheme="majorHAnsi" w:cstheme="majorBidi"/>
          <w:sz w:val="22"/>
          <w:szCs w:val="22"/>
          <w:lang w:val="en-GB"/>
        </w:rPr>
        <w:t xml:space="preserve"> T</w:t>
      </w:r>
      <w:r w:rsidRPr="5937A937">
        <w:rPr>
          <w:rFonts w:asciiTheme="majorHAnsi" w:hAnsiTheme="majorHAnsi" w:cstheme="majorBidi"/>
          <w:sz w:val="22"/>
          <w:szCs w:val="22"/>
          <w:lang w:val="en-GB"/>
        </w:rPr>
        <w:t>his is m</w:t>
      </w:r>
      <w:r w:rsidR="60E6D386" w:rsidRPr="5937A937">
        <w:rPr>
          <w:rFonts w:asciiTheme="majorHAnsi" w:hAnsiTheme="majorHAnsi" w:cstheme="majorBidi"/>
          <w:sz w:val="22"/>
          <w:szCs w:val="22"/>
          <w:lang w:val="en-GB"/>
        </w:rPr>
        <w:t xml:space="preserve">ostly </w:t>
      </w:r>
      <w:r w:rsidRPr="5937A937">
        <w:rPr>
          <w:rFonts w:asciiTheme="majorHAnsi" w:hAnsiTheme="majorHAnsi" w:cstheme="majorBidi"/>
          <w:sz w:val="22"/>
          <w:szCs w:val="22"/>
          <w:lang w:val="en-GB"/>
        </w:rPr>
        <w:t xml:space="preserve">due </w:t>
      </w:r>
      <w:r w:rsidR="5243B28B" w:rsidRPr="5937A937">
        <w:rPr>
          <w:rFonts w:asciiTheme="majorHAnsi" w:hAnsiTheme="majorHAnsi" w:cstheme="majorBidi"/>
          <w:sz w:val="22"/>
          <w:szCs w:val="22"/>
          <w:lang w:val="en-GB"/>
        </w:rPr>
        <w:t xml:space="preserve">to </w:t>
      </w:r>
      <w:r w:rsidRPr="5937A937">
        <w:rPr>
          <w:rFonts w:asciiTheme="majorHAnsi" w:hAnsiTheme="majorHAnsi" w:cstheme="majorBidi"/>
          <w:sz w:val="22"/>
          <w:szCs w:val="22"/>
          <w:lang w:val="en-GB"/>
        </w:rPr>
        <w:t xml:space="preserve">the considerably lower price of fossil fuels </w:t>
      </w:r>
      <w:r w:rsidR="61B9C795" w:rsidRPr="5937A937">
        <w:rPr>
          <w:rFonts w:asciiTheme="majorHAnsi" w:hAnsiTheme="majorHAnsi" w:cstheme="majorBidi"/>
          <w:sz w:val="22"/>
          <w:szCs w:val="22"/>
          <w:lang w:val="en-GB"/>
        </w:rPr>
        <w:t>alternatives</w:t>
      </w:r>
      <w:r w:rsidRPr="5937A937">
        <w:rPr>
          <w:rFonts w:asciiTheme="majorHAnsi" w:hAnsiTheme="majorHAnsi" w:cstheme="majorBidi"/>
          <w:sz w:val="22"/>
          <w:szCs w:val="22"/>
          <w:lang w:val="en-GB"/>
        </w:rPr>
        <w:t xml:space="preserve">.  </w:t>
      </w:r>
      <w:r w:rsidR="5C3F6096" w:rsidRPr="5937A937">
        <w:rPr>
          <w:rFonts w:asciiTheme="majorHAnsi" w:hAnsiTheme="majorHAnsi" w:cstheme="majorBidi"/>
          <w:sz w:val="22"/>
          <w:szCs w:val="22"/>
          <w:lang w:val="en-GB"/>
        </w:rPr>
        <w:t xml:space="preserve">Moreover, </w:t>
      </w:r>
      <w:r w:rsidR="33D64CA2" w:rsidRPr="5937A937">
        <w:rPr>
          <w:rFonts w:asciiTheme="majorHAnsi" w:hAnsiTheme="majorHAnsi" w:cstheme="majorBidi"/>
          <w:sz w:val="22"/>
          <w:szCs w:val="22"/>
          <w:lang w:val="en-GB"/>
        </w:rPr>
        <w:t>the fuel consumption profile</w:t>
      </w:r>
      <w:r w:rsidRPr="5937A937">
        <w:rPr>
          <w:rFonts w:asciiTheme="majorHAnsi" w:hAnsiTheme="majorHAnsi" w:cstheme="majorBidi"/>
          <w:sz w:val="22"/>
          <w:szCs w:val="22"/>
          <w:lang w:val="en-GB"/>
        </w:rPr>
        <w:t xml:space="preserve"> in the shipping sector </w:t>
      </w:r>
      <w:r w:rsidR="3B23BDDB" w:rsidRPr="5937A937">
        <w:rPr>
          <w:rFonts w:asciiTheme="majorHAnsi" w:hAnsiTheme="majorHAnsi" w:cstheme="majorBidi"/>
          <w:sz w:val="22"/>
          <w:szCs w:val="22"/>
          <w:lang w:val="en-GB"/>
        </w:rPr>
        <w:t>is</w:t>
      </w:r>
      <w:r w:rsidRPr="5937A937">
        <w:rPr>
          <w:rFonts w:asciiTheme="majorHAnsi" w:hAnsiTheme="majorHAnsi" w:cstheme="majorBidi"/>
          <w:sz w:val="22"/>
          <w:szCs w:val="22"/>
          <w:lang w:val="en-GB"/>
        </w:rPr>
        <w:t xml:space="preserve"> </w:t>
      </w:r>
      <w:r w:rsidR="33F99308" w:rsidRPr="5937A937">
        <w:rPr>
          <w:rFonts w:asciiTheme="majorHAnsi" w:hAnsiTheme="majorHAnsi" w:cstheme="majorBidi"/>
          <w:sz w:val="22"/>
          <w:szCs w:val="22"/>
          <w:lang w:val="en-GB"/>
        </w:rPr>
        <w:t>large</w:t>
      </w:r>
      <w:r w:rsidRPr="5937A937">
        <w:rPr>
          <w:rFonts w:asciiTheme="majorHAnsi" w:hAnsiTheme="majorHAnsi" w:cstheme="majorBidi"/>
          <w:sz w:val="22"/>
          <w:szCs w:val="22"/>
          <w:lang w:val="en-GB"/>
        </w:rPr>
        <w:t>ly depended on the price of residual fuel oil</w:t>
      </w:r>
      <w:r w:rsidR="3C29D90F" w:rsidRPr="5937A937">
        <w:rPr>
          <w:rFonts w:asciiTheme="majorHAnsi" w:hAnsiTheme="majorHAnsi" w:cstheme="majorBidi"/>
          <w:sz w:val="22"/>
          <w:szCs w:val="22"/>
          <w:lang w:val="en-GB"/>
        </w:rPr>
        <w:t xml:space="preserve">, one of the cheapest </w:t>
      </w:r>
      <w:r w:rsidR="001B711A" w:rsidRPr="5937A937">
        <w:rPr>
          <w:rFonts w:asciiTheme="majorHAnsi" w:hAnsiTheme="majorHAnsi" w:cstheme="majorBidi"/>
          <w:sz w:val="22"/>
          <w:szCs w:val="22"/>
          <w:lang w:val="en-GB"/>
        </w:rPr>
        <w:t xml:space="preserve">available </w:t>
      </w:r>
      <w:r w:rsidR="3C29D90F" w:rsidRPr="5937A937">
        <w:rPr>
          <w:rFonts w:asciiTheme="majorHAnsi" w:hAnsiTheme="majorHAnsi" w:cstheme="majorBidi"/>
          <w:sz w:val="22"/>
          <w:szCs w:val="22"/>
          <w:lang w:val="en-GB"/>
        </w:rPr>
        <w:t xml:space="preserve">fuel </w:t>
      </w:r>
      <w:r w:rsidR="005E294E">
        <w:rPr>
          <w:rFonts w:asciiTheme="majorHAnsi" w:hAnsiTheme="majorHAnsi" w:cstheme="majorBidi"/>
          <w:sz w:val="22"/>
          <w:szCs w:val="22"/>
          <w:lang w:val="en-GB"/>
        </w:rPr>
        <w:fldChar w:fldCharType="begin" w:fldLock="1"/>
      </w:r>
      <w:r w:rsidR="00B159B4">
        <w:rPr>
          <w:rFonts w:asciiTheme="majorHAnsi" w:hAnsiTheme="majorHAnsi" w:cstheme="majorBidi"/>
          <w:sz w:val="22"/>
          <w:szCs w:val="22"/>
          <w:lang w:val="en-GB"/>
        </w:rPr>
        <w:instrText>ADDIN CSL_CITATION {"citationItems":[{"id":"ITEM-1","itemData":{"author":[{"dropping-particle":"","family":"Uslu","given":"Ayla","non-dropping-particle":"","parse-names":false,"suffix":""}],"id":"ITEM-1","issued":{"date-parts":[["2019"]]},"title":"Market analysis","type":"report"},"uris":["http://www.mendeley.com/documents/?uuid=f0487272-4a66-4a0e-b49d-ac94b47a56ec"]}],"mendeley":{"formattedCitation":"(Uslu, 2019)","plainTextFormattedCitation":"(Uslu, 2019)","previouslyFormattedCitation":"(Uslu, 2019)"},"properties":{"noteIndex":0},"schema":"https://github.com/citation-style-language/schema/raw/master/csl-citation.json"}</w:instrText>
      </w:r>
      <w:r w:rsidR="005E294E">
        <w:rPr>
          <w:rFonts w:asciiTheme="majorHAnsi" w:hAnsiTheme="majorHAnsi" w:cstheme="majorBidi"/>
          <w:sz w:val="22"/>
          <w:szCs w:val="22"/>
          <w:lang w:val="en-GB"/>
        </w:rPr>
        <w:fldChar w:fldCharType="separate"/>
      </w:r>
      <w:r w:rsidR="005E294E" w:rsidRPr="005E294E">
        <w:rPr>
          <w:rFonts w:asciiTheme="majorHAnsi" w:hAnsiTheme="majorHAnsi" w:cstheme="majorBidi"/>
          <w:noProof/>
          <w:sz w:val="22"/>
          <w:szCs w:val="22"/>
          <w:lang w:val="en-GB"/>
        </w:rPr>
        <w:t>(Uslu, 2019)</w:t>
      </w:r>
      <w:r w:rsidR="005E294E">
        <w:rPr>
          <w:rFonts w:asciiTheme="majorHAnsi" w:hAnsiTheme="majorHAnsi" w:cstheme="majorBidi"/>
          <w:sz w:val="22"/>
          <w:szCs w:val="22"/>
          <w:lang w:val="en-GB"/>
        </w:rPr>
        <w:fldChar w:fldCharType="end"/>
      </w:r>
      <w:r w:rsidRPr="5937A937">
        <w:rPr>
          <w:rFonts w:asciiTheme="majorHAnsi" w:hAnsiTheme="majorHAnsi" w:cstheme="majorBidi"/>
          <w:sz w:val="22"/>
          <w:szCs w:val="22"/>
          <w:lang w:val="en-GB"/>
        </w:rPr>
        <w:t xml:space="preserve">. </w:t>
      </w:r>
    </w:p>
    <w:p w14:paraId="6704B7F6" w14:textId="511BBF9B" w:rsidR="009E3767" w:rsidRPr="009E3767" w:rsidRDefault="6B49D179" w:rsidP="0078088C">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Advanced biofuels face mayor challenges</w:t>
      </w:r>
      <w:r w:rsidR="00476C39">
        <w:rPr>
          <w:rFonts w:asciiTheme="majorHAnsi" w:hAnsiTheme="majorHAnsi" w:cstheme="majorBidi"/>
          <w:sz w:val="22"/>
          <w:szCs w:val="22"/>
          <w:lang w:val="en-GB"/>
        </w:rPr>
        <w:t xml:space="preserve"> for their widespread adoption in the shipping sector, namely </w:t>
      </w:r>
      <w:r w:rsidRPr="5937A937">
        <w:rPr>
          <w:rFonts w:asciiTheme="majorHAnsi" w:hAnsiTheme="majorHAnsi" w:cstheme="majorBidi"/>
          <w:sz w:val="22"/>
          <w:szCs w:val="22"/>
          <w:lang w:val="en-GB"/>
        </w:rPr>
        <w:t xml:space="preserve"> cost</w:t>
      </w:r>
      <w:r w:rsidR="001E0893">
        <w:rPr>
          <w:rFonts w:asciiTheme="majorHAnsi" w:hAnsiTheme="majorHAnsi" w:cstheme="majorBidi"/>
          <w:sz w:val="22"/>
          <w:szCs w:val="22"/>
          <w:lang w:val="en-GB"/>
        </w:rPr>
        <w:t xml:space="preserve"> and</w:t>
      </w:r>
      <w:r w:rsidR="001A6FD6">
        <w:rPr>
          <w:rFonts w:asciiTheme="majorHAnsi" w:hAnsiTheme="majorHAnsi" w:cstheme="majorBidi"/>
          <w:sz w:val="22"/>
          <w:szCs w:val="22"/>
          <w:lang w:val="en-GB"/>
        </w:rPr>
        <w:t xml:space="preserve"> availability</w:t>
      </w:r>
      <w:r w:rsidRPr="5937A937">
        <w:rPr>
          <w:rFonts w:asciiTheme="majorHAnsi" w:hAnsiTheme="majorHAnsi" w:cstheme="majorBidi"/>
          <w:sz w:val="22"/>
          <w:szCs w:val="22"/>
          <w:lang w:val="en-GB"/>
        </w:rPr>
        <w:t xml:space="preserve">. </w:t>
      </w:r>
      <w:r w:rsidR="001065BD">
        <w:rPr>
          <w:rFonts w:asciiTheme="majorHAnsi" w:hAnsiTheme="majorHAnsi" w:cstheme="majorBidi"/>
          <w:sz w:val="22"/>
          <w:szCs w:val="22"/>
          <w:lang w:val="en-GB"/>
        </w:rPr>
        <w:t>T</w:t>
      </w:r>
      <w:r w:rsidR="27FC103D" w:rsidRPr="5937A937">
        <w:rPr>
          <w:rFonts w:asciiTheme="majorHAnsi" w:hAnsiTheme="majorHAnsi" w:cstheme="majorBidi"/>
          <w:sz w:val="22"/>
          <w:szCs w:val="22"/>
          <w:lang w:val="en-GB"/>
        </w:rPr>
        <w:t>he</w:t>
      </w:r>
      <w:r w:rsidR="003A3931">
        <w:rPr>
          <w:rFonts w:asciiTheme="majorHAnsi" w:hAnsiTheme="majorHAnsi" w:cstheme="majorBidi"/>
          <w:sz w:val="22"/>
          <w:szCs w:val="22"/>
          <w:lang w:val="en-GB"/>
        </w:rPr>
        <w:t xml:space="preserve">ir cost is roughly </w:t>
      </w:r>
      <w:r w:rsidR="003F1488">
        <w:rPr>
          <w:rFonts w:asciiTheme="majorHAnsi" w:hAnsiTheme="majorHAnsi" w:cstheme="majorBidi"/>
          <w:sz w:val="22"/>
          <w:szCs w:val="22"/>
          <w:lang w:val="en-GB"/>
        </w:rPr>
        <w:t>2 to 5 fold</w:t>
      </w:r>
      <w:r w:rsidR="0078088C">
        <w:rPr>
          <w:rFonts w:asciiTheme="majorHAnsi" w:hAnsiTheme="majorHAnsi" w:cstheme="majorBidi"/>
          <w:sz w:val="22"/>
          <w:szCs w:val="22"/>
          <w:lang w:val="en-GB"/>
        </w:rPr>
        <w:t xml:space="preserve"> higher</w:t>
      </w:r>
      <w:r w:rsidR="003A3931">
        <w:rPr>
          <w:rFonts w:asciiTheme="majorHAnsi" w:hAnsiTheme="majorHAnsi" w:cstheme="majorBidi"/>
          <w:sz w:val="22"/>
          <w:szCs w:val="22"/>
          <w:lang w:val="en-GB"/>
        </w:rPr>
        <w:t xml:space="preserve"> </w:t>
      </w:r>
      <w:r w:rsidR="008F2676">
        <w:rPr>
          <w:rFonts w:asciiTheme="majorHAnsi" w:hAnsiTheme="majorHAnsi" w:cstheme="majorBidi"/>
          <w:sz w:val="22"/>
          <w:szCs w:val="22"/>
          <w:lang w:val="en-GB"/>
        </w:rPr>
        <w:t>compared with</w:t>
      </w:r>
      <w:r w:rsidR="00766A25">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crude-based</w:t>
      </w:r>
      <w:r w:rsidR="008F2676">
        <w:rPr>
          <w:rFonts w:asciiTheme="majorHAnsi" w:hAnsiTheme="majorHAnsi" w:cstheme="majorBidi"/>
          <w:sz w:val="22"/>
          <w:szCs w:val="22"/>
          <w:lang w:val="en-GB"/>
        </w:rPr>
        <w:t xml:space="preserve"> fuels</w:t>
      </w:r>
      <w:r w:rsidR="008D46BF">
        <w:rPr>
          <w:rFonts w:asciiTheme="majorHAnsi" w:hAnsiTheme="majorHAnsi" w:cstheme="majorBidi"/>
          <w:sz w:val="22"/>
          <w:szCs w:val="22"/>
          <w:lang w:val="en-GB"/>
        </w:rPr>
        <w:t>.  The second barrier</w:t>
      </w:r>
      <w:r w:rsidR="00B3030C">
        <w:rPr>
          <w:rFonts w:asciiTheme="majorHAnsi" w:hAnsiTheme="majorHAnsi" w:cstheme="majorBidi"/>
          <w:sz w:val="22"/>
          <w:szCs w:val="22"/>
          <w:lang w:val="en-GB"/>
        </w:rPr>
        <w:t xml:space="preserve">, availability, refers to the current lack of </w:t>
      </w:r>
      <w:r w:rsidR="00F57978">
        <w:rPr>
          <w:rFonts w:asciiTheme="majorHAnsi" w:hAnsiTheme="majorHAnsi" w:cstheme="majorBidi"/>
          <w:sz w:val="22"/>
          <w:szCs w:val="22"/>
          <w:lang w:val="en-GB"/>
        </w:rPr>
        <w:t xml:space="preserve">production </w:t>
      </w:r>
      <w:r w:rsidR="00B3030C">
        <w:rPr>
          <w:rFonts w:asciiTheme="majorHAnsi" w:hAnsiTheme="majorHAnsi" w:cstheme="majorBidi"/>
          <w:sz w:val="22"/>
          <w:szCs w:val="22"/>
          <w:lang w:val="en-GB"/>
        </w:rPr>
        <w:t xml:space="preserve">capacity </w:t>
      </w:r>
      <w:r w:rsidR="00774389">
        <w:rPr>
          <w:rFonts w:asciiTheme="majorHAnsi" w:hAnsiTheme="majorHAnsi" w:cstheme="majorBidi"/>
          <w:sz w:val="22"/>
          <w:szCs w:val="22"/>
          <w:lang w:val="en-GB"/>
        </w:rPr>
        <w:t>to meet the global demand</w:t>
      </w:r>
      <w:r w:rsidR="0078088C">
        <w:rPr>
          <w:rFonts w:asciiTheme="majorHAnsi" w:hAnsiTheme="majorHAnsi" w:cstheme="majorBidi"/>
          <w:sz w:val="22"/>
          <w:szCs w:val="22"/>
          <w:lang w:val="en-GB"/>
        </w:rPr>
        <w:t xml:space="preserve"> </w:t>
      </w:r>
      <w:r w:rsidR="0078088C">
        <w:rPr>
          <w:rFonts w:asciiTheme="majorHAnsi" w:hAnsiTheme="majorHAnsi" w:cstheme="majorBidi"/>
          <w:sz w:val="22"/>
          <w:szCs w:val="22"/>
          <w:lang w:val="en-GB"/>
        </w:rPr>
        <w:fldChar w:fldCharType="begin" w:fldLock="1"/>
      </w:r>
      <w:r w:rsidR="000B2E7F">
        <w:rPr>
          <w:rFonts w:asciiTheme="majorHAnsi" w:hAnsiTheme="majorHAnsi" w:cstheme="majorBidi"/>
          <w:sz w:val="22"/>
          <w:szCs w:val="22"/>
          <w:lang w:val="en-GB"/>
        </w:rPr>
        <w:instrText>ADDIN CSL_CITATION {"citationItems":[{"id":"ITEM-1","itemData":{"ISBN":"978-92-9260-150-8","author":[{"dropping-particle":"","family":"IRENA","given":"","non-dropping-particle":"","parse-names":false,"suffix":""}],"id":"ITEM-1","issue":"September","issued":{"date-parts":[["2019"]]},"title":"Navigating to a renewable future: Solutions for decarbonising shipping, Preliminary findings","type":"book"},"uris":["http://www.mendeley.com/documents/?uuid=d2f7c441-120d-444c-be3e-b4b221b94600"]}],"mendeley":{"formattedCitation":"(IRENA, 2019)","plainTextFormattedCitation":"(IRENA, 2019)","previouslyFormattedCitation":"(IRENA, 2019)"},"properties":{"noteIndex":0},"schema":"https://github.com/citation-style-language/schema/raw/master/csl-citation.json"}</w:instrText>
      </w:r>
      <w:r w:rsidR="0078088C">
        <w:rPr>
          <w:rFonts w:asciiTheme="majorHAnsi" w:hAnsiTheme="majorHAnsi" w:cstheme="majorBidi"/>
          <w:sz w:val="22"/>
          <w:szCs w:val="22"/>
          <w:lang w:val="en-GB"/>
        </w:rPr>
        <w:fldChar w:fldCharType="separate"/>
      </w:r>
      <w:r w:rsidR="0078088C" w:rsidRPr="0078088C">
        <w:rPr>
          <w:rFonts w:asciiTheme="majorHAnsi" w:hAnsiTheme="majorHAnsi" w:cstheme="majorBidi"/>
          <w:noProof/>
          <w:sz w:val="22"/>
          <w:szCs w:val="22"/>
          <w:lang w:val="en-GB"/>
        </w:rPr>
        <w:t>(IRENA, 2019)</w:t>
      </w:r>
      <w:r w:rsidR="0078088C">
        <w:rPr>
          <w:rFonts w:asciiTheme="majorHAnsi" w:hAnsiTheme="majorHAnsi" w:cstheme="majorBidi"/>
          <w:sz w:val="22"/>
          <w:szCs w:val="22"/>
          <w:lang w:val="en-GB"/>
        </w:rPr>
        <w:fldChar w:fldCharType="end"/>
      </w:r>
      <w:r w:rsidRPr="5937A937">
        <w:rPr>
          <w:rFonts w:asciiTheme="majorHAnsi" w:hAnsiTheme="majorHAnsi" w:cstheme="majorBidi"/>
          <w:sz w:val="22"/>
          <w:szCs w:val="22"/>
          <w:lang w:val="en-GB"/>
        </w:rPr>
        <w:t xml:space="preserve">. Within this context IDEALFUEL </w:t>
      </w:r>
      <w:r w:rsidR="48908ED0"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EU H2020 project</w:t>
      </w:r>
      <w:r w:rsidR="79A071C5"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was </w:t>
      </w:r>
      <w:r w:rsidR="52135B5F" w:rsidRPr="5937A937">
        <w:rPr>
          <w:rFonts w:asciiTheme="majorHAnsi" w:hAnsiTheme="majorHAnsi" w:cstheme="majorBidi"/>
          <w:sz w:val="22"/>
          <w:szCs w:val="22"/>
          <w:lang w:val="en-GB"/>
        </w:rPr>
        <w:t>conceived</w:t>
      </w:r>
      <w:r w:rsidRPr="5937A937">
        <w:rPr>
          <w:rFonts w:asciiTheme="majorHAnsi" w:hAnsiTheme="majorHAnsi" w:cstheme="majorBidi"/>
          <w:sz w:val="22"/>
          <w:szCs w:val="22"/>
          <w:lang w:val="en-GB"/>
        </w:rPr>
        <w:t xml:space="preserve"> with the </w:t>
      </w:r>
      <w:r w:rsidR="3F34A2E3" w:rsidRPr="5937A937">
        <w:rPr>
          <w:rFonts w:asciiTheme="majorHAnsi" w:hAnsiTheme="majorHAnsi" w:cstheme="majorBidi"/>
          <w:sz w:val="22"/>
          <w:szCs w:val="22"/>
          <w:lang w:val="en-GB"/>
        </w:rPr>
        <w:t>overall objective</w:t>
      </w:r>
      <w:r w:rsidRPr="5937A937">
        <w:rPr>
          <w:rFonts w:asciiTheme="majorHAnsi" w:hAnsiTheme="majorHAnsi" w:cstheme="majorBidi"/>
          <w:sz w:val="22"/>
          <w:szCs w:val="22"/>
          <w:lang w:val="en-GB"/>
        </w:rPr>
        <w:t xml:space="preserve"> of producing an advanced </w:t>
      </w:r>
      <w:r w:rsidR="34D53375" w:rsidRPr="5937A937">
        <w:rPr>
          <w:rFonts w:asciiTheme="majorHAnsi" w:hAnsiTheme="majorHAnsi" w:cstheme="majorBidi"/>
          <w:sz w:val="22"/>
          <w:szCs w:val="22"/>
          <w:lang w:val="en-GB"/>
        </w:rPr>
        <w:t>and cost-competitive biofuel</w:t>
      </w:r>
      <w:r w:rsidRPr="5937A937">
        <w:rPr>
          <w:rFonts w:asciiTheme="majorHAnsi" w:hAnsiTheme="majorHAnsi" w:cstheme="majorBidi"/>
          <w:sz w:val="22"/>
          <w:szCs w:val="22"/>
          <w:lang w:val="en-GB"/>
        </w:rPr>
        <w:t xml:space="preserve"> </w:t>
      </w:r>
      <w:r w:rsidR="4F2EAC33"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B</w:t>
      </w:r>
      <w:r w:rsidR="006B6B24">
        <w:rPr>
          <w:rFonts w:asciiTheme="majorHAnsi" w:hAnsiTheme="majorHAnsi" w:cstheme="majorBidi"/>
          <w:sz w:val="22"/>
          <w:szCs w:val="22"/>
          <w:lang w:val="en-GB"/>
        </w:rPr>
        <w:t>io</w:t>
      </w:r>
      <w:r w:rsidRPr="5937A937">
        <w:rPr>
          <w:rFonts w:asciiTheme="majorHAnsi" w:hAnsiTheme="majorHAnsi" w:cstheme="majorBidi"/>
          <w:sz w:val="22"/>
          <w:szCs w:val="22"/>
          <w:lang w:val="en-GB"/>
        </w:rPr>
        <w:t>-HFO</w:t>
      </w:r>
      <w:r w:rsidR="3DD4DD8C"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out of lignin. With this</w:t>
      </w:r>
      <w:r w:rsidR="30AB67FC" w:rsidRPr="5937A937">
        <w:rPr>
          <w:rFonts w:asciiTheme="majorHAnsi" w:hAnsiTheme="majorHAnsi" w:cstheme="majorBidi"/>
          <w:sz w:val="22"/>
          <w:szCs w:val="22"/>
          <w:lang w:val="en-GB"/>
        </w:rPr>
        <w:t xml:space="preserve"> concept in mind</w:t>
      </w:r>
      <w:r w:rsidRPr="5937A937">
        <w:rPr>
          <w:rFonts w:asciiTheme="majorHAnsi" w:hAnsiTheme="majorHAnsi" w:cstheme="majorBidi"/>
          <w:sz w:val="22"/>
          <w:szCs w:val="22"/>
          <w:lang w:val="en-GB"/>
        </w:rPr>
        <w:t>, a new process has been developed to</w:t>
      </w:r>
      <w:r w:rsidR="00607FF1">
        <w:rPr>
          <w:rFonts w:asciiTheme="majorHAnsi" w:hAnsiTheme="majorHAnsi" w:cstheme="majorBidi"/>
          <w:sz w:val="22"/>
          <w:szCs w:val="22"/>
          <w:lang w:val="en-GB"/>
        </w:rPr>
        <w:t xml:space="preserve"> fractionate lignocellulose and</w:t>
      </w:r>
      <w:r w:rsidRPr="5937A937">
        <w:rPr>
          <w:rFonts w:asciiTheme="majorHAnsi" w:hAnsiTheme="majorHAnsi" w:cstheme="majorBidi"/>
          <w:sz w:val="22"/>
          <w:szCs w:val="22"/>
          <w:lang w:val="en-GB"/>
        </w:rPr>
        <w:t xml:space="preserve"> extract  lignin</w:t>
      </w:r>
      <w:r w:rsidR="7C2CA74B" w:rsidRPr="5937A937">
        <w:rPr>
          <w:rFonts w:asciiTheme="majorHAnsi" w:hAnsiTheme="majorHAnsi" w:cstheme="majorBidi"/>
          <w:sz w:val="22"/>
          <w:szCs w:val="22"/>
          <w:lang w:val="en-GB"/>
        </w:rPr>
        <w:t xml:space="preserve">, suitable for further upgrade into </w:t>
      </w:r>
      <w:r w:rsidR="00AA7CE9">
        <w:rPr>
          <w:rFonts w:asciiTheme="majorHAnsi" w:hAnsiTheme="majorHAnsi" w:cstheme="majorBidi"/>
          <w:sz w:val="22"/>
          <w:szCs w:val="22"/>
          <w:lang w:val="en-GB"/>
        </w:rPr>
        <w:t>a marine fuel</w:t>
      </w:r>
      <w:r w:rsidRPr="5937A937">
        <w:rPr>
          <w:rFonts w:asciiTheme="majorHAnsi" w:hAnsiTheme="majorHAnsi" w:cstheme="majorBidi"/>
          <w:sz w:val="22"/>
          <w:szCs w:val="22"/>
          <w:lang w:val="en-GB"/>
        </w:rPr>
        <w:t>.</w:t>
      </w:r>
      <w:r w:rsidR="01630D40" w:rsidRPr="5937A937">
        <w:rPr>
          <w:rFonts w:asciiTheme="majorHAnsi" w:hAnsiTheme="majorHAnsi" w:cstheme="majorBidi"/>
          <w:sz w:val="22"/>
          <w:szCs w:val="22"/>
          <w:lang w:val="en-GB"/>
        </w:rPr>
        <w:t xml:space="preserve"> Although</w:t>
      </w:r>
      <w:r w:rsidRPr="5937A937">
        <w:rPr>
          <w:rFonts w:asciiTheme="majorHAnsi" w:hAnsiTheme="majorHAnsi" w:cstheme="majorBidi"/>
          <w:sz w:val="22"/>
          <w:szCs w:val="22"/>
          <w:lang w:val="en-GB"/>
        </w:rPr>
        <w:t xml:space="preserve"> lignin</w:t>
      </w:r>
      <w:r w:rsidR="0E5538E4" w:rsidRPr="5937A937">
        <w:rPr>
          <w:rFonts w:asciiTheme="majorHAnsi" w:hAnsiTheme="majorHAnsi" w:cstheme="majorBidi"/>
          <w:sz w:val="22"/>
          <w:szCs w:val="22"/>
          <w:lang w:val="en-GB"/>
        </w:rPr>
        <w:t xml:space="preserve"> is</w:t>
      </w:r>
      <w:r w:rsidRPr="5937A937">
        <w:rPr>
          <w:rFonts w:asciiTheme="majorHAnsi" w:hAnsiTheme="majorHAnsi" w:cstheme="majorBidi"/>
          <w:sz w:val="22"/>
          <w:szCs w:val="22"/>
          <w:lang w:val="en-GB"/>
        </w:rPr>
        <w:t xml:space="preserve"> a</w:t>
      </w:r>
      <w:r w:rsidR="65FA980F" w:rsidRPr="5937A937">
        <w:rPr>
          <w:rFonts w:asciiTheme="majorHAnsi" w:hAnsiTheme="majorHAnsi" w:cstheme="majorBidi"/>
          <w:sz w:val="22"/>
          <w:szCs w:val="22"/>
          <w:lang w:val="en-GB"/>
        </w:rPr>
        <w:t>ccessible</w:t>
      </w:r>
      <w:r w:rsidRPr="5937A937">
        <w:rPr>
          <w:rFonts w:asciiTheme="majorHAnsi" w:hAnsiTheme="majorHAnsi" w:cstheme="majorBidi"/>
          <w:sz w:val="22"/>
          <w:szCs w:val="22"/>
          <w:lang w:val="en-GB"/>
        </w:rPr>
        <w:t xml:space="preserve"> </w:t>
      </w:r>
      <w:r w:rsidR="0BB86068" w:rsidRPr="5937A937">
        <w:rPr>
          <w:rFonts w:asciiTheme="majorHAnsi" w:hAnsiTheme="majorHAnsi" w:cstheme="majorBidi"/>
          <w:sz w:val="22"/>
          <w:szCs w:val="22"/>
          <w:lang w:val="en-GB"/>
        </w:rPr>
        <w:t>in</w:t>
      </w:r>
      <w:r w:rsidRPr="5937A937">
        <w:rPr>
          <w:rFonts w:asciiTheme="majorHAnsi" w:hAnsiTheme="majorHAnsi" w:cstheme="majorBidi"/>
          <w:sz w:val="22"/>
          <w:szCs w:val="22"/>
          <w:lang w:val="en-GB"/>
        </w:rPr>
        <w:t xml:space="preserve"> the market</w:t>
      </w:r>
      <w:r w:rsidR="70FA519E" w:rsidRPr="5937A937">
        <w:rPr>
          <w:rFonts w:asciiTheme="majorHAnsi" w:hAnsiTheme="majorHAnsi" w:cstheme="majorBidi"/>
          <w:sz w:val="22"/>
          <w:szCs w:val="22"/>
          <w:lang w:val="en-GB"/>
        </w:rPr>
        <w:t>,</w:t>
      </w:r>
      <w:r w:rsidRPr="5937A937">
        <w:rPr>
          <w:rFonts w:asciiTheme="majorHAnsi" w:hAnsiTheme="majorHAnsi" w:cstheme="majorBidi"/>
          <w:sz w:val="22"/>
          <w:szCs w:val="22"/>
          <w:lang w:val="en-GB"/>
        </w:rPr>
        <w:t xml:space="preserve"> </w:t>
      </w:r>
      <w:r w:rsidR="02769A0C" w:rsidRPr="5937A937">
        <w:rPr>
          <w:rFonts w:asciiTheme="majorHAnsi" w:hAnsiTheme="majorHAnsi" w:cstheme="majorBidi"/>
          <w:sz w:val="22"/>
          <w:szCs w:val="22"/>
          <w:lang w:val="en-GB"/>
        </w:rPr>
        <w:t xml:space="preserve">the </w:t>
      </w:r>
      <w:r w:rsidR="781E5C88" w:rsidRPr="5937A937">
        <w:rPr>
          <w:rFonts w:asciiTheme="majorHAnsi" w:hAnsiTheme="majorHAnsi" w:cstheme="majorBidi"/>
          <w:sz w:val="22"/>
          <w:szCs w:val="22"/>
          <w:lang w:val="en-GB"/>
        </w:rPr>
        <w:t>chemical</w:t>
      </w:r>
      <w:r w:rsidR="02769A0C" w:rsidRPr="5937A937">
        <w:rPr>
          <w:rFonts w:asciiTheme="majorHAnsi" w:hAnsiTheme="majorHAnsi" w:cstheme="majorBidi"/>
          <w:sz w:val="22"/>
          <w:szCs w:val="22"/>
          <w:lang w:val="en-GB"/>
        </w:rPr>
        <w:t xml:space="preserve"> </w:t>
      </w:r>
      <w:r w:rsidR="4B67AE91" w:rsidRPr="5937A937">
        <w:rPr>
          <w:rFonts w:asciiTheme="majorHAnsi" w:hAnsiTheme="majorHAnsi" w:cstheme="majorBidi"/>
          <w:sz w:val="22"/>
          <w:szCs w:val="22"/>
          <w:lang w:val="en-GB"/>
        </w:rPr>
        <w:t>characteristic</w:t>
      </w:r>
      <w:r w:rsidR="02769A0C" w:rsidRPr="5937A937">
        <w:rPr>
          <w:rFonts w:asciiTheme="majorHAnsi" w:hAnsiTheme="majorHAnsi" w:cstheme="majorBidi"/>
          <w:sz w:val="22"/>
          <w:szCs w:val="22"/>
          <w:lang w:val="en-GB"/>
        </w:rPr>
        <w:t xml:space="preserve"> </w:t>
      </w:r>
      <w:r w:rsidRPr="5937A937">
        <w:rPr>
          <w:rFonts w:asciiTheme="majorHAnsi" w:hAnsiTheme="majorHAnsi" w:cstheme="majorBidi"/>
          <w:sz w:val="22"/>
          <w:szCs w:val="22"/>
          <w:lang w:val="en-GB"/>
        </w:rPr>
        <w:t xml:space="preserve">do not meet </w:t>
      </w:r>
      <w:r w:rsidR="37951E97" w:rsidRPr="5937A937">
        <w:rPr>
          <w:rFonts w:asciiTheme="majorHAnsi" w:hAnsiTheme="majorHAnsi" w:cstheme="majorBidi"/>
          <w:sz w:val="22"/>
          <w:szCs w:val="22"/>
          <w:lang w:val="en-GB"/>
        </w:rPr>
        <w:t xml:space="preserve">the necessary requirements </w:t>
      </w:r>
      <w:r w:rsidR="5F4C05FE" w:rsidRPr="5937A937">
        <w:rPr>
          <w:rFonts w:asciiTheme="majorHAnsi" w:hAnsiTheme="majorHAnsi" w:cstheme="majorBidi"/>
          <w:sz w:val="22"/>
          <w:szCs w:val="22"/>
          <w:lang w:val="en-GB"/>
        </w:rPr>
        <w:t>for</w:t>
      </w:r>
      <w:r w:rsidR="37951E97" w:rsidRPr="5937A937">
        <w:rPr>
          <w:rFonts w:asciiTheme="majorHAnsi" w:hAnsiTheme="majorHAnsi" w:cstheme="majorBidi"/>
          <w:sz w:val="22"/>
          <w:szCs w:val="22"/>
          <w:lang w:val="en-GB"/>
        </w:rPr>
        <w:t xml:space="preserve"> </w:t>
      </w:r>
      <w:r w:rsidR="001517EB">
        <w:rPr>
          <w:rFonts w:asciiTheme="majorHAnsi" w:hAnsiTheme="majorHAnsi" w:cstheme="majorBidi"/>
          <w:sz w:val="22"/>
          <w:szCs w:val="22"/>
          <w:lang w:val="en-GB"/>
        </w:rPr>
        <w:t xml:space="preserve">the </w:t>
      </w:r>
      <w:r w:rsidR="37951E97" w:rsidRPr="5937A937">
        <w:rPr>
          <w:rFonts w:asciiTheme="majorHAnsi" w:hAnsiTheme="majorHAnsi" w:cstheme="majorBidi"/>
          <w:sz w:val="22"/>
          <w:szCs w:val="22"/>
          <w:lang w:val="en-GB"/>
        </w:rPr>
        <w:t>efficient produc</w:t>
      </w:r>
      <w:r w:rsidR="1C3CB778" w:rsidRPr="5937A937">
        <w:rPr>
          <w:rFonts w:asciiTheme="majorHAnsi" w:hAnsiTheme="majorHAnsi" w:cstheme="majorBidi"/>
          <w:sz w:val="22"/>
          <w:szCs w:val="22"/>
          <w:lang w:val="en-GB"/>
        </w:rPr>
        <w:t>tion of</w:t>
      </w:r>
      <w:r w:rsidR="37951E97" w:rsidRPr="5937A937">
        <w:rPr>
          <w:rFonts w:asciiTheme="majorHAnsi" w:hAnsiTheme="majorHAnsi" w:cstheme="majorBidi"/>
          <w:sz w:val="22"/>
          <w:szCs w:val="22"/>
          <w:lang w:val="en-GB"/>
        </w:rPr>
        <w:t xml:space="preserve"> the </w:t>
      </w:r>
      <w:r w:rsidR="747BB9F3" w:rsidRPr="5937A937">
        <w:rPr>
          <w:rFonts w:asciiTheme="majorHAnsi" w:hAnsiTheme="majorHAnsi" w:cstheme="majorBidi"/>
          <w:sz w:val="22"/>
          <w:szCs w:val="22"/>
          <w:lang w:val="en-GB"/>
        </w:rPr>
        <w:t>end product</w:t>
      </w:r>
      <w:r w:rsidRPr="5937A937">
        <w:rPr>
          <w:rFonts w:asciiTheme="majorHAnsi" w:hAnsiTheme="majorHAnsi" w:cstheme="majorBidi"/>
          <w:sz w:val="22"/>
          <w:szCs w:val="22"/>
          <w:lang w:val="en-GB"/>
        </w:rPr>
        <w:t>.</w:t>
      </w:r>
      <w:r w:rsidR="578EEC06" w:rsidRPr="5937A937">
        <w:rPr>
          <w:rFonts w:asciiTheme="majorHAnsi" w:hAnsiTheme="majorHAnsi" w:cstheme="majorBidi"/>
          <w:sz w:val="22"/>
          <w:szCs w:val="22"/>
          <w:lang w:val="en-GB"/>
        </w:rPr>
        <w:t xml:space="preserve"> Moreover, </w:t>
      </w:r>
      <w:r w:rsidR="6A1FAC1E" w:rsidRPr="5937A937">
        <w:rPr>
          <w:rFonts w:asciiTheme="majorHAnsi" w:hAnsiTheme="majorHAnsi" w:cstheme="majorBidi"/>
          <w:sz w:val="22"/>
          <w:szCs w:val="22"/>
          <w:lang w:val="en-GB"/>
        </w:rPr>
        <w:t xml:space="preserve">the use of </w:t>
      </w:r>
      <w:r w:rsidR="489FACF0" w:rsidRPr="5937A937">
        <w:rPr>
          <w:rFonts w:asciiTheme="majorHAnsi" w:hAnsiTheme="majorHAnsi" w:cstheme="majorBidi"/>
          <w:sz w:val="22"/>
          <w:szCs w:val="22"/>
          <w:lang w:val="en-GB"/>
        </w:rPr>
        <w:t xml:space="preserve">the </w:t>
      </w:r>
      <w:r w:rsidR="6A1FAC1E" w:rsidRPr="5937A937">
        <w:rPr>
          <w:rFonts w:asciiTheme="majorHAnsi" w:hAnsiTheme="majorHAnsi" w:cstheme="majorBidi"/>
          <w:sz w:val="22"/>
          <w:szCs w:val="22"/>
          <w:lang w:val="en-GB"/>
        </w:rPr>
        <w:t>a</w:t>
      </w:r>
      <w:r w:rsidR="3C9AC7C7" w:rsidRPr="5937A937">
        <w:rPr>
          <w:rFonts w:asciiTheme="majorHAnsi" w:hAnsiTheme="majorHAnsi" w:cstheme="majorBidi"/>
          <w:sz w:val="22"/>
          <w:szCs w:val="22"/>
          <w:lang w:val="en-GB"/>
        </w:rPr>
        <w:t xml:space="preserve">vailable </w:t>
      </w:r>
      <w:r w:rsidR="6A1FAC1E" w:rsidRPr="5937A937">
        <w:rPr>
          <w:rFonts w:asciiTheme="majorHAnsi" w:hAnsiTheme="majorHAnsi" w:cstheme="majorBidi"/>
          <w:sz w:val="22"/>
          <w:szCs w:val="22"/>
          <w:lang w:val="en-GB"/>
        </w:rPr>
        <w:t xml:space="preserve">residual </w:t>
      </w:r>
      <w:r w:rsidR="69DCA76B" w:rsidRPr="5937A937">
        <w:rPr>
          <w:rFonts w:asciiTheme="majorHAnsi" w:hAnsiTheme="majorHAnsi" w:cstheme="majorBidi"/>
          <w:sz w:val="22"/>
          <w:szCs w:val="22"/>
          <w:lang w:val="en-GB"/>
        </w:rPr>
        <w:t xml:space="preserve">stream of </w:t>
      </w:r>
      <w:r w:rsidR="008438ED" w:rsidRPr="5937A937">
        <w:rPr>
          <w:rFonts w:asciiTheme="majorHAnsi" w:hAnsiTheme="majorHAnsi" w:cstheme="majorBidi"/>
          <w:sz w:val="22"/>
          <w:szCs w:val="22"/>
          <w:lang w:val="en-GB"/>
        </w:rPr>
        <w:t>l</w:t>
      </w:r>
      <w:r w:rsidR="008438ED">
        <w:rPr>
          <w:rFonts w:asciiTheme="majorHAnsi" w:hAnsiTheme="majorHAnsi" w:cstheme="majorBidi"/>
          <w:sz w:val="22"/>
          <w:szCs w:val="22"/>
          <w:lang w:val="en-GB"/>
        </w:rPr>
        <w:t>ignocellulosic biomass</w:t>
      </w:r>
      <w:r w:rsidR="00AD827F" w:rsidRPr="5937A937">
        <w:rPr>
          <w:rFonts w:asciiTheme="majorHAnsi" w:hAnsiTheme="majorHAnsi" w:cstheme="majorBidi"/>
          <w:sz w:val="22"/>
          <w:szCs w:val="22"/>
          <w:lang w:val="en-GB"/>
        </w:rPr>
        <w:t xml:space="preserve"> </w:t>
      </w:r>
      <w:r w:rsidR="7EDAF1BC" w:rsidRPr="5937A937">
        <w:rPr>
          <w:rFonts w:asciiTheme="majorHAnsi" w:hAnsiTheme="majorHAnsi" w:cstheme="majorBidi"/>
          <w:sz w:val="22"/>
          <w:szCs w:val="22"/>
          <w:lang w:val="en-GB"/>
        </w:rPr>
        <w:t xml:space="preserve">is a way to cope with the circular economy while adding value to the </w:t>
      </w:r>
      <w:r w:rsidR="38028723" w:rsidRPr="5937A937">
        <w:rPr>
          <w:rFonts w:asciiTheme="majorHAnsi" w:hAnsiTheme="majorHAnsi" w:cstheme="majorBidi"/>
          <w:sz w:val="22"/>
          <w:szCs w:val="22"/>
          <w:lang w:val="en-GB"/>
        </w:rPr>
        <w:t>whole project</w:t>
      </w:r>
      <w:r w:rsidR="02D0D2C2" w:rsidRPr="5937A937">
        <w:rPr>
          <w:rFonts w:asciiTheme="majorHAnsi" w:hAnsiTheme="majorHAnsi" w:cstheme="majorBidi"/>
          <w:sz w:val="22"/>
          <w:szCs w:val="22"/>
          <w:lang w:val="en-GB"/>
        </w:rPr>
        <w:t>.</w:t>
      </w:r>
    </w:p>
    <w:p w14:paraId="76508888" w14:textId="5D013F98" w:rsidR="362A3EC5" w:rsidRDefault="362A3EC5" w:rsidP="362A3EC5">
      <w:pPr>
        <w:spacing w:after="120" w:line="360" w:lineRule="auto"/>
        <w:rPr>
          <w:szCs w:val="21"/>
          <w:lang w:val="en-GB"/>
        </w:rPr>
      </w:pPr>
    </w:p>
    <w:p w14:paraId="38FCA6FA" w14:textId="44E3563A" w:rsidR="004C2A72" w:rsidRDefault="18F1886A" w:rsidP="005D6854">
      <w:pPr>
        <w:pStyle w:val="Heading2"/>
      </w:pPr>
      <w:bookmarkStart w:id="8" w:name="_Toc84019443"/>
      <w:r>
        <w:lastRenderedPageBreak/>
        <w:t>Objective</w:t>
      </w:r>
      <w:bookmarkEnd w:id="8"/>
      <w:r w:rsidR="62407F5C">
        <w:t xml:space="preserve"> </w:t>
      </w:r>
    </w:p>
    <w:p w14:paraId="402980F8" w14:textId="4A18490E" w:rsidR="362A3EC5" w:rsidRDefault="362A3EC5" w:rsidP="362A3EC5">
      <w:pPr>
        <w:spacing w:after="120" w:line="360" w:lineRule="auto"/>
        <w:rPr>
          <w:rFonts w:asciiTheme="majorHAnsi" w:hAnsiTheme="majorHAnsi" w:cstheme="majorBidi"/>
          <w:sz w:val="22"/>
          <w:szCs w:val="22"/>
        </w:rPr>
      </w:pPr>
    </w:p>
    <w:p w14:paraId="52ED480B" w14:textId="77777777" w:rsidR="00FC797D" w:rsidRDefault="3E1F9147" w:rsidP="00C66DA5">
      <w:pPr>
        <w:spacing w:after="120" w:line="360" w:lineRule="auto"/>
        <w:ind w:firstLine="720"/>
        <w:rPr>
          <w:rFonts w:asciiTheme="majorHAnsi" w:hAnsiTheme="majorHAnsi" w:cstheme="majorBidi"/>
          <w:sz w:val="22"/>
          <w:szCs w:val="22"/>
        </w:rPr>
      </w:pPr>
      <w:r w:rsidRPr="362A3EC5">
        <w:rPr>
          <w:rFonts w:asciiTheme="majorHAnsi" w:hAnsiTheme="majorHAnsi" w:cstheme="majorBidi"/>
          <w:sz w:val="22"/>
          <w:szCs w:val="22"/>
        </w:rPr>
        <w:t xml:space="preserve">The objective of the present report is to provide valuable information on the </w:t>
      </w:r>
      <w:r w:rsidR="29BAFE86" w:rsidRPr="362A3EC5">
        <w:rPr>
          <w:rFonts w:asciiTheme="majorHAnsi" w:hAnsiTheme="majorHAnsi" w:cstheme="majorBidi"/>
          <w:sz w:val="22"/>
          <w:szCs w:val="22"/>
        </w:rPr>
        <w:t>market perspective and, therefore, support the best process design and R&amp;D strategy.</w:t>
      </w:r>
      <w:r w:rsidR="66A594DF" w:rsidRPr="362A3EC5">
        <w:rPr>
          <w:rFonts w:asciiTheme="majorHAnsi" w:hAnsiTheme="majorHAnsi" w:cstheme="majorBidi"/>
          <w:sz w:val="22"/>
          <w:szCs w:val="22"/>
        </w:rPr>
        <w:t xml:space="preserve"> </w:t>
      </w:r>
    </w:p>
    <w:p w14:paraId="3D70CD8C" w14:textId="72AE3E7E" w:rsidR="3E1F9147" w:rsidRDefault="40847561" w:rsidP="00C66DA5">
      <w:pPr>
        <w:spacing w:after="120" w:line="360" w:lineRule="auto"/>
        <w:ind w:firstLine="720"/>
        <w:rPr>
          <w:rFonts w:asciiTheme="majorHAnsi" w:hAnsiTheme="majorHAnsi" w:cstheme="majorBidi"/>
          <w:sz w:val="22"/>
          <w:szCs w:val="22"/>
        </w:rPr>
      </w:pPr>
      <w:r w:rsidRPr="362A3EC5">
        <w:rPr>
          <w:rFonts w:asciiTheme="majorHAnsi" w:hAnsiTheme="majorHAnsi" w:cstheme="majorBidi"/>
          <w:sz w:val="22"/>
          <w:szCs w:val="22"/>
        </w:rPr>
        <w:t xml:space="preserve">This report presents </w:t>
      </w:r>
      <w:r w:rsidR="51EBDBCC" w:rsidRPr="362A3EC5">
        <w:rPr>
          <w:rFonts w:asciiTheme="majorHAnsi" w:hAnsiTheme="majorHAnsi" w:cstheme="majorBidi"/>
          <w:sz w:val="22"/>
          <w:szCs w:val="22"/>
        </w:rPr>
        <w:t xml:space="preserve">the size and trends in our current market, legislatives instruments, potential </w:t>
      </w:r>
      <w:r w:rsidR="4A256A03" w:rsidRPr="362A3EC5">
        <w:rPr>
          <w:rFonts w:asciiTheme="majorHAnsi" w:hAnsiTheme="majorHAnsi" w:cstheme="majorBidi"/>
          <w:sz w:val="22"/>
          <w:szCs w:val="22"/>
        </w:rPr>
        <w:t>market competitors</w:t>
      </w:r>
      <w:r w:rsidR="51EBDBCC" w:rsidRPr="362A3EC5">
        <w:rPr>
          <w:rFonts w:asciiTheme="majorHAnsi" w:hAnsiTheme="majorHAnsi" w:cstheme="majorBidi"/>
          <w:sz w:val="22"/>
          <w:szCs w:val="22"/>
        </w:rPr>
        <w:t xml:space="preserve"> in the </w:t>
      </w:r>
      <w:r w:rsidR="049CECAA" w:rsidRPr="362A3EC5">
        <w:rPr>
          <w:rFonts w:asciiTheme="majorHAnsi" w:hAnsiTheme="majorHAnsi" w:cstheme="majorBidi"/>
          <w:sz w:val="22"/>
          <w:szCs w:val="22"/>
        </w:rPr>
        <w:t>near</w:t>
      </w:r>
      <w:r w:rsidR="51EBDBCC" w:rsidRPr="362A3EC5">
        <w:rPr>
          <w:rFonts w:asciiTheme="majorHAnsi" w:hAnsiTheme="majorHAnsi" w:cstheme="majorBidi"/>
          <w:sz w:val="22"/>
          <w:szCs w:val="22"/>
        </w:rPr>
        <w:t xml:space="preserve"> and long t</w:t>
      </w:r>
      <w:r w:rsidR="57B264DF" w:rsidRPr="362A3EC5">
        <w:rPr>
          <w:rFonts w:asciiTheme="majorHAnsi" w:hAnsiTheme="majorHAnsi" w:cstheme="majorBidi"/>
          <w:sz w:val="22"/>
          <w:szCs w:val="22"/>
        </w:rPr>
        <w:t>erm</w:t>
      </w:r>
      <w:r w:rsidR="19747EB3" w:rsidRPr="362A3EC5">
        <w:rPr>
          <w:rFonts w:asciiTheme="majorHAnsi" w:hAnsiTheme="majorHAnsi" w:cstheme="majorBidi"/>
          <w:sz w:val="22"/>
          <w:szCs w:val="22"/>
        </w:rPr>
        <w:t xml:space="preserve">, </w:t>
      </w:r>
      <w:r w:rsidR="51EBDBCC" w:rsidRPr="362A3EC5">
        <w:rPr>
          <w:rFonts w:asciiTheme="majorHAnsi" w:hAnsiTheme="majorHAnsi" w:cstheme="majorBidi"/>
          <w:sz w:val="22"/>
          <w:szCs w:val="22"/>
        </w:rPr>
        <w:t xml:space="preserve">opportunities </w:t>
      </w:r>
      <w:r w:rsidR="66DEF4D1" w:rsidRPr="362A3EC5">
        <w:rPr>
          <w:rFonts w:asciiTheme="majorHAnsi" w:hAnsiTheme="majorHAnsi" w:cstheme="majorBidi"/>
          <w:sz w:val="22"/>
          <w:szCs w:val="22"/>
        </w:rPr>
        <w:t>and</w:t>
      </w:r>
      <w:r w:rsidR="51EBDBCC" w:rsidRPr="362A3EC5">
        <w:rPr>
          <w:rFonts w:asciiTheme="majorHAnsi" w:hAnsiTheme="majorHAnsi" w:cstheme="majorBidi"/>
          <w:sz w:val="22"/>
          <w:szCs w:val="22"/>
        </w:rPr>
        <w:t xml:space="preserve"> constrains. </w:t>
      </w:r>
      <w:r w:rsidR="40852536" w:rsidRPr="362A3EC5">
        <w:rPr>
          <w:rFonts w:asciiTheme="majorHAnsi" w:hAnsiTheme="majorHAnsi" w:cstheme="majorBidi"/>
          <w:sz w:val="22"/>
          <w:szCs w:val="22"/>
        </w:rPr>
        <w:t>I</w:t>
      </w:r>
      <w:r w:rsidR="694E4AB8" w:rsidRPr="362A3EC5">
        <w:rPr>
          <w:rFonts w:asciiTheme="majorHAnsi" w:hAnsiTheme="majorHAnsi" w:cstheme="majorBidi"/>
          <w:sz w:val="22"/>
          <w:szCs w:val="22"/>
        </w:rPr>
        <w:t>t is expected</w:t>
      </w:r>
      <w:r w:rsidR="2BDB663F" w:rsidRPr="362A3EC5">
        <w:rPr>
          <w:rFonts w:asciiTheme="majorHAnsi" w:hAnsiTheme="majorHAnsi" w:cstheme="majorBidi"/>
          <w:sz w:val="22"/>
          <w:szCs w:val="22"/>
        </w:rPr>
        <w:t xml:space="preserve"> that, by the end of this report,</w:t>
      </w:r>
      <w:r w:rsidR="694E4AB8" w:rsidRPr="362A3EC5">
        <w:rPr>
          <w:rFonts w:asciiTheme="majorHAnsi" w:hAnsiTheme="majorHAnsi" w:cstheme="majorBidi"/>
          <w:sz w:val="22"/>
          <w:szCs w:val="22"/>
        </w:rPr>
        <w:t xml:space="preserve"> </w:t>
      </w:r>
      <w:r w:rsidRPr="362A3EC5">
        <w:rPr>
          <w:rFonts w:asciiTheme="majorHAnsi" w:hAnsiTheme="majorHAnsi" w:cstheme="majorBidi"/>
          <w:sz w:val="22"/>
          <w:szCs w:val="22"/>
        </w:rPr>
        <w:t xml:space="preserve">a clear overview of the market </w:t>
      </w:r>
      <w:r w:rsidR="645EE142" w:rsidRPr="362A3EC5">
        <w:rPr>
          <w:rFonts w:asciiTheme="majorHAnsi" w:hAnsiTheme="majorHAnsi" w:cstheme="majorBidi"/>
          <w:sz w:val="22"/>
          <w:szCs w:val="22"/>
        </w:rPr>
        <w:t xml:space="preserve">is provided, </w:t>
      </w:r>
      <w:r w:rsidR="0E9F33B3" w:rsidRPr="362A3EC5">
        <w:rPr>
          <w:rFonts w:asciiTheme="majorHAnsi" w:hAnsiTheme="majorHAnsi" w:cstheme="majorBidi"/>
          <w:sz w:val="22"/>
          <w:szCs w:val="22"/>
        </w:rPr>
        <w:t xml:space="preserve">identifying </w:t>
      </w:r>
      <w:r w:rsidR="61247983" w:rsidRPr="362A3EC5">
        <w:rPr>
          <w:rFonts w:asciiTheme="majorHAnsi" w:hAnsiTheme="majorHAnsi" w:cstheme="majorBidi"/>
          <w:sz w:val="22"/>
          <w:szCs w:val="22"/>
        </w:rPr>
        <w:t xml:space="preserve">a </w:t>
      </w:r>
      <w:r w:rsidRPr="362A3EC5">
        <w:rPr>
          <w:rFonts w:asciiTheme="majorHAnsi" w:hAnsiTheme="majorHAnsi" w:cstheme="majorBidi"/>
          <w:sz w:val="22"/>
          <w:szCs w:val="22"/>
        </w:rPr>
        <w:t>po</w:t>
      </w:r>
      <w:r w:rsidR="27A7257C" w:rsidRPr="362A3EC5">
        <w:rPr>
          <w:rFonts w:asciiTheme="majorHAnsi" w:hAnsiTheme="majorHAnsi" w:cstheme="majorBidi"/>
          <w:sz w:val="22"/>
          <w:szCs w:val="22"/>
        </w:rPr>
        <w:t>tential</w:t>
      </w:r>
      <w:r w:rsidRPr="362A3EC5">
        <w:rPr>
          <w:rFonts w:asciiTheme="majorHAnsi" w:hAnsiTheme="majorHAnsi" w:cstheme="majorBidi"/>
          <w:sz w:val="22"/>
          <w:szCs w:val="22"/>
        </w:rPr>
        <w:t xml:space="preserve"> </w:t>
      </w:r>
      <w:r w:rsidR="5525B22E" w:rsidRPr="362A3EC5">
        <w:rPr>
          <w:rFonts w:asciiTheme="majorHAnsi" w:hAnsiTheme="majorHAnsi" w:cstheme="majorBidi"/>
          <w:sz w:val="22"/>
          <w:szCs w:val="22"/>
        </w:rPr>
        <w:t xml:space="preserve">spot for </w:t>
      </w:r>
      <w:r w:rsidRPr="362A3EC5">
        <w:rPr>
          <w:rFonts w:asciiTheme="majorHAnsi" w:hAnsiTheme="majorHAnsi" w:cstheme="majorBidi"/>
          <w:sz w:val="22"/>
          <w:szCs w:val="22"/>
        </w:rPr>
        <w:t xml:space="preserve">BIO-HFO within an European </w:t>
      </w:r>
      <w:r w:rsidR="3958035D" w:rsidRPr="362A3EC5">
        <w:rPr>
          <w:rFonts w:asciiTheme="majorHAnsi" w:hAnsiTheme="majorHAnsi" w:cstheme="majorBidi"/>
          <w:sz w:val="22"/>
          <w:szCs w:val="22"/>
        </w:rPr>
        <w:t xml:space="preserve">market </w:t>
      </w:r>
      <w:r w:rsidRPr="362A3EC5">
        <w:rPr>
          <w:rFonts w:asciiTheme="majorHAnsi" w:hAnsiTheme="majorHAnsi" w:cstheme="majorBidi"/>
          <w:sz w:val="22"/>
          <w:szCs w:val="22"/>
        </w:rPr>
        <w:t xml:space="preserve">context. </w:t>
      </w:r>
    </w:p>
    <w:p w14:paraId="155EACA2" w14:textId="77777777" w:rsidR="00295F62" w:rsidRDefault="00295F62" w:rsidP="362A3EC5">
      <w:pPr>
        <w:spacing w:after="120" w:line="360" w:lineRule="auto"/>
        <w:ind w:firstLine="444"/>
        <w:rPr>
          <w:rFonts w:asciiTheme="majorHAnsi" w:hAnsiTheme="majorHAnsi" w:cstheme="majorBidi"/>
          <w:sz w:val="22"/>
          <w:szCs w:val="22"/>
        </w:rPr>
      </w:pPr>
    </w:p>
    <w:p w14:paraId="25478F97" w14:textId="08799F97" w:rsidR="004C2A72" w:rsidRDefault="18F1886A" w:rsidP="005D6854">
      <w:pPr>
        <w:pStyle w:val="Heading2"/>
      </w:pPr>
      <w:bookmarkStart w:id="9" w:name="_Toc84019444"/>
      <w:r>
        <w:t>Outline of Report</w:t>
      </w:r>
      <w:bookmarkEnd w:id="9"/>
    </w:p>
    <w:p w14:paraId="14C3595A" w14:textId="1F191261" w:rsidR="004C2A72" w:rsidRPr="00295F62" w:rsidRDefault="004C2A72" w:rsidP="00C66DA5">
      <w:pPr>
        <w:spacing w:after="120" w:line="360" w:lineRule="auto"/>
        <w:ind w:left="13"/>
        <w:rPr>
          <w:sz w:val="22"/>
          <w:szCs w:val="22"/>
          <w:lang w:val="en-GB"/>
        </w:rPr>
      </w:pPr>
    </w:p>
    <w:p w14:paraId="477E6973" w14:textId="5F47164A" w:rsidR="00FA4F70" w:rsidRDefault="00C66DA5" w:rsidP="00E65064">
      <w:pPr>
        <w:spacing w:after="120" w:line="360" w:lineRule="auto"/>
        <w:rPr>
          <w:lang w:val="en-GB"/>
        </w:rPr>
        <w:sectPr w:rsidR="00FA4F70" w:rsidSect="00095ECB">
          <w:headerReference w:type="default" r:id="rId13"/>
          <w:footerReference w:type="default" r:id="rId14"/>
          <w:footerReference w:type="first" r:id="rId15"/>
          <w:pgSz w:w="11906" w:h="16838"/>
          <w:pgMar w:top="1418" w:right="1134" w:bottom="1418" w:left="1134" w:header="709" w:footer="709" w:gutter="0"/>
          <w:pgNumType w:start="1"/>
          <w:cols w:space="708"/>
          <w:titlePg/>
          <w:docGrid w:linePitch="360"/>
        </w:sectPr>
      </w:pPr>
      <w:r>
        <w:rPr>
          <w:lang w:val="en-GB"/>
        </w:rPr>
        <w:tab/>
      </w:r>
      <w:r w:rsidR="00282551">
        <w:rPr>
          <w:lang w:val="en-GB"/>
        </w:rPr>
        <w:t xml:space="preserve">The report is structured as follows. </w:t>
      </w:r>
      <w:r w:rsidR="001168F0" w:rsidRPr="0040379B">
        <w:rPr>
          <w:sz w:val="22"/>
          <w:szCs w:val="22"/>
          <w:lang w:val="en-GB"/>
        </w:rPr>
        <w:t xml:space="preserve">In section 2 </w:t>
      </w:r>
      <w:r w:rsidR="00884BDE">
        <w:rPr>
          <w:sz w:val="22"/>
          <w:szCs w:val="22"/>
          <w:lang w:val="en-GB"/>
        </w:rPr>
        <w:t xml:space="preserve">the </w:t>
      </w:r>
      <w:r w:rsidR="003E03DC" w:rsidRPr="0040379B">
        <w:rPr>
          <w:sz w:val="22"/>
          <w:szCs w:val="22"/>
          <w:lang w:val="en-GB"/>
        </w:rPr>
        <w:t xml:space="preserve">European </w:t>
      </w:r>
      <w:r w:rsidR="00766A25" w:rsidRPr="0040379B">
        <w:rPr>
          <w:sz w:val="22"/>
          <w:szCs w:val="22"/>
          <w:lang w:val="en-GB"/>
        </w:rPr>
        <w:t>legislation</w:t>
      </w:r>
      <w:r w:rsidR="001168F0" w:rsidRPr="0040379B">
        <w:rPr>
          <w:sz w:val="22"/>
          <w:szCs w:val="22"/>
          <w:lang w:val="en-GB"/>
        </w:rPr>
        <w:t xml:space="preserve"> </w:t>
      </w:r>
      <w:r w:rsidR="00884BDE">
        <w:rPr>
          <w:sz w:val="22"/>
          <w:szCs w:val="22"/>
          <w:lang w:val="en-GB"/>
        </w:rPr>
        <w:t>which</w:t>
      </w:r>
      <w:r w:rsidR="001168F0" w:rsidRPr="0040379B">
        <w:rPr>
          <w:sz w:val="22"/>
          <w:szCs w:val="22"/>
          <w:lang w:val="en-GB"/>
        </w:rPr>
        <w:t xml:space="preserve"> </w:t>
      </w:r>
      <w:r w:rsidR="00FC02B3">
        <w:rPr>
          <w:sz w:val="22"/>
          <w:szCs w:val="22"/>
          <w:lang w:val="en-GB"/>
        </w:rPr>
        <w:t>might</w:t>
      </w:r>
      <w:r w:rsidR="001168F0" w:rsidRPr="0040379B">
        <w:rPr>
          <w:sz w:val="22"/>
          <w:szCs w:val="22"/>
          <w:lang w:val="en-GB"/>
        </w:rPr>
        <w:t xml:space="preserve"> directly or indirectly affect the </w:t>
      </w:r>
      <w:r w:rsidR="000336AA" w:rsidRPr="0040379B">
        <w:rPr>
          <w:sz w:val="22"/>
          <w:szCs w:val="22"/>
          <w:lang w:val="en-GB"/>
        </w:rPr>
        <w:t>market</w:t>
      </w:r>
      <w:r w:rsidR="001168F0" w:rsidRPr="0040379B">
        <w:rPr>
          <w:sz w:val="22"/>
          <w:szCs w:val="22"/>
          <w:lang w:val="en-GB"/>
        </w:rPr>
        <w:t xml:space="preserve"> for </w:t>
      </w:r>
      <w:r w:rsidR="000336AA" w:rsidRPr="0040379B">
        <w:rPr>
          <w:sz w:val="22"/>
          <w:szCs w:val="22"/>
          <w:lang w:val="en-GB"/>
        </w:rPr>
        <w:t>the Bio-HFO</w:t>
      </w:r>
      <w:r w:rsidR="00884BDE" w:rsidRPr="00884BDE">
        <w:rPr>
          <w:sz w:val="22"/>
          <w:szCs w:val="22"/>
          <w:lang w:val="en-GB"/>
        </w:rPr>
        <w:t xml:space="preserve"> </w:t>
      </w:r>
      <w:r w:rsidR="00884BDE">
        <w:rPr>
          <w:sz w:val="22"/>
          <w:szCs w:val="22"/>
          <w:lang w:val="en-GB"/>
        </w:rPr>
        <w:t xml:space="preserve">is </w:t>
      </w:r>
      <w:r w:rsidR="00884BDE" w:rsidRPr="0040379B">
        <w:rPr>
          <w:sz w:val="22"/>
          <w:szCs w:val="22"/>
          <w:lang w:val="en-GB"/>
        </w:rPr>
        <w:t xml:space="preserve"> presented</w:t>
      </w:r>
      <w:r w:rsidR="000336AA" w:rsidRPr="0040379B">
        <w:rPr>
          <w:sz w:val="22"/>
          <w:szCs w:val="22"/>
          <w:lang w:val="en-GB"/>
        </w:rPr>
        <w:t xml:space="preserve">. </w:t>
      </w:r>
      <w:r w:rsidR="001168F0" w:rsidRPr="0040379B">
        <w:rPr>
          <w:sz w:val="22"/>
          <w:szCs w:val="22"/>
          <w:lang w:val="en-GB"/>
        </w:rPr>
        <w:t xml:space="preserve"> </w:t>
      </w:r>
      <w:r w:rsidR="003E03DC" w:rsidRPr="0040379B">
        <w:rPr>
          <w:sz w:val="22"/>
          <w:szCs w:val="22"/>
          <w:lang w:val="en-GB"/>
        </w:rPr>
        <w:t xml:space="preserve">Then </w:t>
      </w:r>
      <w:r w:rsidR="00E07BD0" w:rsidRPr="0040379B">
        <w:rPr>
          <w:sz w:val="22"/>
          <w:szCs w:val="22"/>
          <w:lang w:val="en-GB"/>
        </w:rPr>
        <w:t xml:space="preserve">, in section 3 it is discussed the present fuel </w:t>
      </w:r>
      <w:r w:rsidR="00F47FE8" w:rsidRPr="0040379B">
        <w:rPr>
          <w:sz w:val="22"/>
          <w:szCs w:val="22"/>
          <w:lang w:val="en-GB"/>
        </w:rPr>
        <w:t>landscape</w:t>
      </w:r>
      <w:r w:rsidR="00E07BD0" w:rsidRPr="0040379B">
        <w:rPr>
          <w:sz w:val="22"/>
          <w:szCs w:val="22"/>
          <w:lang w:val="en-GB"/>
        </w:rPr>
        <w:t xml:space="preserve"> in the shipping sector</w:t>
      </w:r>
      <w:r w:rsidR="00F47FE8" w:rsidRPr="0040379B">
        <w:rPr>
          <w:sz w:val="22"/>
          <w:szCs w:val="22"/>
          <w:lang w:val="en-GB"/>
        </w:rPr>
        <w:t>, encompassing l</w:t>
      </w:r>
      <w:r w:rsidR="003C0D25" w:rsidRPr="0040379B">
        <w:rPr>
          <w:sz w:val="22"/>
          <w:szCs w:val="22"/>
          <w:lang w:val="en-GB"/>
        </w:rPr>
        <w:t>iquid fossil fuels and alternative fuels</w:t>
      </w:r>
      <w:r w:rsidR="00743D61" w:rsidRPr="0040379B">
        <w:rPr>
          <w:sz w:val="22"/>
          <w:szCs w:val="22"/>
          <w:lang w:val="en-GB"/>
        </w:rPr>
        <w:t xml:space="preserve">. </w:t>
      </w:r>
      <w:r w:rsidR="00F47FE8" w:rsidRPr="0040379B">
        <w:rPr>
          <w:sz w:val="22"/>
          <w:szCs w:val="22"/>
          <w:lang w:val="en-GB"/>
        </w:rPr>
        <w:t>This section disc</w:t>
      </w:r>
      <w:r w:rsidR="004306D6">
        <w:rPr>
          <w:sz w:val="22"/>
          <w:szCs w:val="22"/>
          <w:lang w:val="en-GB"/>
        </w:rPr>
        <w:t xml:space="preserve">usses </w:t>
      </w:r>
      <w:r w:rsidR="00F47FE8" w:rsidRPr="0040379B">
        <w:rPr>
          <w:sz w:val="22"/>
          <w:szCs w:val="22"/>
          <w:lang w:val="en-GB"/>
        </w:rPr>
        <w:t xml:space="preserve"> fuels’ specifications, compatibility and emissions</w:t>
      </w:r>
      <w:r w:rsidR="004306D6">
        <w:rPr>
          <w:sz w:val="22"/>
          <w:szCs w:val="22"/>
          <w:lang w:val="en-GB"/>
        </w:rPr>
        <w:t xml:space="preserve"> of current and future fuels</w:t>
      </w:r>
      <w:r w:rsidR="00115841" w:rsidRPr="0040379B">
        <w:rPr>
          <w:sz w:val="22"/>
          <w:szCs w:val="22"/>
          <w:lang w:val="en-GB"/>
        </w:rPr>
        <w:t xml:space="preserve">.  </w:t>
      </w:r>
      <w:r w:rsidR="00EB2619" w:rsidRPr="0040379B">
        <w:rPr>
          <w:sz w:val="22"/>
          <w:szCs w:val="22"/>
          <w:lang w:val="en-GB"/>
        </w:rPr>
        <w:t xml:space="preserve">Section 4 presents an overview of the future market based on scenarios developed by the EU, </w:t>
      </w:r>
      <w:r w:rsidR="0043799B" w:rsidRPr="0040379B">
        <w:rPr>
          <w:sz w:val="22"/>
          <w:szCs w:val="22"/>
          <w:lang w:val="en-GB"/>
        </w:rPr>
        <w:t xml:space="preserve"> </w:t>
      </w:r>
      <w:r w:rsidR="00F47FE8" w:rsidRPr="0040379B">
        <w:rPr>
          <w:sz w:val="22"/>
          <w:szCs w:val="22"/>
          <w:lang w:val="en-GB"/>
        </w:rPr>
        <w:t>elaborating on</w:t>
      </w:r>
      <w:r w:rsidR="0043799B" w:rsidRPr="0040379B">
        <w:rPr>
          <w:sz w:val="22"/>
          <w:szCs w:val="22"/>
          <w:lang w:val="en-GB"/>
        </w:rPr>
        <w:t xml:space="preserve"> pricing and possible future compet</w:t>
      </w:r>
      <w:r w:rsidR="00F47FE8" w:rsidRPr="0040379B">
        <w:rPr>
          <w:sz w:val="22"/>
          <w:szCs w:val="22"/>
          <w:lang w:val="en-GB"/>
        </w:rPr>
        <w:t>ition</w:t>
      </w:r>
      <w:r w:rsidR="0043799B" w:rsidRPr="0040379B">
        <w:rPr>
          <w:sz w:val="22"/>
          <w:szCs w:val="22"/>
          <w:lang w:val="en-GB"/>
        </w:rPr>
        <w:t xml:space="preserve">. </w:t>
      </w:r>
      <w:r w:rsidR="00FA4F70" w:rsidRPr="0040379B">
        <w:rPr>
          <w:sz w:val="22"/>
          <w:szCs w:val="22"/>
          <w:lang w:val="en-GB"/>
        </w:rPr>
        <w:t xml:space="preserve">Key stakeholders that can </w:t>
      </w:r>
      <w:r w:rsidR="00F47FE8" w:rsidRPr="0040379B">
        <w:rPr>
          <w:sz w:val="22"/>
          <w:szCs w:val="22"/>
          <w:lang w:val="en-GB"/>
        </w:rPr>
        <w:t>influence the</w:t>
      </w:r>
      <w:r w:rsidR="00FA4F70" w:rsidRPr="0040379B">
        <w:rPr>
          <w:sz w:val="22"/>
          <w:szCs w:val="22"/>
          <w:lang w:val="en-GB"/>
        </w:rPr>
        <w:t xml:space="preserve"> market</w:t>
      </w:r>
      <w:r w:rsidR="004306D6">
        <w:rPr>
          <w:sz w:val="22"/>
          <w:szCs w:val="22"/>
          <w:lang w:val="en-GB"/>
        </w:rPr>
        <w:t xml:space="preserve"> uptake</w:t>
      </w:r>
      <w:r w:rsidR="00FA4F70" w:rsidRPr="0040379B">
        <w:rPr>
          <w:sz w:val="22"/>
          <w:szCs w:val="22"/>
          <w:lang w:val="en-GB"/>
        </w:rPr>
        <w:t xml:space="preserve"> </w:t>
      </w:r>
      <w:r w:rsidR="00F47FE8" w:rsidRPr="0040379B">
        <w:rPr>
          <w:sz w:val="22"/>
          <w:szCs w:val="22"/>
          <w:lang w:val="en-GB"/>
        </w:rPr>
        <w:t xml:space="preserve">are </w:t>
      </w:r>
      <w:r w:rsidR="004306D6">
        <w:rPr>
          <w:sz w:val="22"/>
          <w:szCs w:val="22"/>
          <w:lang w:val="en-GB"/>
        </w:rPr>
        <w:t xml:space="preserve">also </w:t>
      </w:r>
      <w:r w:rsidR="00F47FE8" w:rsidRPr="0040379B">
        <w:rPr>
          <w:sz w:val="22"/>
          <w:szCs w:val="22"/>
          <w:lang w:val="en-GB"/>
        </w:rPr>
        <w:t>discussed</w:t>
      </w:r>
      <w:r w:rsidR="00FA4F70" w:rsidRPr="0040379B">
        <w:rPr>
          <w:sz w:val="22"/>
          <w:szCs w:val="22"/>
          <w:lang w:val="en-GB"/>
        </w:rPr>
        <w:t>. Finally</w:t>
      </w:r>
      <w:r w:rsidR="00156753" w:rsidRPr="0040379B">
        <w:rPr>
          <w:sz w:val="22"/>
          <w:szCs w:val="22"/>
          <w:lang w:val="en-GB"/>
        </w:rPr>
        <w:t>, conclusions and recommendations are provided based on the findings.</w:t>
      </w:r>
    </w:p>
    <w:p w14:paraId="45BFECAB" w14:textId="24C60580" w:rsidR="00017D36" w:rsidRDefault="00F82CDE" w:rsidP="005D6854">
      <w:pPr>
        <w:pStyle w:val="Heading1"/>
      </w:pPr>
      <w:bookmarkStart w:id="11" w:name="_Toc84019445"/>
      <w:r>
        <w:lastRenderedPageBreak/>
        <w:t xml:space="preserve">Socio-economical </w:t>
      </w:r>
      <w:r w:rsidR="007A5E42">
        <w:t>Context</w:t>
      </w:r>
      <w:bookmarkEnd w:id="11"/>
    </w:p>
    <w:p w14:paraId="34D6FE55" w14:textId="5C3737C3" w:rsidR="362A3EC5" w:rsidRDefault="362A3EC5" w:rsidP="362A3EC5">
      <w:pPr>
        <w:rPr>
          <w:szCs w:val="21"/>
        </w:rPr>
      </w:pPr>
    </w:p>
    <w:p w14:paraId="09585308" w14:textId="42B07A25" w:rsidR="000E166E" w:rsidRDefault="5FAF9DEA" w:rsidP="00095524">
      <w:pPr>
        <w:spacing w:after="120" w:line="360" w:lineRule="auto"/>
        <w:ind w:firstLine="444"/>
      </w:pPr>
      <w:r w:rsidRPr="5937A937">
        <w:rPr>
          <w:rFonts w:cs="Calibri"/>
          <w:color w:val="auto"/>
          <w:sz w:val="22"/>
          <w:szCs w:val="22"/>
          <w:lang w:val="en-GB"/>
        </w:rPr>
        <w:t xml:space="preserve">In this section, </w:t>
      </w:r>
      <w:r w:rsidR="43F9B2F4" w:rsidRPr="5937A937">
        <w:rPr>
          <w:rFonts w:cs="Calibri"/>
          <w:color w:val="auto"/>
          <w:sz w:val="22"/>
          <w:szCs w:val="22"/>
          <w:lang w:val="en-GB"/>
        </w:rPr>
        <w:t>the regulatory framework w</w:t>
      </w:r>
      <w:r w:rsidR="487CAFCD" w:rsidRPr="5937A937">
        <w:rPr>
          <w:rFonts w:cs="Calibri"/>
          <w:color w:val="auto"/>
          <w:sz w:val="22"/>
          <w:szCs w:val="22"/>
          <w:lang w:val="en-GB"/>
        </w:rPr>
        <w:t>ith regard t</w:t>
      </w:r>
      <w:r w:rsidR="3AFFCEE9" w:rsidRPr="5937A937">
        <w:rPr>
          <w:rFonts w:cs="Calibri"/>
          <w:color w:val="auto"/>
          <w:sz w:val="22"/>
          <w:szCs w:val="22"/>
          <w:lang w:val="en-GB"/>
        </w:rPr>
        <w:t xml:space="preserve">o </w:t>
      </w:r>
      <w:r w:rsidR="00136F65">
        <w:rPr>
          <w:rFonts w:cs="Calibri"/>
          <w:color w:val="auto"/>
          <w:sz w:val="22"/>
          <w:szCs w:val="22"/>
          <w:lang w:val="en-GB"/>
        </w:rPr>
        <w:t xml:space="preserve">the </w:t>
      </w:r>
      <w:r w:rsidR="00E83B32">
        <w:rPr>
          <w:rFonts w:cs="Calibri"/>
          <w:color w:val="auto"/>
          <w:sz w:val="22"/>
          <w:szCs w:val="22"/>
          <w:lang w:val="en-GB"/>
        </w:rPr>
        <w:t>European Economic Area (</w:t>
      </w:r>
      <w:r w:rsidR="43F9B2F4" w:rsidRPr="5937A937">
        <w:rPr>
          <w:rFonts w:cs="Calibri"/>
          <w:color w:val="auto"/>
          <w:sz w:val="22"/>
          <w:szCs w:val="22"/>
          <w:lang w:val="en-GB"/>
        </w:rPr>
        <w:t>E</w:t>
      </w:r>
      <w:r w:rsidR="00A3142F">
        <w:rPr>
          <w:rFonts w:cs="Calibri"/>
          <w:color w:val="auto"/>
          <w:sz w:val="22"/>
          <w:szCs w:val="22"/>
          <w:lang w:val="en-GB"/>
        </w:rPr>
        <w:t>EA</w:t>
      </w:r>
      <w:r w:rsidR="00E83B32">
        <w:rPr>
          <w:rFonts w:cs="Calibri"/>
          <w:color w:val="auto"/>
          <w:sz w:val="22"/>
          <w:szCs w:val="22"/>
          <w:lang w:val="en-GB"/>
        </w:rPr>
        <w:t>)</w:t>
      </w:r>
      <w:r w:rsidR="43F9B2F4" w:rsidRPr="5937A937">
        <w:rPr>
          <w:rFonts w:cs="Calibri"/>
          <w:color w:val="auto"/>
          <w:sz w:val="22"/>
          <w:szCs w:val="22"/>
          <w:lang w:val="en-GB"/>
        </w:rPr>
        <w:t xml:space="preserve">  </w:t>
      </w:r>
      <w:r w:rsidR="003870A1">
        <w:rPr>
          <w:rFonts w:cs="Calibri"/>
          <w:color w:val="auto"/>
          <w:sz w:val="22"/>
          <w:szCs w:val="22"/>
          <w:lang w:val="en-GB"/>
        </w:rPr>
        <w:t>is</w:t>
      </w:r>
      <w:r w:rsidR="43F9B2F4" w:rsidRPr="5937A937">
        <w:rPr>
          <w:rFonts w:cs="Calibri"/>
          <w:color w:val="auto"/>
          <w:sz w:val="22"/>
          <w:szCs w:val="22"/>
          <w:lang w:val="en-GB"/>
        </w:rPr>
        <w:t xml:space="preserve"> discussed. Legislative mandates are considered one of the most important</w:t>
      </w:r>
      <w:r w:rsidR="008A2200">
        <w:rPr>
          <w:rFonts w:cs="Calibri"/>
          <w:color w:val="auto"/>
          <w:sz w:val="22"/>
          <w:szCs w:val="22"/>
          <w:lang w:val="en-GB"/>
        </w:rPr>
        <w:t xml:space="preserve"> market</w:t>
      </w:r>
      <w:r w:rsidR="43F9B2F4" w:rsidRPr="5937A937">
        <w:rPr>
          <w:rFonts w:cs="Calibri"/>
          <w:color w:val="auto"/>
          <w:sz w:val="22"/>
          <w:szCs w:val="22"/>
          <w:lang w:val="en-GB"/>
        </w:rPr>
        <w:t xml:space="preserve"> d</w:t>
      </w:r>
      <w:r w:rsidR="009B6923">
        <w:rPr>
          <w:rFonts w:cs="Calibri"/>
          <w:color w:val="auto"/>
          <w:sz w:val="22"/>
          <w:szCs w:val="22"/>
          <w:lang w:val="en-GB"/>
        </w:rPr>
        <w:t>r</w:t>
      </w:r>
      <w:r w:rsidR="43F9B2F4" w:rsidRPr="5937A937">
        <w:rPr>
          <w:rFonts w:cs="Calibri"/>
          <w:color w:val="auto"/>
          <w:sz w:val="22"/>
          <w:szCs w:val="22"/>
          <w:lang w:val="en-GB"/>
        </w:rPr>
        <w:t>ivers for advanced biofuels</w:t>
      </w:r>
      <w:r w:rsidR="74400F8F" w:rsidRPr="5937A937">
        <w:rPr>
          <w:rFonts w:cs="Calibri"/>
          <w:color w:val="auto"/>
          <w:sz w:val="22"/>
          <w:szCs w:val="22"/>
          <w:lang w:val="en-GB"/>
        </w:rPr>
        <w:t xml:space="preserve">, since they </w:t>
      </w:r>
      <w:r w:rsidR="00F846E7">
        <w:rPr>
          <w:rFonts w:cs="Calibri"/>
          <w:color w:val="auto"/>
          <w:sz w:val="22"/>
          <w:szCs w:val="22"/>
          <w:lang w:val="en-GB"/>
        </w:rPr>
        <w:t>might</w:t>
      </w:r>
      <w:r w:rsidR="74400F8F" w:rsidRPr="5937A937">
        <w:rPr>
          <w:rFonts w:cs="Calibri"/>
          <w:color w:val="auto"/>
          <w:sz w:val="22"/>
          <w:szCs w:val="22"/>
          <w:lang w:val="en-GB"/>
        </w:rPr>
        <w:t xml:space="preserve"> shift future market trends</w:t>
      </w:r>
      <w:r w:rsidR="646DA352" w:rsidRPr="5937A937">
        <w:rPr>
          <w:rFonts w:cs="Calibri"/>
          <w:color w:val="auto"/>
          <w:sz w:val="22"/>
          <w:szCs w:val="22"/>
          <w:lang w:val="en-GB"/>
        </w:rPr>
        <w:t>, securing</w:t>
      </w:r>
      <w:r w:rsidR="00CE0DB6">
        <w:rPr>
          <w:rFonts w:cs="Calibri"/>
          <w:color w:val="auto"/>
          <w:sz w:val="22"/>
          <w:szCs w:val="22"/>
          <w:lang w:val="en-GB"/>
        </w:rPr>
        <w:t xml:space="preserve"> or limit</w:t>
      </w:r>
      <w:r w:rsidR="00164F88">
        <w:rPr>
          <w:rFonts w:cs="Calibri"/>
          <w:color w:val="auto"/>
          <w:sz w:val="22"/>
          <w:szCs w:val="22"/>
          <w:lang w:val="en-GB"/>
        </w:rPr>
        <w:t>ing</w:t>
      </w:r>
      <w:r w:rsidR="646DA352" w:rsidRPr="5937A937">
        <w:rPr>
          <w:rFonts w:cs="Calibri"/>
          <w:color w:val="auto"/>
          <w:sz w:val="22"/>
          <w:szCs w:val="22"/>
          <w:lang w:val="en-GB"/>
        </w:rPr>
        <w:t xml:space="preserve"> biofuels</w:t>
      </w:r>
      <w:r w:rsidR="2C6039E0" w:rsidRPr="5937A937">
        <w:rPr>
          <w:rFonts w:cs="Calibri"/>
          <w:color w:val="auto"/>
          <w:sz w:val="22"/>
          <w:szCs w:val="22"/>
          <w:lang w:val="en-GB"/>
        </w:rPr>
        <w:t>’</w:t>
      </w:r>
      <w:r w:rsidR="646DA352" w:rsidRPr="5937A937">
        <w:rPr>
          <w:rFonts w:cs="Calibri"/>
          <w:color w:val="auto"/>
          <w:sz w:val="22"/>
          <w:szCs w:val="22"/>
          <w:lang w:val="en-GB"/>
        </w:rPr>
        <w:t xml:space="preserve"> </w:t>
      </w:r>
      <w:r w:rsidR="009B6923" w:rsidRPr="5937A937">
        <w:rPr>
          <w:rFonts w:cs="Calibri"/>
          <w:color w:val="auto"/>
          <w:sz w:val="22"/>
          <w:szCs w:val="22"/>
          <w:lang w:val="en-GB"/>
        </w:rPr>
        <w:t>share</w:t>
      </w:r>
      <w:r w:rsidR="00B7687D">
        <w:rPr>
          <w:rFonts w:cs="Calibri"/>
          <w:color w:val="auto"/>
          <w:sz w:val="22"/>
          <w:szCs w:val="22"/>
          <w:lang w:val="en-GB"/>
        </w:rPr>
        <w:t xml:space="preserve">. </w:t>
      </w:r>
      <w:r w:rsidR="000E166E">
        <w:rPr>
          <w:rFonts w:cs="Calibri"/>
          <w:color w:val="auto"/>
          <w:sz w:val="22"/>
          <w:szCs w:val="22"/>
          <w:lang w:val="en-GB"/>
        </w:rPr>
        <w:t>However, as it is presented below</w:t>
      </w:r>
      <w:r w:rsidR="003E7AAC">
        <w:rPr>
          <w:rFonts w:cs="Calibri"/>
          <w:color w:val="auto"/>
          <w:sz w:val="22"/>
          <w:szCs w:val="22"/>
          <w:lang w:val="en-GB"/>
        </w:rPr>
        <w:t>,</w:t>
      </w:r>
      <w:r w:rsidR="000E166E">
        <w:rPr>
          <w:rFonts w:cs="Calibri"/>
          <w:color w:val="auto"/>
          <w:sz w:val="22"/>
          <w:szCs w:val="22"/>
          <w:lang w:val="en-GB"/>
        </w:rPr>
        <w:t xml:space="preserve"> </w:t>
      </w:r>
      <w:r w:rsidR="002A0A07">
        <w:rPr>
          <w:rFonts w:cs="Calibri"/>
          <w:color w:val="auto"/>
          <w:sz w:val="22"/>
          <w:szCs w:val="22"/>
          <w:lang w:val="en-GB"/>
        </w:rPr>
        <w:t>the effect of the</w:t>
      </w:r>
      <w:r w:rsidR="000E166E">
        <w:rPr>
          <w:rFonts w:cs="Calibri"/>
          <w:color w:val="auto"/>
          <w:sz w:val="22"/>
          <w:szCs w:val="22"/>
          <w:lang w:val="en-GB"/>
        </w:rPr>
        <w:t xml:space="preserve"> legislatives mandates </w:t>
      </w:r>
      <w:r w:rsidR="002A0A07">
        <w:rPr>
          <w:rFonts w:cs="Calibri"/>
          <w:color w:val="auto"/>
          <w:sz w:val="22"/>
          <w:szCs w:val="22"/>
          <w:lang w:val="en-GB"/>
        </w:rPr>
        <w:t>on</w:t>
      </w:r>
      <w:r w:rsidR="000E166E">
        <w:rPr>
          <w:rFonts w:cs="Calibri"/>
          <w:color w:val="auto"/>
          <w:sz w:val="22"/>
          <w:szCs w:val="22"/>
          <w:lang w:val="en-GB"/>
        </w:rPr>
        <w:t xml:space="preserve"> </w:t>
      </w:r>
      <w:r w:rsidR="00095524">
        <w:rPr>
          <w:rFonts w:cs="Calibri"/>
          <w:color w:val="auto"/>
          <w:sz w:val="22"/>
          <w:szCs w:val="22"/>
          <w:lang w:val="en-GB"/>
        </w:rPr>
        <w:t xml:space="preserve">the maritime sector is </w:t>
      </w:r>
      <w:r w:rsidR="000E166E">
        <w:rPr>
          <w:rFonts w:cs="Calibri"/>
          <w:color w:val="auto"/>
          <w:sz w:val="22"/>
          <w:szCs w:val="22"/>
          <w:lang w:val="en-GB"/>
        </w:rPr>
        <w:t xml:space="preserve"> still in discussion. For the moment</w:t>
      </w:r>
      <w:r w:rsidR="002A0A07">
        <w:rPr>
          <w:rFonts w:cs="Calibri"/>
          <w:color w:val="auto"/>
          <w:sz w:val="22"/>
          <w:szCs w:val="22"/>
          <w:lang w:val="en-GB"/>
        </w:rPr>
        <w:t>,</w:t>
      </w:r>
      <w:r w:rsidR="000E166E">
        <w:rPr>
          <w:rFonts w:cs="Calibri"/>
          <w:color w:val="auto"/>
          <w:sz w:val="22"/>
          <w:szCs w:val="22"/>
          <w:lang w:val="en-GB"/>
        </w:rPr>
        <w:t xml:space="preserve"> they can be considered useful guidelines for the future, which </w:t>
      </w:r>
      <w:r w:rsidR="002A0A07">
        <w:rPr>
          <w:rFonts w:cs="Calibri"/>
          <w:color w:val="auto"/>
          <w:sz w:val="22"/>
          <w:szCs w:val="22"/>
          <w:lang w:val="en-GB"/>
        </w:rPr>
        <w:t xml:space="preserve">are </w:t>
      </w:r>
      <w:r w:rsidR="000E166E">
        <w:rPr>
          <w:rFonts w:cs="Calibri"/>
          <w:color w:val="auto"/>
          <w:sz w:val="22"/>
          <w:szCs w:val="22"/>
          <w:lang w:val="en-GB"/>
        </w:rPr>
        <w:t>constantly</w:t>
      </w:r>
      <w:r w:rsidR="002A0A07">
        <w:rPr>
          <w:rFonts w:cs="Calibri"/>
          <w:color w:val="auto"/>
          <w:sz w:val="22"/>
          <w:szCs w:val="22"/>
          <w:lang w:val="en-GB"/>
        </w:rPr>
        <w:t xml:space="preserve"> under revision</w:t>
      </w:r>
      <w:r w:rsidR="000E166E">
        <w:rPr>
          <w:rFonts w:cs="Calibri"/>
          <w:color w:val="auto"/>
          <w:sz w:val="22"/>
          <w:szCs w:val="22"/>
          <w:lang w:val="en-GB"/>
        </w:rPr>
        <w:t>.</w:t>
      </w:r>
      <w:r w:rsidR="000E166E" w:rsidRPr="005E586D">
        <w:t xml:space="preserve"> </w:t>
      </w:r>
    </w:p>
    <w:p w14:paraId="6480EAC5" w14:textId="2706C511" w:rsidR="00033047" w:rsidRPr="00EC3F5A" w:rsidRDefault="002A0A07" w:rsidP="006B4F51">
      <w:pPr>
        <w:spacing w:after="120" w:line="360" w:lineRule="auto"/>
        <w:ind w:firstLine="720"/>
      </w:pPr>
      <w:r>
        <w:rPr>
          <w:rFonts w:cs="Calibri"/>
          <w:color w:val="auto"/>
          <w:sz w:val="22"/>
          <w:szCs w:val="22"/>
          <w:lang w:val="en-GB"/>
        </w:rPr>
        <w:t>On the social side, it</w:t>
      </w:r>
      <w:r w:rsidR="00164F88">
        <w:rPr>
          <w:rFonts w:cs="Calibri"/>
          <w:color w:val="auto"/>
          <w:sz w:val="22"/>
          <w:szCs w:val="22"/>
          <w:lang w:val="en-GB"/>
        </w:rPr>
        <w:t xml:space="preserve"> is considered that advanced bioenergy can stimulate jobs</w:t>
      </w:r>
      <w:r>
        <w:rPr>
          <w:rFonts w:cs="Calibri"/>
          <w:color w:val="auto"/>
          <w:sz w:val="22"/>
          <w:szCs w:val="22"/>
          <w:lang w:val="en-GB"/>
        </w:rPr>
        <w:t xml:space="preserve"> creation</w:t>
      </w:r>
      <w:r w:rsidR="00164F88">
        <w:rPr>
          <w:rFonts w:cs="Calibri"/>
          <w:color w:val="auto"/>
          <w:sz w:val="22"/>
          <w:szCs w:val="22"/>
          <w:lang w:val="en-GB"/>
        </w:rPr>
        <w:t xml:space="preserve">, local development and </w:t>
      </w:r>
      <w:r>
        <w:rPr>
          <w:rFonts w:cs="Calibri"/>
          <w:color w:val="auto"/>
          <w:sz w:val="22"/>
          <w:szCs w:val="22"/>
          <w:lang w:val="en-GB"/>
        </w:rPr>
        <w:t xml:space="preserve">contribute to energy supply </w:t>
      </w:r>
      <w:r w:rsidR="00164F88">
        <w:rPr>
          <w:rFonts w:cs="Calibri"/>
          <w:color w:val="auto"/>
          <w:sz w:val="22"/>
          <w:szCs w:val="22"/>
          <w:lang w:val="en-GB"/>
        </w:rPr>
        <w:t xml:space="preserve">security. </w:t>
      </w:r>
      <w:r w:rsidR="00546171">
        <w:rPr>
          <w:rFonts w:cs="Calibri"/>
          <w:color w:val="auto"/>
          <w:sz w:val="22"/>
          <w:szCs w:val="22"/>
          <w:lang w:val="en-GB"/>
        </w:rPr>
        <w:t>Feedstock d</w:t>
      </w:r>
      <w:r w:rsidR="00164F88">
        <w:rPr>
          <w:rFonts w:cs="Calibri"/>
          <w:color w:val="auto"/>
          <w:sz w:val="22"/>
          <w:szCs w:val="22"/>
          <w:lang w:val="en-GB"/>
        </w:rPr>
        <w:t xml:space="preserve">iversification  </w:t>
      </w:r>
      <w:r w:rsidR="006B4F51">
        <w:rPr>
          <w:rFonts w:cs="Calibri"/>
          <w:color w:val="auto"/>
          <w:sz w:val="22"/>
          <w:szCs w:val="22"/>
          <w:lang w:val="en-GB"/>
        </w:rPr>
        <w:t xml:space="preserve">can guarantee that fuel demands are met, while triggering industrial competitiveness. Due to these potential impacts public perception together with political regulatory measures strongly influence the development of </w:t>
      </w:r>
      <w:r w:rsidR="000A5C5F">
        <w:rPr>
          <w:rFonts w:cs="Calibri"/>
          <w:color w:val="auto"/>
          <w:sz w:val="22"/>
          <w:szCs w:val="22"/>
          <w:lang w:val="en-GB"/>
        </w:rPr>
        <w:t xml:space="preserve">a </w:t>
      </w:r>
      <w:r w:rsidR="006B4F51">
        <w:rPr>
          <w:rFonts w:cs="Calibri"/>
          <w:color w:val="auto"/>
          <w:sz w:val="22"/>
          <w:szCs w:val="22"/>
          <w:lang w:val="en-GB"/>
        </w:rPr>
        <w:t>bio</w:t>
      </w:r>
      <w:r w:rsidR="000A5C5F">
        <w:rPr>
          <w:rFonts w:cs="Calibri"/>
          <w:color w:val="auto"/>
          <w:sz w:val="22"/>
          <w:szCs w:val="22"/>
          <w:lang w:val="en-GB"/>
        </w:rPr>
        <w:t>-based</w:t>
      </w:r>
      <w:r w:rsidR="006B4F51">
        <w:rPr>
          <w:rFonts w:cs="Calibri"/>
          <w:color w:val="auto"/>
          <w:sz w:val="22"/>
          <w:szCs w:val="22"/>
          <w:lang w:val="en-GB"/>
        </w:rPr>
        <w:t xml:space="preserve"> market</w:t>
      </w:r>
      <w:r w:rsidR="00095524">
        <w:rPr>
          <w:rFonts w:cs="Calibri"/>
          <w:color w:val="auto"/>
          <w:sz w:val="22"/>
          <w:szCs w:val="22"/>
          <w:lang w:val="en-GB"/>
        </w:rPr>
        <w:t xml:space="preserve"> </w:t>
      </w:r>
      <w:r w:rsidR="00095524">
        <w:rPr>
          <w:rFonts w:cs="Calibri"/>
          <w:color w:val="auto"/>
          <w:sz w:val="22"/>
          <w:szCs w:val="22"/>
          <w:lang w:val="en-GB"/>
        </w:rPr>
        <w:fldChar w:fldCharType="begin" w:fldLock="1"/>
      </w:r>
      <w:r w:rsidR="00B0696A">
        <w:rPr>
          <w:rFonts w:cs="Calibri"/>
          <w:color w:val="auto"/>
          <w:sz w:val="22"/>
          <w:szCs w:val="22"/>
          <w:lang w:val="en-GB"/>
        </w:rPr>
        <w:instrText>ADDIN CSL_CITATION {"citationItems":[{"id":"ITEM-1","itemData":{"author":[{"dropping-particle":"","family":"Schröder","given":"Olaf","non-dropping-particle":"","parse-names":false,"suffix":""},{"dropping-particle":"","family":"Krahl","given":"Jürgen","non-dropping-particle":"","parse-names":false,"suffix":""},{"dropping-particle":"","family":"Müller-Langer","given":"Franziska","non-dropping-particle":"","parse-names":false,"suffix":""},{"dropping-particle":"","family":"Schröder","given":"Jörg","non-dropping-particle":"","parse-names":false,"suffix":""},{"dropping-particle":"","family":"Mattheß","given":"Eric","non-dropping-particle":"","parse-names":false,"suffix":""}],"id":"ITEM-1","issue":"October","issued":{"date-parts":[["2018"]]},"title":"Survey on Advanced Fuels for Advanced Engines Project report Funding by IEA Bioenergy Task 39 Norbert Grope","type":"article-journal"},"uris":["http://www.mendeley.com/documents/?uuid=d707d6fa-8780-40fc-8353-2d7ef27026fe"]}],"mendeley":{"formattedCitation":"(Schröder et al., 2018)","plainTextFormattedCitation":"(Schröder et al., 2018)","previouslyFormattedCitation":"(Schröder et al., 2018)"},"properties":{"noteIndex":0},"schema":"https://github.com/citation-style-language/schema/raw/master/csl-citation.json"}</w:instrText>
      </w:r>
      <w:r w:rsidR="00095524">
        <w:rPr>
          <w:rFonts w:cs="Calibri"/>
          <w:color w:val="auto"/>
          <w:sz w:val="22"/>
          <w:szCs w:val="22"/>
          <w:lang w:val="en-GB"/>
        </w:rPr>
        <w:fldChar w:fldCharType="separate"/>
      </w:r>
      <w:r w:rsidR="00095524" w:rsidRPr="00095524">
        <w:rPr>
          <w:rFonts w:cs="Calibri"/>
          <w:noProof/>
          <w:color w:val="auto"/>
          <w:sz w:val="22"/>
          <w:szCs w:val="22"/>
          <w:lang w:val="en-GB"/>
        </w:rPr>
        <w:t>(Schröder et al., 2018)</w:t>
      </w:r>
      <w:r w:rsidR="00095524">
        <w:rPr>
          <w:rFonts w:cs="Calibri"/>
          <w:color w:val="auto"/>
          <w:sz w:val="22"/>
          <w:szCs w:val="22"/>
          <w:lang w:val="en-GB"/>
        </w:rPr>
        <w:fldChar w:fldCharType="end"/>
      </w:r>
      <w:r w:rsidR="006B4F51" w:rsidRPr="00EC3F5A">
        <w:t xml:space="preserve">. </w:t>
      </w:r>
    </w:p>
    <w:p w14:paraId="26935197" w14:textId="295F56B7" w:rsidR="00414443" w:rsidRPr="00C2541A" w:rsidRDefault="006B4F51" w:rsidP="00AA160E">
      <w:pPr>
        <w:spacing w:after="120" w:line="360" w:lineRule="auto"/>
        <w:ind w:firstLine="720"/>
        <w:rPr>
          <w:sz w:val="22"/>
          <w:szCs w:val="22"/>
        </w:rPr>
      </w:pPr>
      <w:r w:rsidRPr="00C2541A">
        <w:rPr>
          <w:sz w:val="22"/>
          <w:szCs w:val="22"/>
        </w:rPr>
        <w:t>In this sense, biofuel market development</w:t>
      </w:r>
      <w:r w:rsidR="000A5C5F" w:rsidRPr="00C2541A">
        <w:rPr>
          <w:sz w:val="22"/>
          <w:szCs w:val="22"/>
        </w:rPr>
        <w:t xml:space="preserve"> is equally dependent </w:t>
      </w:r>
      <w:r w:rsidRPr="00C2541A">
        <w:rPr>
          <w:sz w:val="22"/>
          <w:szCs w:val="22"/>
        </w:rPr>
        <w:t xml:space="preserve">on technology </w:t>
      </w:r>
      <w:r w:rsidR="000A5C5F" w:rsidRPr="00C2541A">
        <w:rPr>
          <w:sz w:val="22"/>
          <w:szCs w:val="22"/>
        </w:rPr>
        <w:t xml:space="preserve">and </w:t>
      </w:r>
      <w:r w:rsidRPr="00C2541A">
        <w:rPr>
          <w:sz w:val="22"/>
          <w:szCs w:val="22"/>
        </w:rPr>
        <w:t xml:space="preserve"> </w:t>
      </w:r>
      <w:r w:rsidR="000A5C5F" w:rsidRPr="00C2541A">
        <w:rPr>
          <w:sz w:val="22"/>
          <w:szCs w:val="22"/>
        </w:rPr>
        <w:t xml:space="preserve">on </w:t>
      </w:r>
      <w:r w:rsidRPr="00C2541A">
        <w:rPr>
          <w:sz w:val="22"/>
          <w:szCs w:val="22"/>
        </w:rPr>
        <w:t xml:space="preserve">the socio-political and environmental context. </w:t>
      </w:r>
      <w:r w:rsidR="00C0391E" w:rsidRPr="00C2541A">
        <w:rPr>
          <w:sz w:val="22"/>
          <w:szCs w:val="22"/>
        </w:rPr>
        <w:t>Consequently, the limited aliment of traditional biofuels to these aspects is reflected in the observed preference of social-political framework towards advanced biofuels</w:t>
      </w:r>
      <w:r w:rsidR="00AA160E" w:rsidRPr="00C2541A">
        <w:rPr>
          <w:sz w:val="22"/>
          <w:szCs w:val="22"/>
        </w:rPr>
        <w:t xml:space="preserve"> </w:t>
      </w:r>
      <w:r w:rsidR="005E586D" w:rsidRPr="00C2541A">
        <w:rPr>
          <w:sz w:val="22"/>
          <w:szCs w:val="22"/>
        </w:rPr>
        <w:fldChar w:fldCharType="begin" w:fldLock="1"/>
      </w:r>
      <w:r w:rsidR="00095524" w:rsidRPr="00C2541A">
        <w:rPr>
          <w:sz w:val="22"/>
          <w:szCs w:val="22"/>
        </w:rPr>
        <w:instrText>ADDIN CSL_CITATION {"citationItems":[{"id":"ITEM-1","itemData":{"DOI":"10.3390/su10114016","author":[{"dropping-particle":"Di","family":"Lucia","given":"Lorenzo","non-dropping-particle":"","parse-names":false,"suffix":""},{"dropping-particle":"","family":"Ribeiro","given":"Barbara","non-dropping-particle":"","parse-names":false,"suffix":""}],"id":"ITEM-1","issued":{"date-parts":[["2018"]]},"page":"1-15","title":"Enacting Responsibilities in Landscape Design : The Case of Advanced Biofuels","type":"article-journal"},"uris":["http://www.mendeley.com/documents/?uuid=956beb4f-d477-4215-b2cd-fc8c97ffd0c2"]}],"mendeley":{"formattedCitation":"(Lucia &amp; Ribeiro, 2018)","plainTextFormattedCitation":"(Lucia &amp; Ribeiro, 2018)","previouslyFormattedCitation":"(Lucia &amp; Ribeiro, 2018)"},"properties":{"noteIndex":0},"schema":"https://github.com/citation-style-language/schema/raw/master/csl-citation.json"}</w:instrText>
      </w:r>
      <w:r w:rsidR="005E586D" w:rsidRPr="00C2541A">
        <w:rPr>
          <w:sz w:val="22"/>
          <w:szCs w:val="22"/>
        </w:rPr>
        <w:fldChar w:fldCharType="separate"/>
      </w:r>
      <w:r w:rsidR="005E586D" w:rsidRPr="00C2541A">
        <w:rPr>
          <w:noProof/>
          <w:sz w:val="22"/>
          <w:szCs w:val="22"/>
        </w:rPr>
        <w:t>(Lucia &amp; Ribeiro, 2018)</w:t>
      </w:r>
      <w:r w:rsidR="005E586D" w:rsidRPr="00C2541A">
        <w:rPr>
          <w:sz w:val="22"/>
          <w:szCs w:val="22"/>
        </w:rPr>
        <w:fldChar w:fldCharType="end"/>
      </w:r>
      <w:r w:rsidR="005E586D" w:rsidRPr="00C2541A">
        <w:rPr>
          <w:sz w:val="22"/>
          <w:szCs w:val="22"/>
        </w:rPr>
        <w:t xml:space="preserve">. </w:t>
      </w:r>
    </w:p>
    <w:p w14:paraId="7DF99AC4" w14:textId="77777777" w:rsidR="006A72D0" w:rsidRPr="00BA4A18" w:rsidRDefault="006A72D0" w:rsidP="006A72D0">
      <w:pPr>
        <w:spacing w:after="120" w:line="360" w:lineRule="auto"/>
        <w:ind w:firstLine="720"/>
      </w:pPr>
    </w:p>
    <w:p w14:paraId="1CCCB9DF" w14:textId="422E359C" w:rsidR="00017D36" w:rsidRDefault="00034A0A" w:rsidP="005D6854">
      <w:pPr>
        <w:pStyle w:val="Heading2"/>
      </w:pPr>
      <w:bookmarkStart w:id="12" w:name="_Toc84019446"/>
      <w:r>
        <w:t>Regulatory Frameworks</w:t>
      </w:r>
      <w:bookmarkEnd w:id="12"/>
    </w:p>
    <w:p w14:paraId="1192CB49" w14:textId="2592BCFC" w:rsidR="362A3EC5" w:rsidRDefault="362A3EC5" w:rsidP="362A3EC5">
      <w:pPr>
        <w:rPr>
          <w:szCs w:val="21"/>
        </w:rPr>
      </w:pPr>
    </w:p>
    <w:p w14:paraId="6D85BE4C" w14:textId="0FE733E5" w:rsidR="005A7A2C" w:rsidRDefault="5EA34800" w:rsidP="008A2200">
      <w:pPr>
        <w:spacing w:after="120" w:line="360" w:lineRule="auto"/>
        <w:ind w:firstLine="720"/>
        <w:rPr>
          <w:rFonts w:cs="Calibri"/>
          <w:color w:val="auto"/>
          <w:sz w:val="22"/>
          <w:szCs w:val="22"/>
          <w:lang w:val="en-GB"/>
        </w:rPr>
      </w:pPr>
      <w:r w:rsidRPr="5937A937">
        <w:rPr>
          <w:rFonts w:cs="Calibri"/>
          <w:color w:val="auto"/>
          <w:sz w:val="22"/>
          <w:szCs w:val="22"/>
          <w:lang w:val="en-GB"/>
        </w:rPr>
        <w:t xml:space="preserve">Regulatory frameworks play an important role in </w:t>
      </w:r>
      <w:r w:rsidR="234B6F1D" w:rsidRPr="5937A937">
        <w:rPr>
          <w:rFonts w:cs="Calibri"/>
          <w:color w:val="auto"/>
          <w:sz w:val="22"/>
          <w:szCs w:val="22"/>
          <w:lang w:val="en-GB"/>
        </w:rPr>
        <w:t>setting targets</w:t>
      </w:r>
      <w:r w:rsidRPr="5937A937">
        <w:rPr>
          <w:rFonts w:cs="Calibri"/>
          <w:color w:val="auto"/>
          <w:sz w:val="22"/>
          <w:szCs w:val="22"/>
          <w:lang w:val="en-GB"/>
        </w:rPr>
        <w:t xml:space="preserve"> and imposing restrictions. They are key to stablish the criteria that the fuels should meet and have a large influence in the market </w:t>
      </w:r>
      <w:r w:rsidR="005A7A2C" w:rsidRPr="5937A937">
        <w:rPr>
          <w:rFonts w:cs="Calibri"/>
          <w:color w:val="auto"/>
          <w:sz w:val="22"/>
          <w:szCs w:val="22"/>
          <w:lang w:val="en-GB"/>
        </w:rPr>
        <w:fldChar w:fldCharType="begin" w:fldLock="1"/>
      </w:r>
      <w:r w:rsidR="005A7A2C" w:rsidRPr="5937A937">
        <w:rPr>
          <w:rFonts w:cs="Calibri"/>
          <w:color w:val="auto"/>
          <w:sz w:val="22"/>
          <w:szCs w:val="22"/>
          <w:lang w:val="en-GB"/>
        </w:rPr>
        <w:instrText>ADDIN CSL_CITATION {"citationItems":[{"id":"ITEM-1","itemData":{"author":[{"dropping-particle":"","family":"EurObserv'ER","given":"","non-dropping-particle":"","parse-names":false,"suffix":""}],"id":"ITEM-1","issue":"September 2020","issued":{"date-parts":[["2019"]]},"title":"Boifuels Barometer","type":"report","volume":"2019"},"uris":["http://www.mendeley.com/documents/?uuid=081c552c-8dba-4d66-9b4a-841375b232a3"]},{"id":"ITEM-2","itemData":{"DOI":"10.1016/j.esr.2021.100633","ISSN":"2211467X","abstract":"Advanced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Reviews","id":"ITEM-2","issue":"March","issued":{"date-parts":[["2021"]]},"page":"100633","publisher":"Elsevier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uptake","type":"article-journal","volume":"34"},"uris":["http://www.mendeley.com/documents/?uuid=e0b8486c-e671-49c6-b25c-f2ad745dcfe0"]}],"mendeley":{"formattedCitation":"(EurObserv’ER, 2019; Panoutsou et al., 2021)","plainTextFormattedCitation":"(EurObserv’ER, 2019; Panoutsou et al., 2021)","previouslyFormattedCitation":"(EurObserv’ER, 2019; Panoutsou et al., 2021)"},"properties":{"noteIndex":0},"schema":"https://github.com/citation-style-language/schema/raw/master/csl-citation.json"}</w:instrText>
      </w:r>
      <w:r w:rsidR="005A7A2C" w:rsidRPr="5937A937">
        <w:rPr>
          <w:rFonts w:cs="Calibri"/>
          <w:color w:val="auto"/>
          <w:sz w:val="22"/>
          <w:szCs w:val="22"/>
          <w:lang w:val="en-GB"/>
        </w:rPr>
        <w:fldChar w:fldCharType="separate"/>
      </w:r>
      <w:r w:rsidRPr="5937A937">
        <w:rPr>
          <w:rFonts w:cs="Calibri"/>
          <w:noProof/>
          <w:color w:val="auto"/>
          <w:sz w:val="22"/>
          <w:szCs w:val="22"/>
          <w:lang w:val="en-GB"/>
        </w:rPr>
        <w:t>(EurObserv’ER, 2019; Panoutsou et al., 2021)</w:t>
      </w:r>
      <w:r w:rsidR="005A7A2C" w:rsidRPr="5937A937">
        <w:rPr>
          <w:rFonts w:cs="Calibri"/>
          <w:color w:val="auto"/>
          <w:sz w:val="22"/>
          <w:szCs w:val="22"/>
          <w:lang w:val="en-GB"/>
        </w:rPr>
        <w:fldChar w:fldCharType="end"/>
      </w:r>
      <w:r w:rsidRPr="5937A937">
        <w:rPr>
          <w:rFonts w:cs="Calibri"/>
          <w:color w:val="auto"/>
          <w:sz w:val="22"/>
          <w:szCs w:val="22"/>
          <w:lang w:val="en-GB"/>
        </w:rPr>
        <w:t xml:space="preserve">. </w:t>
      </w:r>
      <w:r w:rsidR="7128EE21" w:rsidRPr="5937A937">
        <w:rPr>
          <w:rFonts w:cs="Calibri"/>
          <w:color w:val="auto"/>
          <w:sz w:val="22"/>
          <w:szCs w:val="22"/>
          <w:lang w:val="en-GB"/>
        </w:rPr>
        <w:t>Although a</w:t>
      </w:r>
      <w:r w:rsidRPr="5937A937">
        <w:rPr>
          <w:rFonts w:cs="Calibri"/>
          <w:color w:val="auto"/>
          <w:sz w:val="22"/>
          <w:szCs w:val="22"/>
          <w:lang w:val="en-GB"/>
        </w:rPr>
        <w:t xml:space="preserve">dvanced biofuels have a large potential to </w:t>
      </w:r>
      <w:r w:rsidR="1C8B5E9C" w:rsidRPr="5937A937">
        <w:rPr>
          <w:rFonts w:cs="Calibri"/>
          <w:color w:val="auto"/>
          <w:sz w:val="22"/>
          <w:szCs w:val="22"/>
          <w:lang w:val="en-GB"/>
        </w:rPr>
        <w:t>mitigate</w:t>
      </w:r>
      <w:r w:rsidR="009404A9">
        <w:rPr>
          <w:rFonts w:cs="Calibri"/>
          <w:color w:val="auto"/>
          <w:sz w:val="22"/>
          <w:szCs w:val="22"/>
          <w:lang w:val="en-GB"/>
        </w:rPr>
        <w:t xml:space="preserve"> CO</w:t>
      </w:r>
      <w:r w:rsidR="009404A9">
        <w:rPr>
          <w:rFonts w:cs="Calibri"/>
          <w:color w:val="auto"/>
          <w:sz w:val="22"/>
          <w:szCs w:val="22"/>
          <w:vertAlign w:val="subscript"/>
          <w:lang w:val="en-GB"/>
        </w:rPr>
        <w:t>2</w:t>
      </w:r>
      <w:r w:rsidRPr="5937A937">
        <w:rPr>
          <w:rFonts w:cs="Calibri"/>
          <w:color w:val="auto"/>
          <w:sz w:val="22"/>
          <w:szCs w:val="22"/>
          <w:lang w:val="en-GB"/>
        </w:rPr>
        <w:t xml:space="preserve"> emissions, their production </w:t>
      </w:r>
      <w:r w:rsidR="009404A9">
        <w:rPr>
          <w:rFonts w:cs="Calibri"/>
          <w:color w:val="auto"/>
          <w:sz w:val="22"/>
          <w:szCs w:val="22"/>
          <w:lang w:val="en-GB"/>
        </w:rPr>
        <w:t>is</w:t>
      </w:r>
      <w:r w:rsidR="0BE91AA4" w:rsidRPr="5937A937">
        <w:rPr>
          <w:rFonts w:cs="Calibri"/>
          <w:color w:val="auto"/>
          <w:sz w:val="22"/>
          <w:szCs w:val="22"/>
          <w:lang w:val="en-GB"/>
        </w:rPr>
        <w:t xml:space="preserve"> usually</w:t>
      </w:r>
      <w:r w:rsidRPr="5937A937">
        <w:rPr>
          <w:rFonts w:cs="Calibri"/>
          <w:color w:val="auto"/>
          <w:sz w:val="22"/>
          <w:szCs w:val="22"/>
          <w:lang w:val="en-GB"/>
        </w:rPr>
        <w:t xml:space="preserve"> </w:t>
      </w:r>
      <w:r w:rsidR="6794B75C" w:rsidRPr="5937A937">
        <w:rPr>
          <w:rFonts w:cs="Calibri"/>
          <w:color w:val="auto"/>
          <w:sz w:val="22"/>
          <w:szCs w:val="22"/>
          <w:lang w:val="en-GB"/>
        </w:rPr>
        <w:t xml:space="preserve">more expensive than the fossil </w:t>
      </w:r>
      <w:r w:rsidR="00F130DE">
        <w:rPr>
          <w:rFonts w:cs="Calibri"/>
          <w:color w:val="auto"/>
          <w:sz w:val="22"/>
          <w:szCs w:val="22"/>
          <w:lang w:val="en-GB"/>
        </w:rPr>
        <w:t>equivalent</w:t>
      </w:r>
      <w:r w:rsidR="6794B75C" w:rsidRPr="5937A937">
        <w:rPr>
          <w:rFonts w:cs="Calibri"/>
          <w:color w:val="auto"/>
          <w:sz w:val="22"/>
          <w:szCs w:val="22"/>
          <w:lang w:val="en-GB"/>
        </w:rPr>
        <w:t xml:space="preserve"> due to the</w:t>
      </w:r>
      <w:r w:rsidRPr="5937A937">
        <w:rPr>
          <w:rFonts w:cs="Calibri"/>
          <w:color w:val="auto"/>
          <w:sz w:val="22"/>
          <w:szCs w:val="22"/>
          <w:lang w:val="en-GB"/>
        </w:rPr>
        <w:t xml:space="preserve"> low</w:t>
      </w:r>
      <w:r w:rsidR="000A5C5F">
        <w:rPr>
          <w:rFonts w:cs="Calibri"/>
          <w:color w:val="auto"/>
          <w:sz w:val="22"/>
          <w:szCs w:val="22"/>
          <w:lang w:val="en-GB"/>
        </w:rPr>
        <w:t>er technology maturity</w:t>
      </w:r>
      <w:r w:rsidRPr="5937A937">
        <w:rPr>
          <w:rFonts w:cs="Calibri"/>
          <w:color w:val="auto"/>
          <w:sz w:val="22"/>
          <w:szCs w:val="22"/>
          <w:lang w:val="en-GB"/>
        </w:rPr>
        <w:t xml:space="preserve"> and scale. Market interventions</w:t>
      </w:r>
      <w:r w:rsidR="55841C70" w:rsidRPr="5937A937">
        <w:rPr>
          <w:rFonts w:cs="Calibri"/>
          <w:color w:val="auto"/>
          <w:sz w:val="22"/>
          <w:szCs w:val="22"/>
          <w:lang w:val="en-GB"/>
        </w:rPr>
        <w:t>, therefore,</w:t>
      </w:r>
      <w:r w:rsidRPr="5937A937">
        <w:rPr>
          <w:rFonts w:cs="Calibri"/>
          <w:color w:val="auto"/>
          <w:sz w:val="22"/>
          <w:szCs w:val="22"/>
          <w:lang w:val="en-GB"/>
        </w:rPr>
        <w:t xml:space="preserve"> are</w:t>
      </w:r>
      <w:r w:rsidR="5CEDD018" w:rsidRPr="5937A937">
        <w:rPr>
          <w:rFonts w:cs="Calibri"/>
          <w:color w:val="auto"/>
          <w:sz w:val="22"/>
          <w:szCs w:val="22"/>
          <w:lang w:val="en-GB"/>
        </w:rPr>
        <w:t xml:space="preserve"> essential</w:t>
      </w:r>
      <w:r w:rsidRPr="5937A937">
        <w:rPr>
          <w:rFonts w:cs="Calibri"/>
          <w:color w:val="auto"/>
          <w:sz w:val="22"/>
          <w:szCs w:val="22"/>
          <w:lang w:val="en-GB"/>
        </w:rPr>
        <w:t xml:space="preserve"> to </w:t>
      </w:r>
      <w:r w:rsidR="4EED00CD" w:rsidRPr="5937A937">
        <w:rPr>
          <w:rFonts w:cs="Calibri"/>
          <w:color w:val="auto"/>
          <w:sz w:val="22"/>
          <w:szCs w:val="22"/>
          <w:lang w:val="en-GB"/>
        </w:rPr>
        <w:t>leverage the</w:t>
      </w:r>
      <w:r w:rsidRPr="5937A937">
        <w:rPr>
          <w:rFonts w:cs="Calibri"/>
          <w:color w:val="auto"/>
          <w:sz w:val="22"/>
          <w:szCs w:val="22"/>
          <w:lang w:val="en-GB"/>
        </w:rPr>
        <w:t xml:space="preserve"> use and acceptance </w:t>
      </w:r>
      <w:r w:rsidR="212D1D87" w:rsidRPr="5937A937">
        <w:rPr>
          <w:rFonts w:cs="Calibri"/>
          <w:color w:val="auto"/>
          <w:sz w:val="22"/>
          <w:szCs w:val="22"/>
          <w:lang w:val="en-GB"/>
        </w:rPr>
        <w:t>of advanced fuels</w:t>
      </w:r>
      <w:r w:rsidR="00B159B4">
        <w:rPr>
          <w:rFonts w:cs="Calibri"/>
          <w:color w:val="auto"/>
          <w:sz w:val="22"/>
          <w:szCs w:val="22"/>
          <w:lang w:val="en-GB"/>
        </w:rPr>
        <w:t xml:space="preserve"> </w:t>
      </w:r>
      <w:r w:rsidR="00B159B4">
        <w:rPr>
          <w:rFonts w:cs="Calibri"/>
          <w:color w:val="auto"/>
          <w:sz w:val="22"/>
          <w:szCs w:val="22"/>
          <w:lang w:val="en-GB"/>
        </w:rPr>
        <w:fldChar w:fldCharType="begin" w:fldLock="1"/>
      </w:r>
      <w:r w:rsidR="00486E07">
        <w:rPr>
          <w:rFonts w:cs="Calibri"/>
          <w:color w:val="auto"/>
          <w:sz w:val="22"/>
          <w:szCs w:val="22"/>
          <w:lang w:val="en-GB"/>
        </w:rPr>
        <w:instrText>ADDIN CSL_CITATION {"citationItems":[{"id":"ITEM-1","itemData":{"DOI":"10.1016/j.esr.2021.100633","ISSN":"2211467X","abstract":"Advanced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Reviews","id":"ITEM-1","issue":"March","issued":{"date-parts":[["2021"]]},"page":"100633","publisher":"Elsevier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uptake","type":"article-journal","volume":"34"},"uris":["http://www.mendeley.com/documents/?uuid=e0b8486c-e671-49c6-b25c-f2ad745dcfe0"]}],"mendeley":{"formattedCitation":"(Panoutsou et al., 2021)","plainTextFormattedCitation":"(Panoutsou et al., 2021)","previouslyFormattedCitation":"(Panoutsou et al., 2021)"},"properties":{"noteIndex":0},"schema":"https://github.com/citation-style-language/schema/raw/master/csl-citation.json"}</w:instrText>
      </w:r>
      <w:r w:rsidR="00B159B4">
        <w:rPr>
          <w:rFonts w:cs="Calibri"/>
          <w:color w:val="auto"/>
          <w:sz w:val="22"/>
          <w:szCs w:val="22"/>
          <w:lang w:val="en-GB"/>
        </w:rPr>
        <w:fldChar w:fldCharType="separate"/>
      </w:r>
      <w:r w:rsidR="00B159B4" w:rsidRPr="00B159B4">
        <w:rPr>
          <w:rFonts w:cs="Calibri"/>
          <w:noProof/>
          <w:color w:val="auto"/>
          <w:sz w:val="22"/>
          <w:szCs w:val="22"/>
          <w:lang w:val="en-GB"/>
        </w:rPr>
        <w:t>(Panoutsou et al., 2021)</w:t>
      </w:r>
      <w:r w:rsidR="00B159B4">
        <w:rPr>
          <w:rFonts w:cs="Calibri"/>
          <w:color w:val="auto"/>
          <w:sz w:val="22"/>
          <w:szCs w:val="22"/>
          <w:lang w:val="en-GB"/>
        </w:rPr>
        <w:fldChar w:fldCharType="end"/>
      </w:r>
      <w:r w:rsidRPr="5937A937">
        <w:rPr>
          <w:rFonts w:cs="Calibri"/>
          <w:color w:val="auto"/>
          <w:sz w:val="22"/>
          <w:szCs w:val="22"/>
          <w:lang w:val="en-GB"/>
        </w:rPr>
        <w:t>. In the case of IDEALFUEL’s B</w:t>
      </w:r>
      <w:r w:rsidR="0067451E">
        <w:rPr>
          <w:rFonts w:cs="Calibri"/>
          <w:color w:val="auto"/>
          <w:sz w:val="22"/>
          <w:szCs w:val="22"/>
          <w:lang w:val="en-GB"/>
        </w:rPr>
        <w:t>io</w:t>
      </w:r>
      <w:r w:rsidRPr="5937A937">
        <w:rPr>
          <w:rFonts w:cs="Calibri"/>
          <w:color w:val="auto"/>
          <w:sz w:val="22"/>
          <w:szCs w:val="22"/>
          <w:lang w:val="en-GB"/>
        </w:rPr>
        <w:t xml:space="preserve">-HFO, international regulation set by </w:t>
      </w:r>
      <w:r w:rsidR="7E97BF34" w:rsidRPr="5937A937">
        <w:rPr>
          <w:rFonts w:cs="Calibri"/>
          <w:color w:val="auto"/>
          <w:sz w:val="22"/>
          <w:szCs w:val="22"/>
          <w:lang w:val="en-GB"/>
        </w:rPr>
        <w:t>the International</w:t>
      </w:r>
      <w:r w:rsidRPr="5937A937">
        <w:rPr>
          <w:rFonts w:cs="Calibri"/>
          <w:color w:val="auto"/>
          <w:sz w:val="22"/>
          <w:szCs w:val="22"/>
          <w:lang w:val="en-GB"/>
        </w:rPr>
        <w:t xml:space="preserve"> Maritime Organization (IMO) and the EU</w:t>
      </w:r>
      <w:r w:rsidR="48B00A3E" w:rsidRPr="5937A937">
        <w:rPr>
          <w:rFonts w:cs="Calibri"/>
          <w:color w:val="auto"/>
          <w:sz w:val="22"/>
          <w:szCs w:val="22"/>
          <w:lang w:val="en-GB"/>
        </w:rPr>
        <w:t xml:space="preserve"> directives </w:t>
      </w:r>
      <w:r w:rsidR="47F12A8A" w:rsidRPr="5937A937">
        <w:rPr>
          <w:rFonts w:cs="Calibri"/>
          <w:color w:val="auto"/>
          <w:sz w:val="22"/>
          <w:szCs w:val="22"/>
          <w:lang w:val="en-GB"/>
        </w:rPr>
        <w:t>will have a large influence on</w:t>
      </w:r>
      <w:r w:rsidRPr="5937A937">
        <w:rPr>
          <w:rFonts w:cs="Calibri"/>
          <w:color w:val="auto"/>
          <w:sz w:val="22"/>
          <w:szCs w:val="22"/>
          <w:lang w:val="en-GB"/>
        </w:rPr>
        <w:t xml:space="preserve"> market opportunities.</w:t>
      </w:r>
    </w:p>
    <w:p w14:paraId="0C41A473" w14:textId="77777777" w:rsidR="003870A1" w:rsidRPr="00742DB3" w:rsidRDefault="003870A1" w:rsidP="008A2200">
      <w:pPr>
        <w:spacing w:after="120" w:line="360" w:lineRule="auto"/>
        <w:ind w:firstLine="720"/>
        <w:rPr>
          <w:rFonts w:cs="Calibri"/>
          <w:color w:val="auto"/>
          <w:sz w:val="22"/>
          <w:szCs w:val="22"/>
          <w:lang w:val="en-GB"/>
        </w:rPr>
      </w:pPr>
    </w:p>
    <w:p w14:paraId="0DE58F0A" w14:textId="7652FBC2" w:rsidR="005A7A2C" w:rsidRDefault="005A7A2C" w:rsidP="00357301">
      <w:pPr>
        <w:pStyle w:val="Heading3"/>
      </w:pPr>
      <w:bookmarkStart w:id="13" w:name="_Toc84019447"/>
      <w:r>
        <w:t>International Convention for the Prevention of Pollution from Ships (MARPOL)</w:t>
      </w:r>
      <w:bookmarkEnd w:id="13"/>
    </w:p>
    <w:p w14:paraId="68913850" w14:textId="77777777" w:rsidR="00B30734" w:rsidRPr="00B30734" w:rsidRDefault="00B30734" w:rsidP="00B30734">
      <w:pPr>
        <w:rPr>
          <w:lang w:val="en-GB"/>
        </w:rPr>
      </w:pPr>
    </w:p>
    <w:p w14:paraId="2330C897" w14:textId="33145692" w:rsidR="005A7A2C" w:rsidRPr="00D65853" w:rsidRDefault="5EA34800" w:rsidP="0011532E">
      <w:pPr>
        <w:spacing w:after="120" w:line="360" w:lineRule="auto"/>
        <w:ind w:firstLine="709"/>
        <w:rPr>
          <w:rFonts w:cs="Calibri"/>
          <w:color w:val="auto"/>
          <w:sz w:val="22"/>
          <w:szCs w:val="22"/>
          <w:lang w:val="en-GB"/>
        </w:rPr>
      </w:pPr>
      <w:r w:rsidRPr="5937A937">
        <w:rPr>
          <w:rFonts w:cs="Calibri"/>
          <w:color w:val="auto"/>
          <w:sz w:val="22"/>
          <w:szCs w:val="22"/>
          <w:lang w:val="en-GB"/>
        </w:rPr>
        <w:t xml:space="preserve">Due to its international </w:t>
      </w:r>
      <w:r w:rsidR="7101A2C9" w:rsidRPr="5937A937">
        <w:rPr>
          <w:rFonts w:cs="Calibri"/>
          <w:color w:val="auto"/>
          <w:sz w:val="22"/>
          <w:szCs w:val="22"/>
          <w:lang w:val="en-GB"/>
        </w:rPr>
        <w:t>character</w:t>
      </w:r>
      <w:r w:rsidRPr="5937A937">
        <w:rPr>
          <w:rFonts w:cs="Calibri"/>
          <w:color w:val="auto"/>
          <w:sz w:val="22"/>
          <w:szCs w:val="22"/>
          <w:lang w:val="en-GB"/>
        </w:rPr>
        <w:t xml:space="preserve">, emissions </w:t>
      </w:r>
      <w:r w:rsidR="0F80C5A7" w:rsidRPr="5937A937">
        <w:rPr>
          <w:rFonts w:cs="Calibri"/>
          <w:color w:val="auto"/>
          <w:sz w:val="22"/>
          <w:szCs w:val="22"/>
          <w:lang w:val="en-GB"/>
        </w:rPr>
        <w:t xml:space="preserve">coming </w:t>
      </w:r>
      <w:r w:rsidRPr="5937A937">
        <w:rPr>
          <w:rFonts w:cs="Calibri"/>
          <w:color w:val="auto"/>
          <w:sz w:val="22"/>
          <w:szCs w:val="22"/>
          <w:lang w:val="en-GB"/>
        </w:rPr>
        <w:t xml:space="preserve">from the shipping </w:t>
      </w:r>
      <w:r w:rsidR="0973AE6F" w:rsidRPr="5937A937">
        <w:rPr>
          <w:rFonts w:cs="Calibri"/>
          <w:color w:val="auto"/>
          <w:sz w:val="22"/>
          <w:szCs w:val="22"/>
          <w:lang w:val="en-GB"/>
        </w:rPr>
        <w:t>activities</w:t>
      </w:r>
      <w:r w:rsidRPr="5937A937">
        <w:rPr>
          <w:rFonts w:cs="Calibri"/>
          <w:color w:val="auto"/>
          <w:sz w:val="22"/>
          <w:szCs w:val="22"/>
          <w:lang w:val="en-GB"/>
        </w:rPr>
        <w:t xml:space="preserve"> are not attributed to any nation. </w:t>
      </w:r>
      <w:r w:rsidR="009404A9">
        <w:rPr>
          <w:rFonts w:cs="Calibri"/>
          <w:color w:val="auto"/>
          <w:sz w:val="22"/>
          <w:szCs w:val="22"/>
          <w:lang w:val="en-GB"/>
        </w:rPr>
        <w:t>T</w:t>
      </w:r>
      <w:r w:rsidRPr="5937A937">
        <w:rPr>
          <w:rFonts w:cs="Calibri"/>
          <w:color w:val="auto"/>
          <w:sz w:val="22"/>
          <w:szCs w:val="22"/>
          <w:lang w:val="en-GB"/>
        </w:rPr>
        <w:t xml:space="preserve">he responsibility </w:t>
      </w:r>
      <w:r w:rsidR="00E740F8">
        <w:rPr>
          <w:rFonts w:cs="Calibri"/>
          <w:color w:val="auto"/>
          <w:sz w:val="22"/>
          <w:szCs w:val="22"/>
          <w:lang w:val="en-GB"/>
        </w:rPr>
        <w:t>for</w:t>
      </w:r>
      <w:r w:rsidRPr="5937A937">
        <w:rPr>
          <w:rFonts w:cs="Calibri"/>
          <w:color w:val="auto"/>
          <w:sz w:val="22"/>
          <w:szCs w:val="22"/>
          <w:lang w:val="en-GB"/>
        </w:rPr>
        <w:t xml:space="preserve"> governing GHG emissions fall</w:t>
      </w:r>
      <w:r w:rsidR="00A00171">
        <w:rPr>
          <w:rFonts w:cs="Calibri"/>
          <w:color w:val="auto"/>
          <w:sz w:val="22"/>
          <w:szCs w:val="22"/>
          <w:lang w:val="en-GB"/>
        </w:rPr>
        <w:t>s</w:t>
      </w:r>
      <w:r w:rsidRPr="5937A937">
        <w:rPr>
          <w:rFonts w:cs="Calibri"/>
          <w:color w:val="auto"/>
          <w:sz w:val="22"/>
          <w:szCs w:val="22"/>
          <w:lang w:val="en-GB"/>
        </w:rPr>
        <w:t xml:space="preserve"> under the United Nations Framework </w:t>
      </w:r>
      <w:r w:rsidRPr="5937A937">
        <w:rPr>
          <w:rFonts w:cs="Calibri"/>
          <w:color w:val="auto"/>
          <w:sz w:val="22"/>
          <w:szCs w:val="22"/>
          <w:lang w:val="en-GB"/>
        </w:rPr>
        <w:lastRenderedPageBreak/>
        <w:t xml:space="preserve">Convention on Climate Change (UNFCC), particularly </w:t>
      </w:r>
      <w:r w:rsidR="2D2744F0" w:rsidRPr="5937A937">
        <w:rPr>
          <w:rFonts w:cs="Calibri"/>
          <w:color w:val="auto"/>
          <w:sz w:val="22"/>
          <w:szCs w:val="22"/>
          <w:lang w:val="en-GB"/>
        </w:rPr>
        <w:t xml:space="preserve">in </w:t>
      </w:r>
      <w:r w:rsidRPr="5937A937">
        <w:rPr>
          <w:rFonts w:cs="Calibri"/>
          <w:color w:val="auto"/>
          <w:sz w:val="22"/>
          <w:szCs w:val="22"/>
          <w:lang w:val="en-GB"/>
        </w:rPr>
        <w:t>the</w:t>
      </w:r>
      <w:r w:rsidR="00AC5121">
        <w:rPr>
          <w:rFonts w:cs="Calibri"/>
          <w:color w:val="auto"/>
          <w:sz w:val="22"/>
          <w:szCs w:val="22"/>
          <w:lang w:val="en-GB"/>
        </w:rPr>
        <w:t xml:space="preserve"> United Nations</w:t>
      </w:r>
      <w:r w:rsidRPr="5937A937">
        <w:rPr>
          <w:rFonts w:cs="Calibri"/>
          <w:color w:val="auto"/>
          <w:sz w:val="22"/>
          <w:szCs w:val="22"/>
          <w:lang w:val="en-GB"/>
        </w:rPr>
        <w:t xml:space="preserve"> </w:t>
      </w:r>
      <w:r w:rsidR="00AC5121">
        <w:rPr>
          <w:rFonts w:cs="Calibri"/>
          <w:color w:val="auto"/>
          <w:sz w:val="22"/>
          <w:szCs w:val="22"/>
          <w:lang w:val="en-GB"/>
        </w:rPr>
        <w:t>(</w:t>
      </w:r>
      <w:r w:rsidRPr="5937A937">
        <w:rPr>
          <w:rFonts w:cs="Calibri"/>
          <w:color w:val="auto"/>
          <w:sz w:val="22"/>
          <w:szCs w:val="22"/>
          <w:lang w:val="en-GB"/>
        </w:rPr>
        <w:t>UN</w:t>
      </w:r>
      <w:r w:rsidR="00AC5121">
        <w:rPr>
          <w:rFonts w:cs="Calibri"/>
          <w:color w:val="auto"/>
          <w:sz w:val="22"/>
          <w:szCs w:val="22"/>
          <w:lang w:val="en-GB"/>
        </w:rPr>
        <w:t>)</w:t>
      </w:r>
      <w:r w:rsidRPr="5937A937">
        <w:rPr>
          <w:rFonts w:cs="Calibri"/>
          <w:color w:val="auto"/>
          <w:sz w:val="22"/>
          <w:szCs w:val="22"/>
          <w:lang w:val="en-GB"/>
        </w:rPr>
        <w:t xml:space="preserve"> specialized agency IMO </w:t>
      </w:r>
      <w:r w:rsidR="005A7A2C" w:rsidRPr="5937A937">
        <w:rPr>
          <w:rFonts w:cs="Calibri"/>
          <w:color w:val="auto"/>
          <w:sz w:val="22"/>
          <w:szCs w:val="22"/>
          <w:lang w:val="en-GB"/>
        </w:rPr>
        <w:fldChar w:fldCharType="begin" w:fldLock="1"/>
      </w:r>
      <w:r w:rsidR="005A7A2C" w:rsidRPr="5937A937">
        <w:rPr>
          <w:rFonts w:cs="Calibri"/>
          <w:color w:val="auto"/>
          <w:sz w:val="22"/>
          <w:szCs w:val="22"/>
          <w:lang w:val="en-GB"/>
        </w:rPr>
        <w:instrText>ADDIN CSL_CITATION {"citationItems":[{"id":"ITEM-1","itemData":{"DOI":"10.1007/s12027-020-00637-3","ISSN":"18639038","abstract":"The European Green Deal announced by the European Commission in December 2019 is a roadmap meant to foster the transition of the European Union towards the climate-neutral economy by reducing carbon emissions towards 55% by 2030 and achieving carbon neutrality by 2050. By putting the EGD in a boarder perspective of evolving, constitutional rationale of environmental protection in the EU legal order, this contribution examines horizontal, legal dimension and financial implications of the green transition. The challenge ahead of the Union is now how to transform the ambitious climate agenda into efficient legal and economic instruments ‘in a fair way, leaving no one behind’. This paper argues that EGD is a great opportunity, but in order to turn it into a success, it must be strongly anchored in the concepts pertaining to the constitutional framework of the EU legal order, in particular, the concepts of solidarity, sustainable development and high level of environmental protection.","author":[{"dropping-particle":"","family":"Sikora","given":"Alicja","non-dropping-particle":"","parse-names":false,"suffix":""}],"container-title":"ERA Forum","id":"ITEM-1","issued":{"date-parts":[["2020"]]},"page":"681-697","publisher":"The Author(s)","title":"European Green Deal – legal and financial challenges of the climate change","type":"article-journal"},"uris":["http://www.mendeley.com/documents/?uuid=28a71f4b-3341-4579-a677-8efa15a33d7a"]}],"mendeley":{"formattedCitation":"(Sikora, 2020)","plainTextFormattedCitation":"(Sikora, 2020)","previouslyFormattedCitation":"(Sikora, 2020)"},"properties":{"noteIndex":0},"schema":"https://github.com/citation-style-language/schema/raw/master/csl-citation.json"}</w:instrText>
      </w:r>
      <w:r w:rsidR="005A7A2C" w:rsidRPr="5937A937">
        <w:rPr>
          <w:rFonts w:cs="Calibri"/>
          <w:color w:val="auto"/>
          <w:sz w:val="22"/>
          <w:szCs w:val="22"/>
          <w:lang w:val="en-GB"/>
        </w:rPr>
        <w:fldChar w:fldCharType="separate"/>
      </w:r>
      <w:r w:rsidRPr="5937A937">
        <w:rPr>
          <w:rFonts w:cs="Calibri"/>
          <w:noProof/>
          <w:color w:val="auto"/>
          <w:sz w:val="22"/>
          <w:szCs w:val="22"/>
          <w:lang w:val="en-GB"/>
        </w:rPr>
        <w:t>(Sikora, 2020)</w:t>
      </w:r>
      <w:r w:rsidR="005A7A2C" w:rsidRPr="5937A937">
        <w:rPr>
          <w:rFonts w:cs="Calibri"/>
          <w:color w:val="auto"/>
          <w:sz w:val="22"/>
          <w:szCs w:val="22"/>
          <w:lang w:val="en-GB"/>
        </w:rPr>
        <w:fldChar w:fldCharType="end"/>
      </w:r>
      <w:r w:rsidRPr="5937A937">
        <w:rPr>
          <w:rFonts w:cs="Calibri"/>
          <w:color w:val="auto"/>
          <w:sz w:val="22"/>
          <w:szCs w:val="22"/>
          <w:lang w:val="en-GB"/>
        </w:rPr>
        <w:t>. The IMO's primary purpose is t</w:t>
      </w:r>
      <w:r w:rsidR="3D275B0D" w:rsidRPr="5937A937">
        <w:rPr>
          <w:rFonts w:cs="Calibri"/>
          <w:color w:val="auto"/>
          <w:sz w:val="22"/>
          <w:szCs w:val="22"/>
          <w:lang w:val="en-GB"/>
        </w:rPr>
        <w:t>o</w:t>
      </w:r>
      <w:r w:rsidRPr="5937A937">
        <w:rPr>
          <w:rFonts w:cs="Calibri"/>
          <w:color w:val="auto"/>
          <w:sz w:val="22"/>
          <w:szCs w:val="22"/>
          <w:lang w:val="en-GB"/>
        </w:rPr>
        <w:t xml:space="preserve"> establish and </w:t>
      </w:r>
      <w:r w:rsidR="1FD5CBEB" w:rsidRPr="5937A937">
        <w:rPr>
          <w:rFonts w:cs="Calibri"/>
          <w:color w:val="auto"/>
          <w:sz w:val="22"/>
          <w:szCs w:val="22"/>
          <w:lang w:val="en-GB"/>
        </w:rPr>
        <w:t>maintain</w:t>
      </w:r>
      <w:r w:rsidRPr="5937A937">
        <w:rPr>
          <w:rFonts w:cs="Calibri"/>
          <w:color w:val="auto"/>
          <w:sz w:val="22"/>
          <w:szCs w:val="22"/>
          <w:lang w:val="en-GB"/>
        </w:rPr>
        <w:t xml:space="preserve"> a comprehensive regulatory framework for shipping, covering</w:t>
      </w:r>
      <w:r w:rsidR="1C6EA51C" w:rsidRPr="5937A937">
        <w:rPr>
          <w:rFonts w:cs="Calibri"/>
          <w:color w:val="auto"/>
          <w:sz w:val="22"/>
          <w:szCs w:val="22"/>
          <w:lang w:val="en-GB"/>
        </w:rPr>
        <w:t>,</w:t>
      </w:r>
      <w:r w:rsidRPr="5937A937">
        <w:rPr>
          <w:rFonts w:cs="Calibri"/>
          <w:color w:val="auto"/>
          <w:sz w:val="22"/>
          <w:szCs w:val="22"/>
          <w:lang w:val="en-GB"/>
        </w:rPr>
        <w:t xml:space="preserve"> amongst others</w:t>
      </w:r>
      <w:r w:rsidR="7AFADB2D" w:rsidRPr="5937A937">
        <w:rPr>
          <w:rFonts w:cs="Calibri"/>
          <w:color w:val="auto"/>
          <w:sz w:val="22"/>
          <w:szCs w:val="22"/>
          <w:lang w:val="en-GB"/>
        </w:rPr>
        <w:t>,</w:t>
      </w:r>
      <w:r w:rsidRPr="5937A937">
        <w:rPr>
          <w:rFonts w:cs="Calibri"/>
          <w:color w:val="auto"/>
          <w:sz w:val="22"/>
          <w:szCs w:val="22"/>
          <w:lang w:val="en-GB"/>
        </w:rPr>
        <w:t xml:space="preserve"> maritime safety, environmental concerns and the efficiency of shipping </w:t>
      </w:r>
      <w:r w:rsidR="005A7A2C" w:rsidRPr="5937A937">
        <w:rPr>
          <w:rFonts w:cs="Calibri"/>
          <w:color w:val="auto"/>
          <w:sz w:val="22"/>
          <w:szCs w:val="22"/>
          <w:lang w:val="en-GB"/>
        </w:rPr>
        <w:fldChar w:fldCharType="begin" w:fldLock="1"/>
      </w:r>
      <w:r w:rsidR="005A7A2C" w:rsidRPr="5937A937">
        <w:rPr>
          <w:rFonts w:cs="Calibri"/>
          <w:color w:val="auto"/>
          <w:sz w:val="22"/>
          <w:szCs w:val="22"/>
          <w:lang w:val="en-GB"/>
        </w:rPr>
        <w:instrText>ADDIN CSL_CITATION {"citationItems":[{"id":"ITEM-1","itemData":{"author":[{"dropping-particle":"","family":"Uslu","given":"Ayla","non-dropping-particle":"","parse-names":false,"suffix":""}],"id":"ITEM-1","issued":{"date-parts":[["2019"]]},"title":"Market analysis","type":"report"},"uris":["http://www.mendeley.com/documents/?uuid=f0487272-4a66-4a0e-b49d-ac94b47a56ec"]}],"mendeley":{"formattedCitation":"(Uslu, 2019)","plainTextFormattedCitation":"(Uslu, 2019)","previouslyFormattedCitation":"(Uslu, 2019)"},"properties":{"noteIndex":0},"schema":"https://github.com/citation-style-language/schema/raw/master/csl-citation.json"}</w:instrText>
      </w:r>
      <w:r w:rsidR="005A7A2C" w:rsidRPr="5937A937">
        <w:rPr>
          <w:rFonts w:cs="Calibri"/>
          <w:color w:val="auto"/>
          <w:sz w:val="22"/>
          <w:szCs w:val="22"/>
          <w:lang w:val="en-GB"/>
        </w:rPr>
        <w:fldChar w:fldCharType="separate"/>
      </w:r>
      <w:r w:rsidRPr="5937A937">
        <w:rPr>
          <w:rFonts w:cs="Calibri"/>
          <w:noProof/>
          <w:color w:val="auto"/>
          <w:sz w:val="22"/>
          <w:szCs w:val="22"/>
          <w:lang w:val="en-GB"/>
        </w:rPr>
        <w:t>(Uslu, 2019)</w:t>
      </w:r>
      <w:r w:rsidR="005A7A2C" w:rsidRPr="5937A937">
        <w:rPr>
          <w:rFonts w:cs="Calibri"/>
          <w:color w:val="auto"/>
          <w:sz w:val="22"/>
          <w:szCs w:val="22"/>
          <w:lang w:val="en-GB"/>
        </w:rPr>
        <w:fldChar w:fldCharType="end"/>
      </w:r>
      <w:r w:rsidRPr="5937A937">
        <w:rPr>
          <w:rFonts w:cs="Calibri"/>
          <w:color w:val="auto"/>
          <w:sz w:val="22"/>
          <w:szCs w:val="22"/>
          <w:lang w:val="en-GB"/>
        </w:rPr>
        <w:t xml:space="preserve">. </w:t>
      </w:r>
    </w:p>
    <w:p w14:paraId="1680CAD5" w14:textId="4D4E8DAB" w:rsidR="005A7A2C" w:rsidRDefault="5EA34800" w:rsidP="5937A937">
      <w:pPr>
        <w:spacing w:after="120" w:line="360" w:lineRule="auto"/>
        <w:ind w:firstLine="720"/>
        <w:rPr>
          <w:rFonts w:cs="Calibri"/>
          <w:color w:val="auto"/>
          <w:sz w:val="22"/>
          <w:szCs w:val="22"/>
        </w:rPr>
      </w:pPr>
      <w:r w:rsidRPr="5937A937">
        <w:rPr>
          <w:rFonts w:cs="Calibri"/>
          <w:color w:val="auto"/>
          <w:sz w:val="22"/>
          <w:szCs w:val="22"/>
        </w:rPr>
        <w:t xml:space="preserve">The International Convention for the Prevention of Pollution from Ships </w:t>
      </w:r>
      <w:r w:rsidR="0F7A4727" w:rsidRPr="5937A937">
        <w:rPr>
          <w:rFonts w:cs="Calibri"/>
          <w:color w:val="auto"/>
          <w:sz w:val="22"/>
          <w:szCs w:val="22"/>
        </w:rPr>
        <w:t xml:space="preserve">deals </w:t>
      </w:r>
      <w:r w:rsidR="2DF810EC" w:rsidRPr="5937A937">
        <w:rPr>
          <w:rFonts w:cs="Calibri"/>
          <w:color w:val="auto"/>
          <w:sz w:val="22"/>
          <w:szCs w:val="22"/>
        </w:rPr>
        <w:t>with environment</w:t>
      </w:r>
      <w:r w:rsidR="08E78DA6" w:rsidRPr="5937A937">
        <w:rPr>
          <w:rFonts w:cs="Calibri"/>
          <w:color w:val="auto"/>
          <w:sz w:val="22"/>
          <w:szCs w:val="22"/>
        </w:rPr>
        <w:t xml:space="preserve"> and </w:t>
      </w:r>
      <w:r w:rsidRPr="5937A937">
        <w:rPr>
          <w:rFonts w:cs="Calibri"/>
          <w:color w:val="auto"/>
          <w:sz w:val="22"/>
          <w:szCs w:val="22"/>
        </w:rPr>
        <w:t xml:space="preserve">pollution </w:t>
      </w:r>
      <w:r w:rsidR="114AB3B4" w:rsidRPr="5937A937">
        <w:rPr>
          <w:rFonts w:cs="Calibri"/>
          <w:color w:val="auto"/>
          <w:sz w:val="22"/>
          <w:szCs w:val="22"/>
        </w:rPr>
        <w:t>related to marine activity</w:t>
      </w:r>
      <w:r w:rsidRPr="5937A937">
        <w:rPr>
          <w:rFonts w:cs="Calibri"/>
          <w:color w:val="auto"/>
          <w:sz w:val="22"/>
          <w:szCs w:val="22"/>
        </w:rPr>
        <w:t xml:space="preserve">. It was adopted in 1973, modified by the MARPOL Protocol in 1978 and entered into force in 1983. MARPOL has been updated by several amendments throughout the years. The Convention includes six technical Annexes that covers </w:t>
      </w:r>
      <w:r w:rsidR="3E7CE717" w:rsidRPr="5937A937">
        <w:rPr>
          <w:rFonts w:cs="Calibri"/>
          <w:color w:val="auto"/>
          <w:sz w:val="22"/>
          <w:szCs w:val="22"/>
        </w:rPr>
        <w:t xml:space="preserve">the </w:t>
      </w:r>
      <w:r w:rsidRPr="5937A937">
        <w:rPr>
          <w:rFonts w:cs="Calibri"/>
          <w:color w:val="auto"/>
          <w:sz w:val="22"/>
          <w:szCs w:val="22"/>
        </w:rPr>
        <w:t>regulations to prevent and minimiz</w:t>
      </w:r>
      <w:r w:rsidR="2FA1ACBB" w:rsidRPr="5937A937">
        <w:rPr>
          <w:rFonts w:cs="Calibri"/>
          <w:color w:val="auto"/>
          <w:sz w:val="22"/>
          <w:szCs w:val="22"/>
        </w:rPr>
        <w:t xml:space="preserve">e pollution </w:t>
      </w:r>
      <w:r w:rsidR="1067DFA8" w:rsidRPr="5937A937">
        <w:rPr>
          <w:rFonts w:cs="Calibri"/>
          <w:color w:val="auto"/>
          <w:sz w:val="22"/>
          <w:szCs w:val="22"/>
        </w:rPr>
        <w:t>prevenient</w:t>
      </w:r>
      <w:r w:rsidR="193CF1D1" w:rsidRPr="5937A937">
        <w:rPr>
          <w:rFonts w:cs="Calibri"/>
          <w:color w:val="auto"/>
          <w:sz w:val="22"/>
          <w:szCs w:val="22"/>
        </w:rPr>
        <w:t xml:space="preserve"> </w:t>
      </w:r>
      <w:r w:rsidR="43550F07" w:rsidRPr="5937A937">
        <w:rPr>
          <w:rFonts w:cs="Calibri"/>
          <w:color w:val="auto"/>
          <w:sz w:val="22"/>
          <w:szCs w:val="22"/>
        </w:rPr>
        <w:t xml:space="preserve">from </w:t>
      </w:r>
      <w:r w:rsidRPr="5937A937">
        <w:rPr>
          <w:rFonts w:cs="Calibri"/>
          <w:color w:val="auto"/>
          <w:sz w:val="22"/>
          <w:szCs w:val="22"/>
        </w:rPr>
        <w:t xml:space="preserve">accidental </w:t>
      </w:r>
      <w:r w:rsidR="7ADE62AB" w:rsidRPr="5937A937">
        <w:rPr>
          <w:rFonts w:cs="Calibri"/>
          <w:color w:val="auto"/>
          <w:sz w:val="22"/>
          <w:szCs w:val="22"/>
        </w:rPr>
        <w:t>or</w:t>
      </w:r>
      <w:r w:rsidRPr="5937A937">
        <w:rPr>
          <w:rFonts w:cs="Calibri"/>
          <w:color w:val="auto"/>
          <w:sz w:val="22"/>
          <w:szCs w:val="22"/>
        </w:rPr>
        <w:t xml:space="preserve"> daily operations. Special </w:t>
      </w:r>
      <w:r w:rsidR="006C3CC7">
        <w:rPr>
          <w:rFonts w:cs="Calibri"/>
          <w:color w:val="auto"/>
          <w:sz w:val="22"/>
          <w:szCs w:val="22"/>
        </w:rPr>
        <w:t>A</w:t>
      </w:r>
      <w:r w:rsidRPr="5937A937">
        <w:rPr>
          <w:rFonts w:cs="Calibri"/>
          <w:color w:val="auto"/>
          <w:sz w:val="22"/>
          <w:szCs w:val="22"/>
        </w:rPr>
        <w:t>reas</w:t>
      </w:r>
      <w:r w:rsidR="6FDC7D97" w:rsidRPr="5937A937">
        <w:rPr>
          <w:rFonts w:cs="Calibri"/>
          <w:color w:val="auto"/>
          <w:sz w:val="22"/>
          <w:szCs w:val="22"/>
        </w:rPr>
        <w:t xml:space="preserve">, practices and restrictions </w:t>
      </w:r>
      <w:r w:rsidRPr="5937A937">
        <w:rPr>
          <w:rFonts w:cs="Calibri"/>
          <w:color w:val="auto"/>
          <w:sz w:val="22"/>
          <w:szCs w:val="22"/>
        </w:rPr>
        <w:t xml:space="preserve">are </w:t>
      </w:r>
      <w:r w:rsidR="78EBA405" w:rsidRPr="5937A937">
        <w:rPr>
          <w:rFonts w:cs="Calibri"/>
          <w:color w:val="auto"/>
          <w:sz w:val="22"/>
          <w:szCs w:val="22"/>
        </w:rPr>
        <w:t>describ</w:t>
      </w:r>
      <w:r w:rsidRPr="5937A937">
        <w:rPr>
          <w:rFonts w:cs="Calibri"/>
          <w:color w:val="auto"/>
          <w:sz w:val="22"/>
          <w:szCs w:val="22"/>
        </w:rPr>
        <w:t>ed in most</w:t>
      </w:r>
      <w:r w:rsidR="006C3CC7">
        <w:rPr>
          <w:rFonts w:cs="Calibri"/>
          <w:color w:val="auto"/>
          <w:sz w:val="22"/>
          <w:szCs w:val="22"/>
        </w:rPr>
        <w:t xml:space="preserve"> of the</w:t>
      </w:r>
      <w:r w:rsidRPr="5937A937">
        <w:rPr>
          <w:rFonts w:cs="Calibri"/>
          <w:color w:val="auto"/>
          <w:sz w:val="22"/>
          <w:szCs w:val="22"/>
        </w:rPr>
        <w:t xml:space="preserve"> Annexes </w:t>
      </w:r>
      <w:r w:rsidR="005A7A2C" w:rsidRPr="5937A937">
        <w:rPr>
          <w:rFonts w:cs="Calibri"/>
          <w:color w:val="auto"/>
          <w:sz w:val="22"/>
          <w:szCs w:val="22"/>
        </w:rPr>
        <w:fldChar w:fldCharType="begin" w:fldLock="1"/>
      </w:r>
      <w:r w:rsidR="005A7A2C" w:rsidRPr="5937A937">
        <w:rPr>
          <w:rFonts w:cs="Calibri"/>
          <w:color w:val="auto"/>
          <w:sz w:val="22"/>
          <w:szCs w:val="22"/>
        </w:rPr>
        <w:instrText>ADDIN CSL_CITATION {"citationItems":[{"id":"ITEM-1","itemData":{"DOI":"10.4324/9781315774695-85","URL":"https://www.imo.org/en/About/Conventions/Pages/International-Convention-for-the-Prevention-of-Pollution-from-Ships-(MARPOL).aspx","abstract":"Lloyd's Register Rulefinder 2005 – Version 9.4 MARPOL -International Convention for the Prevention of Pollution from Ships Amended by Resolution MEPC.111(50) Amended by Resolution MEPC.115(51) Amended by Resolution MEPC.116(51) MARPOL -International Convention for the Prevention of Pollution from Ships Amended by Resolution MEPC.111(50) Amended by Resolution MEPC.115(51) Amended by Resolution MEPC.116(51)","author":[{"dropping-particle":"","family":"Brodie","given":"Peter","non-dropping-particle":"","parse-names":false,"suffix":""}],"container-title":"Commercial Shipping Handbook","id":"ITEM-1","issued":{"date-parts":[["2020"]]},"page":"219-221","title":"International Convention for the Prevention of Pollution from Ships (MARPOL)","type":"webpage"},"uris":["http://www.mendeley.com/documents/?uuid=0f4c6244-31e6-4c62-927f-3c5fd5bd090f"]}],"mendeley":{"formattedCitation":"(Brodie, 2020)","plainTextFormattedCitation":"(Brodie, 2020)","previouslyFormattedCitation":"(Brodie, 2020)"},"properties":{"noteIndex":0},"schema":"https://github.com/citation-style-language/schema/raw/master/csl-citation.json"}</w:instrText>
      </w:r>
      <w:r w:rsidR="005A7A2C" w:rsidRPr="5937A937">
        <w:rPr>
          <w:rFonts w:cs="Calibri"/>
          <w:color w:val="auto"/>
          <w:sz w:val="22"/>
          <w:szCs w:val="22"/>
        </w:rPr>
        <w:fldChar w:fldCharType="separate"/>
      </w:r>
      <w:r w:rsidRPr="5937A937">
        <w:rPr>
          <w:rFonts w:cs="Calibri"/>
          <w:noProof/>
          <w:color w:val="auto"/>
          <w:sz w:val="22"/>
          <w:szCs w:val="22"/>
        </w:rPr>
        <w:t>(Brodie, 2020)</w:t>
      </w:r>
      <w:r w:rsidR="005A7A2C" w:rsidRPr="5937A937">
        <w:rPr>
          <w:rFonts w:cs="Calibri"/>
          <w:color w:val="auto"/>
          <w:sz w:val="22"/>
          <w:szCs w:val="22"/>
        </w:rPr>
        <w:fldChar w:fldCharType="end"/>
      </w:r>
      <w:r w:rsidRPr="5937A937">
        <w:rPr>
          <w:rStyle w:val="FootnoteReference"/>
          <w:rFonts w:cs="Calibri"/>
          <w:color w:val="auto"/>
        </w:rPr>
        <w:t xml:space="preserve"> </w:t>
      </w:r>
    </w:p>
    <w:p w14:paraId="42C35303" w14:textId="35E5D396" w:rsidR="003F3946" w:rsidRDefault="5EA34800" w:rsidP="0040379B">
      <w:pPr>
        <w:spacing w:after="120" w:line="360" w:lineRule="auto"/>
        <w:ind w:firstLine="720"/>
        <w:rPr>
          <w:rFonts w:cs="Calibri"/>
          <w:color w:val="auto"/>
          <w:sz w:val="22"/>
          <w:szCs w:val="22"/>
        </w:rPr>
      </w:pPr>
      <w:r w:rsidRPr="5937A937">
        <w:rPr>
          <w:rFonts w:cs="Calibri"/>
          <w:color w:val="auto"/>
          <w:sz w:val="22"/>
          <w:szCs w:val="22"/>
        </w:rPr>
        <w:t>In 2005</w:t>
      </w:r>
      <w:r w:rsidR="46D43D01" w:rsidRPr="5937A937">
        <w:rPr>
          <w:rFonts w:cs="Calibri"/>
          <w:color w:val="auto"/>
          <w:sz w:val="22"/>
          <w:szCs w:val="22"/>
        </w:rPr>
        <w:t>,</w:t>
      </w:r>
      <w:r w:rsidRPr="5937A937">
        <w:rPr>
          <w:rFonts w:cs="Calibri"/>
          <w:color w:val="auto"/>
          <w:sz w:val="22"/>
          <w:szCs w:val="22"/>
        </w:rPr>
        <w:t xml:space="preserve"> air pollution was </w:t>
      </w:r>
      <w:r w:rsidR="5776BECE" w:rsidRPr="5937A937">
        <w:rPr>
          <w:rFonts w:cs="Calibri"/>
          <w:color w:val="auto"/>
          <w:sz w:val="22"/>
          <w:szCs w:val="22"/>
        </w:rPr>
        <w:t xml:space="preserve">specially </w:t>
      </w:r>
      <w:r w:rsidRPr="5937A937">
        <w:rPr>
          <w:rFonts w:cs="Calibri"/>
          <w:color w:val="auto"/>
          <w:sz w:val="22"/>
          <w:szCs w:val="22"/>
        </w:rPr>
        <w:t xml:space="preserve">addressed by </w:t>
      </w:r>
      <w:r w:rsidR="200F692B" w:rsidRPr="5937A937">
        <w:rPr>
          <w:rFonts w:cs="Calibri"/>
          <w:color w:val="auto"/>
          <w:sz w:val="22"/>
          <w:szCs w:val="22"/>
        </w:rPr>
        <w:t>setting specific limits</w:t>
      </w:r>
      <w:r w:rsidR="57B4D7D2" w:rsidRPr="5937A937">
        <w:rPr>
          <w:rFonts w:cs="Calibri"/>
          <w:color w:val="auto"/>
          <w:sz w:val="22"/>
          <w:szCs w:val="22"/>
        </w:rPr>
        <w:t xml:space="preserve"> on emissions</w:t>
      </w:r>
      <w:r w:rsidR="002679C9">
        <w:rPr>
          <w:rFonts w:cs="Calibri"/>
          <w:color w:val="auto"/>
          <w:sz w:val="22"/>
          <w:szCs w:val="22"/>
        </w:rPr>
        <w:t xml:space="preserve">, and </w:t>
      </w:r>
      <w:r w:rsidR="003870A1">
        <w:rPr>
          <w:rFonts w:cs="Calibri"/>
          <w:color w:val="auto"/>
          <w:sz w:val="22"/>
          <w:szCs w:val="22"/>
        </w:rPr>
        <w:t xml:space="preserve">by </w:t>
      </w:r>
      <w:r w:rsidR="002679C9">
        <w:rPr>
          <w:rFonts w:cs="Calibri"/>
          <w:color w:val="auto"/>
          <w:sz w:val="22"/>
          <w:szCs w:val="22"/>
        </w:rPr>
        <w:t xml:space="preserve">the establishment of </w:t>
      </w:r>
      <w:r w:rsidR="003870A1">
        <w:rPr>
          <w:rFonts w:cs="Calibri"/>
          <w:color w:val="auto"/>
          <w:sz w:val="22"/>
          <w:szCs w:val="22"/>
        </w:rPr>
        <w:t xml:space="preserve">the </w:t>
      </w:r>
      <w:r w:rsidR="002679C9">
        <w:rPr>
          <w:rFonts w:cs="Calibri"/>
          <w:color w:val="auto"/>
          <w:sz w:val="22"/>
          <w:szCs w:val="22"/>
        </w:rPr>
        <w:t xml:space="preserve">emission control </w:t>
      </w:r>
      <w:r w:rsidR="2B29660E" w:rsidRPr="5937A937">
        <w:rPr>
          <w:rFonts w:cs="Calibri"/>
          <w:color w:val="auto"/>
          <w:sz w:val="22"/>
          <w:szCs w:val="22"/>
        </w:rPr>
        <w:t>areas (ECAs)</w:t>
      </w:r>
      <w:r w:rsidR="002679C9">
        <w:rPr>
          <w:rFonts w:cs="Calibri"/>
          <w:color w:val="auto"/>
          <w:sz w:val="22"/>
          <w:szCs w:val="22"/>
        </w:rPr>
        <w:t>.</w:t>
      </w:r>
      <w:r w:rsidR="3A72AFE6" w:rsidRPr="5937A937">
        <w:rPr>
          <w:rFonts w:cs="Calibri"/>
          <w:color w:val="auto"/>
          <w:sz w:val="22"/>
          <w:szCs w:val="22"/>
        </w:rPr>
        <w:t xml:space="preserve"> </w:t>
      </w:r>
      <w:r w:rsidR="002679C9" w:rsidRPr="5937A937">
        <w:rPr>
          <w:rFonts w:cs="Calibri"/>
          <w:color w:val="auto"/>
          <w:sz w:val="22"/>
          <w:szCs w:val="22"/>
          <w:lang w:val="en-GB"/>
        </w:rPr>
        <w:t>ECA zone</w:t>
      </w:r>
      <w:r w:rsidR="00D16898">
        <w:rPr>
          <w:rFonts w:cs="Calibri"/>
          <w:color w:val="auto"/>
          <w:sz w:val="22"/>
          <w:szCs w:val="22"/>
          <w:lang w:val="en-GB"/>
        </w:rPr>
        <w:t>s</w:t>
      </w:r>
      <w:r w:rsidR="000E56EE">
        <w:rPr>
          <w:rFonts w:cs="Calibri"/>
          <w:color w:val="auto"/>
          <w:sz w:val="22"/>
          <w:szCs w:val="22"/>
          <w:lang w:val="en-GB"/>
        </w:rPr>
        <w:t xml:space="preserve"> </w:t>
      </w:r>
      <w:r w:rsidR="000E56EE">
        <w:rPr>
          <w:rFonts w:cs="Calibri"/>
          <w:color w:val="auto"/>
          <w:sz w:val="22"/>
          <w:szCs w:val="22"/>
        </w:rPr>
        <w:t>(</w:t>
      </w:r>
      <w:r w:rsidR="000E56EE" w:rsidRPr="5937A937">
        <w:rPr>
          <w:rFonts w:cs="Calibri"/>
          <w:color w:val="auto"/>
          <w:sz w:val="22"/>
          <w:szCs w:val="22"/>
        </w:rPr>
        <w:t>depicted in Fi</w:t>
      </w:r>
      <w:r w:rsidR="000E56EE">
        <w:rPr>
          <w:rFonts w:cs="Calibri"/>
          <w:color w:val="auto"/>
          <w:sz w:val="22"/>
          <w:szCs w:val="22"/>
        </w:rPr>
        <w:t>g .1)</w:t>
      </w:r>
      <w:r w:rsidR="002679C9" w:rsidRPr="5937A937">
        <w:rPr>
          <w:rFonts w:cs="Calibri"/>
          <w:color w:val="auto"/>
          <w:sz w:val="22"/>
          <w:szCs w:val="22"/>
          <w:lang w:val="en-GB"/>
        </w:rPr>
        <w:t xml:space="preserve"> ha</w:t>
      </w:r>
      <w:r w:rsidR="00D16898">
        <w:rPr>
          <w:rFonts w:cs="Calibri"/>
          <w:color w:val="auto"/>
          <w:sz w:val="22"/>
          <w:szCs w:val="22"/>
          <w:lang w:val="en-GB"/>
        </w:rPr>
        <w:t>ve</w:t>
      </w:r>
      <w:r w:rsidR="002679C9" w:rsidRPr="5937A937">
        <w:rPr>
          <w:rFonts w:cs="Calibri"/>
          <w:color w:val="auto"/>
          <w:sz w:val="22"/>
          <w:szCs w:val="22"/>
          <w:lang w:val="en-GB"/>
        </w:rPr>
        <w:t xml:space="preserve"> a stricter limit for emissions</w:t>
      </w:r>
      <w:r w:rsidR="002679C9">
        <w:rPr>
          <w:rFonts w:cs="Calibri"/>
          <w:color w:val="auto"/>
          <w:sz w:val="22"/>
          <w:szCs w:val="22"/>
          <w:lang w:val="en-GB"/>
        </w:rPr>
        <w:t xml:space="preserve"> </w:t>
      </w:r>
      <w:r w:rsidR="00D16898">
        <w:rPr>
          <w:rFonts w:cs="Calibri"/>
          <w:color w:val="auto"/>
          <w:sz w:val="22"/>
          <w:szCs w:val="22"/>
        </w:rPr>
        <w:t>of</w:t>
      </w:r>
      <w:r w:rsidR="200F692B" w:rsidRPr="5937A937">
        <w:rPr>
          <w:rFonts w:cs="Calibri"/>
          <w:color w:val="auto"/>
          <w:sz w:val="22"/>
          <w:szCs w:val="22"/>
        </w:rPr>
        <w:t xml:space="preserve"> </w:t>
      </w:r>
      <w:r w:rsidR="00433288" w:rsidRPr="5937A937">
        <w:rPr>
          <w:rFonts w:cs="Calibri"/>
          <w:color w:val="auto"/>
          <w:sz w:val="22"/>
          <w:szCs w:val="22"/>
          <w:lang w:val="en-GB"/>
        </w:rPr>
        <w:t>nitrogen</w:t>
      </w:r>
      <w:r w:rsidRPr="5937A937">
        <w:rPr>
          <w:rFonts w:cs="Calibri"/>
          <w:color w:val="auto"/>
          <w:sz w:val="22"/>
          <w:szCs w:val="22"/>
          <w:lang w:val="en-GB"/>
        </w:rPr>
        <w:t xml:space="preserve"> </w:t>
      </w:r>
      <w:r w:rsidR="6F527CE4" w:rsidRPr="5937A937">
        <w:rPr>
          <w:rFonts w:cs="Calibri"/>
          <w:color w:val="auto"/>
          <w:sz w:val="22"/>
          <w:szCs w:val="22"/>
          <w:lang w:val="en-GB"/>
        </w:rPr>
        <w:t>o</w:t>
      </w:r>
      <w:r w:rsidRPr="5937A937">
        <w:rPr>
          <w:rFonts w:cs="Calibri"/>
          <w:color w:val="auto"/>
          <w:sz w:val="22"/>
          <w:szCs w:val="22"/>
          <w:lang w:val="en-GB"/>
        </w:rPr>
        <w:t>xide (NOx)</w:t>
      </w:r>
      <w:r w:rsidR="3ADFA837" w:rsidRPr="5937A937">
        <w:rPr>
          <w:rFonts w:cs="Calibri"/>
          <w:color w:val="auto"/>
          <w:sz w:val="22"/>
          <w:szCs w:val="22"/>
          <w:lang w:val="en-GB"/>
        </w:rPr>
        <w:t>;</w:t>
      </w:r>
      <w:r w:rsidRPr="5937A937">
        <w:rPr>
          <w:rFonts w:cs="Calibri"/>
          <w:color w:val="auto"/>
          <w:sz w:val="22"/>
          <w:szCs w:val="22"/>
          <w:lang w:val="en-GB"/>
        </w:rPr>
        <w:t xml:space="preserve"> </w:t>
      </w:r>
      <w:proofErr w:type="spellStart"/>
      <w:r w:rsidR="6EADFB20" w:rsidRPr="5937A937">
        <w:rPr>
          <w:rFonts w:cs="Calibri"/>
          <w:color w:val="auto"/>
          <w:sz w:val="22"/>
          <w:szCs w:val="22"/>
          <w:lang w:val="en-GB"/>
        </w:rPr>
        <w:t>s</w:t>
      </w:r>
      <w:r w:rsidRPr="5937A937">
        <w:rPr>
          <w:rFonts w:cs="Calibri"/>
          <w:color w:val="auto"/>
          <w:sz w:val="22"/>
          <w:szCs w:val="22"/>
          <w:lang w:val="en-GB"/>
        </w:rPr>
        <w:t>ul</w:t>
      </w:r>
      <w:r w:rsidR="00B3418A">
        <w:rPr>
          <w:rFonts w:cs="Calibri"/>
          <w:color w:val="auto"/>
          <w:sz w:val="22"/>
          <w:szCs w:val="22"/>
          <w:lang w:val="en-GB"/>
        </w:rPr>
        <w:t>f</w:t>
      </w:r>
      <w:r w:rsidRPr="5937A937">
        <w:rPr>
          <w:rFonts w:cs="Calibri"/>
          <w:color w:val="auto"/>
          <w:sz w:val="22"/>
          <w:szCs w:val="22"/>
          <w:lang w:val="en-GB"/>
        </w:rPr>
        <w:t>ur</w:t>
      </w:r>
      <w:proofErr w:type="spellEnd"/>
      <w:r w:rsidRPr="5937A937">
        <w:rPr>
          <w:rFonts w:cs="Calibri"/>
          <w:color w:val="auto"/>
          <w:sz w:val="22"/>
          <w:szCs w:val="22"/>
          <w:lang w:val="en-GB"/>
        </w:rPr>
        <w:t xml:space="preserve"> </w:t>
      </w:r>
      <w:r w:rsidR="3478ED4D" w:rsidRPr="5937A937">
        <w:rPr>
          <w:rFonts w:cs="Calibri"/>
          <w:color w:val="auto"/>
          <w:sz w:val="22"/>
          <w:szCs w:val="22"/>
          <w:lang w:val="en-GB"/>
        </w:rPr>
        <w:t>o</w:t>
      </w:r>
      <w:r w:rsidRPr="5937A937">
        <w:rPr>
          <w:rFonts w:cs="Calibri"/>
          <w:color w:val="auto"/>
          <w:sz w:val="22"/>
          <w:szCs w:val="22"/>
          <w:lang w:val="en-GB"/>
        </w:rPr>
        <w:t>xide (</w:t>
      </w:r>
      <w:proofErr w:type="spellStart"/>
      <w:r w:rsidRPr="5937A937">
        <w:rPr>
          <w:rFonts w:cs="Calibri"/>
          <w:color w:val="auto"/>
          <w:sz w:val="22"/>
          <w:szCs w:val="22"/>
          <w:lang w:val="en-GB"/>
        </w:rPr>
        <w:t>SOx</w:t>
      </w:r>
      <w:proofErr w:type="spellEnd"/>
      <w:r w:rsidRPr="5937A937">
        <w:rPr>
          <w:rFonts w:cs="Calibri"/>
          <w:color w:val="auto"/>
          <w:sz w:val="22"/>
          <w:szCs w:val="22"/>
          <w:lang w:val="en-GB"/>
        </w:rPr>
        <w:t>)</w:t>
      </w:r>
      <w:r w:rsidR="3F09015E" w:rsidRPr="5937A937">
        <w:rPr>
          <w:rFonts w:cs="Calibri"/>
          <w:color w:val="auto"/>
          <w:sz w:val="22"/>
          <w:szCs w:val="22"/>
          <w:lang w:val="en-GB"/>
        </w:rPr>
        <w:t>;</w:t>
      </w:r>
      <w:r w:rsidRPr="5937A937">
        <w:rPr>
          <w:rFonts w:cs="Calibri"/>
          <w:color w:val="auto"/>
          <w:sz w:val="22"/>
          <w:szCs w:val="22"/>
          <w:lang w:val="en-GB"/>
        </w:rPr>
        <w:t xml:space="preserve"> </w:t>
      </w:r>
      <w:r w:rsidR="3865F3CD" w:rsidRPr="5937A937">
        <w:rPr>
          <w:rFonts w:cs="Calibri"/>
          <w:color w:val="auto"/>
          <w:sz w:val="22"/>
          <w:szCs w:val="22"/>
          <w:lang w:val="en-GB"/>
        </w:rPr>
        <w:t>v</w:t>
      </w:r>
      <w:r w:rsidRPr="5937A937">
        <w:rPr>
          <w:rFonts w:cs="Calibri"/>
          <w:color w:val="auto"/>
          <w:sz w:val="22"/>
          <w:szCs w:val="22"/>
          <w:lang w:val="en-GB"/>
        </w:rPr>
        <w:t xml:space="preserve">olatile </w:t>
      </w:r>
      <w:r w:rsidR="5FA88122" w:rsidRPr="5937A937">
        <w:rPr>
          <w:rFonts w:cs="Calibri"/>
          <w:color w:val="auto"/>
          <w:sz w:val="22"/>
          <w:szCs w:val="22"/>
          <w:lang w:val="en-GB"/>
        </w:rPr>
        <w:t>o</w:t>
      </w:r>
      <w:r w:rsidRPr="5937A937">
        <w:rPr>
          <w:rFonts w:cs="Calibri"/>
          <w:color w:val="auto"/>
          <w:sz w:val="22"/>
          <w:szCs w:val="22"/>
          <w:lang w:val="en-GB"/>
        </w:rPr>
        <w:t xml:space="preserve">rganic </w:t>
      </w:r>
      <w:r w:rsidR="4718CA9F" w:rsidRPr="5937A937">
        <w:rPr>
          <w:rFonts w:cs="Calibri"/>
          <w:color w:val="auto"/>
          <w:sz w:val="22"/>
          <w:szCs w:val="22"/>
          <w:lang w:val="en-GB"/>
        </w:rPr>
        <w:t>c</w:t>
      </w:r>
      <w:r w:rsidRPr="5937A937">
        <w:rPr>
          <w:rFonts w:cs="Calibri"/>
          <w:color w:val="auto"/>
          <w:sz w:val="22"/>
          <w:szCs w:val="22"/>
          <w:lang w:val="en-GB"/>
        </w:rPr>
        <w:t>ompounds (VOC)</w:t>
      </w:r>
      <w:r w:rsidR="27464845" w:rsidRPr="5937A937">
        <w:rPr>
          <w:rFonts w:cs="Calibri"/>
          <w:color w:val="auto"/>
          <w:sz w:val="22"/>
          <w:szCs w:val="22"/>
          <w:lang w:val="en-GB"/>
        </w:rPr>
        <w:t>;</w:t>
      </w:r>
      <w:r w:rsidR="002A2257">
        <w:rPr>
          <w:rFonts w:cs="Calibri"/>
          <w:color w:val="auto"/>
          <w:sz w:val="22"/>
          <w:szCs w:val="22"/>
          <w:lang w:val="en-GB"/>
        </w:rPr>
        <w:t xml:space="preserve"> and</w:t>
      </w:r>
      <w:r w:rsidRPr="5937A937">
        <w:rPr>
          <w:rFonts w:cs="Calibri"/>
          <w:color w:val="auto"/>
          <w:sz w:val="22"/>
          <w:szCs w:val="22"/>
          <w:lang w:val="en-GB"/>
        </w:rPr>
        <w:t xml:space="preserve"> </w:t>
      </w:r>
      <w:r w:rsidR="0C8A6DF5" w:rsidRPr="5937A937">
        <w:rPr>
          <w:rFonts w:cs="Calibri"/>
          <w:color w:val="auto"/>
          <w:sz w:val="22"/>
          <w:szCs w:val="22"/>
          <w:lang w:val="en-GB"/>
        </w:rPr>
        <w:t>p</w:t>
      </w:r>
      <w:r w:rsidRPr="5937A937">
        <w:rPr>
          <w:rFonts w:cs="Calibri"/>
          <w:color w:val="auto"/>
          <w:sz w:val="22"/>
          <w:szCs w:val="22"/>
          <w:lang w:val="en-GB"/>
        </w:rPr>
        <w:t xml:space="preserve">articular </w:t>
      </w:r>
      <w:r w:rsidR="4234A2E4" w:rsidRPr="5937A937">
        <w:rPr>
          <w:rFonts w:cs="Calibri"/>
          <w:color w:val="auto"/>
          <w:sz w:val="22"/>
          <w:szCs w:val="22"/>
          <w:lang w:val="en-GB"/>
        </w:rPr>
        <w:t>m</w:t>
      </w:r>
      <w:r w:rsidRPr="5937A937">
        <w:rPr>
          <w:rFonts w:cs="Calibri"/>
          <w:color w:val="auto"/>
          <w:sz w:val="22"/>
          <w:szCs w:val="22"/>
          <w:lang w:val="en-GB"/>
        </w:rPr>
        <w:t>atter (PM)</w:t>
      </w:r>
      <w:r w:rsidR="000E56EE">
        <w:rPr>
          <w:rFonts w:cs="Calibri"/>
          <w:color w:val="auto"/>
          <w:sz w:val="22"/>
          <w:szCs w:val="22"/>
          <w:lang w:val="en-GB"/>
        </w:rPr>
        <w:t xml:space="preserve"> </w:t>
      </w:r>
      <w:r w:rsidR="00037B04">
        <w:rPr>
          <w:rFonts w:cs="Calibri"/>
          <w:color w:val="auto"/>
          <w:sz w:val="22"/>
          <w:szCs w:val="22"/>
          <w:lang w:val="en-GB"/>
        </w:rPr>
        <w:t>(see table 1)</w:t>
      </w:r>
      <w:r w:rsidRPr="5937A937">
        <w:rPr>
          <w:rFonts w:cs="Calibri"/>
          <w:color w:val="auto"/>
          <w:sz w:val="22"/>
          <w:szCs w:val="22"/>
          <w:lang w:val="en-GB"/>
        </w:rPr>
        <w:t xml:space="preserve">. </w:t>
      </w:r>
      <w:r w:rsidR="00F05AD7">
        <w:rPr>
          <w:rFonts w:cs="Calibri"/>
          <w:color w:val="auto"/>
          <w:sz w:val="22"/>
          <w:szCs w:val="22"/>
        </w:rPr>
        <w:t>Limits</w:t>
      </w:r>
      <w:r w:rsidR="00F05AD7" w:rsidDel="00004694">
        <w:rPr>
          <w:rFonts w:cs="Calibri"/>
          <w:color w:val="auto"/>
          <w:sz w:val="22"/>
          <w:szCs w:val="22"/>
          <w:lang w:val="en-GB"/>
        </w:rPr>
        <w:t xml:space="preserve"> </w:t>
      </w:r>
      <w:r w:rsidR="00F05AD7">
        <w:rPr>
          <w:rFonts w:cs="Calibri"/>
          <w:color w:val="auto"/>
          <w:sz w:val="22"/>
          <w:szCs w:val="22"/>
          <w:lang w:val="en-GB"/>
        </w:rPr>
        <w:t xml:space="preserve">in the </w:t>
      </w:r>
      <w:r w:rsidR="00F05AD7">
        <w:rPr>
          <w:rFonts w:cs="Calibri"/>
          <w:color w:val="auto"/>
          <w:sz w:val="22"/>
          <w:szCs w:val="22"/>
        </w:rPr>
        <w:t>s</w:t>
      </w:r>
      <w:r w:rsidR="00D62160" w:rsidRPr="5937A937">
        <w:rPr>
          <w:rFonts w:cs="Calibri"/>
          <w:color w:val="auto"/>
          <w:sz w:val="22"/>
          <w:szCs w:val="22"/>
        </w:rPr>
        <w:t>u</w:t>
      </w:r>
      <w:r w:rsidR="00D62160">
        <w:rPr>
          <w:rFonts w:cs="Calibri"/>
          <w:color w:val="auto"/>
          <w:sz w:val="22"/>
          <w:szCs w:val="22"/>
        </w:rPr>
        <w:t>l</w:t>
      </w:r>
      <w:r w:rsidR="00D62160" w:rsidRPr="5937A937">
        <w:rPr>
          <w:rFonts w:cs="Calibri"/>
          <w:color w:val="auto"/>
          <w:sz w:val="22"/>
          <w:szCs w:val="22"/>
        </w:rPr>
        <w:t>fur</w:t>
      </w:r>
      <w:r w:rsidR="03018CFE" w:rsidRPr="5937A937">
        <w:rPr>
          <w:rFonts w:cs="Calibri"/>
          <w:color w:val="auto"/>
          <w:sz w:val="22"/>
          <w:szCs w:val="22"/>
        </w:rPr>
        <w:t xml:space="preserve"> </w:t>
      </w:r>
      <w:r w:rsidR="00F05AD7">
        <w:rPr>
          <w:rFonts w:cs="Calibri"/>
          <w:color w:val="auto"/>
          <w:sz w:val="22"/>
          <w:szCs w:val="22"/>
        </w:rPr>
        <w:t>content</w:t>
      </w:r>
      <w:r w:rsidR="03018CFE" w:rsidRPr="5937A937">
        <w:rPr>
          <w:rFonts w:cs="Calibri"/>
          <w:color w:val="auto"/>
          <w:sz w:val="22"/>
          <w:szCs w:val="22"/>
        </w:rPr>
        <w:t xml:space="preserve"> </w:t>
      </w:r>
      <w:r w:rsidR="00F05AD7">
        <w:rPr>
          <w:rFonts w:cs="Calibri"/>
          <w:color w:val="auto"/>
          <w:sz w:val="22"/>
          <w:szCs w:val="22"/>
        </w:rPr>
        <w:t xml:space="preserve">of the fuel </w:t>
      </w:r>
      <w:r w:rsidRPr="5937A937">
        <w:rPr>
          <w:rFonts w:cs="Calibri"/>
          <w:color w:val="auto"/>
          <w:sz w:val="22"/>
          <w:szCs w:val="22"/>
        </w:rPr>
        <w:t xml:space="preserve">were reduced from </w:t>
      </w:r>
      <w:r w:rsidR="00004694">
        <w:rPr>
          <w:rFonts w:cs="Calibri"/>
          <w:color w:val="auto"/>
          <w:sz w:val="22"/>
          <w:szCs w:val="22"/>
        </w:rPr>
        <w:t>3</w:t>
      </w:r>
      <w:r w:rsidRPr="5937A937">
        <w:rPr>
          <w:rFonts w:cs="Calibri"/>
          <w:color w:val="auto"/>
          <w:sz w:val="22"/>
          <w:szCs w:val="22"/>
        </w:rPr>
        <w:t>.5</w:t>
      </w:r>
      <w:r w:rsidR="00D9190A">
        <w:rPr>
          <w:rFonts w:cs="Calibri"/>
          <w:color w:val="auto"/>
          <w:sz w:val="22"/>
          <w:szCs w:val="22"/>
        </w:rPr>
        <w:t xml:space="preserve"> </w:t>
      </w:r>
      <w:r w:rsidRPr="5937A937">
        <w:rPr>
          <w:rFonts w:cs="Calibri"/>
          <w:color w:val="auto"/>
          <w:sz w:val="22"/>
          <w:szCs w:val="22"/>
        </w:rPr>
        <w:t>% to 0.5</w:t>
      </w:r>
      <w:r w:rsidR="00D9190A">
        <w:rPr>
          <w:rFonts w:cs="Calibri"/>
          <w:color w:val="auto"/>
          <w:sz w:val="22"/>
          <w:szCs w:val="22"/>
        </w:rPr>
        <w:t xml:space="preserve"> </w:t>
      </w:r>
      <w:r w:rsidRPr="5937A937">
        <w:rPr>
          <w:rFonts w:cs="Calibri"/>
          <w:color w:val="auto"/>
          <w:sz w:val="22"/>
          <w:szCs w:val="22"/>
        </w:rPr>
        <w:t>%</w:t>
      </w:r>
      <w:r w:rsidR="0051145B">
        <w:rPr>
          <w:rFonts w:cs="Calibri"/>
          <w:color w:val="auto"/>
          <w:sz w:val="22"/>
          <w:szCs w:val="22"/>
        </w:rPr>
        <w:t xml:space="preserve">. </w:t>
      </w:r>
      <w:r w:rsidR="00487622">
        <w:rPr>
          <w:rFonts w:cs="Calibri"/>
          <w:color w:val="auto"/>
          <w:sz w:val="22"/>
          <w:szCs w:val="22"/>
        </w:rPr>
        <w:t xml:space="preserve"> Whitin </w:t>
      </w:r>
      <w:r w:rsidR="009C2AA5">
        <w:rPr>
          <w:rFonts w:cs="Calibri"/>
          <w:color w:val="auto"/>
          <w:sz w:val="22"/>
          <w:szCs w:val="22"/>
        </w:rPr>
        <w:t>specific design</w:t>
      </w:r>
      <w:r w:rsidR="00D9190A">
        <w:rPr>
          <w:rFonts w:cs="Calibri"/>
          <w:color w:val="auto"/>
          <w:sz w:val="22"/>
          <w:szCs w:val="22"/>
        </w:rPr>
        <w:t>ated ECAs the limits were even stricter (0.1 %</w:t>
      </w:r>
      <w:r w:rsidR="00342B64">
        <w:rPr>
          <w:rFonts w:cs="Calibri"/>
          <w:color w:val="auto"/>
          <w:sz w:val="22"/>
          <w:szCs w:val="22"/>
        </w:rPr>
        <w:t xml:space="preserve">) </w:t>
      </w:r>
      <w:r w:rsidR="00D62160">
        <w:rPr>
          <w:rFonts w:cs="Calibri"/>
          <w:color w:val="auto"/>
          <w:sz w:val="22"/>
          <w:szCs w:val="22"/>
        </w:rPr>
        <w:fldChar w:fldCharType="begin" w:fldLock="1"/>
      </w:r>
      <w:r w:rsidR="00E41D89">
        <w:rPr>
          <w:rFonts w:cs="Calibri"/>
          <w:color w:val="auto"/>
          <w:sz w:val="22"/>
          <w:szCs w:val="22"/>
        </w:rPr>
        <w:instrText>ADDIN CSL_CITATION {"citationItems":[{"id":"ITEM-1","itemData":{"ISBN":"9789280117189","URL":"https://www.imo.org/en/MediaCentre/HotTopics/Pages/Sulphur-2020.aspx","abstract":"\"Sales number I666E\"--Title page verso.","accessed":{"date-parts":[["2021","9","19"]]},"author":[{"dropping-particle":"","family":"IMO","given":"","non-dropping-particle":"","parse-names":false,"suffix":""}],"container-title":"International Maritime Organization","id":"ITEM-1","issue":"January","issued":{"date-parts":[["2020"]]},"page":"97","title":"IMO 2020 – cutting sulphur oxide emissions","type":"webpage"},"uris":["http://www.mendeley.com/documents/?uuid=d4ab555b-0f0a-4a76-8a8c-724514ebf1c8"]}],"mendeley":{"formattedCitation":"(IMO, 2020)","plainTextFormattedCitation":"(IMO, 2020)","previouslyFormattedCitation":"(IMO, 2020)"},"properties":{"noteIndex":0},"schema":"https://github.com/citation-style-language/schema/raw/master/csl-citation.json"}</w:instrText>
      </w:r>
      <w:r w:rsidR="00D62160">
        <w:rPr>
          <w:rFonts w:cs="Calibri"/>
          <w:color w:val="auto"/>
          <w:sz w:val="22"/>
          <w:szCs w:val="22"/>
        </w:rPr>
        <w:fldChar w:fldCharType="separate"/>
      </w:r>
      <w:r w:rsidR="00D62160" w:rsidRPr="00D62160">
        <w:rPr>
          <w:rFonts w:cs="Calibri"/>
          <w:noProof/>
          <w:color w:val="auto"/>
          <w:sz w:val="22"/>
          <w:szCs w:val="22"/>
        </w:rPr>
        <w:t>(IMO, 2020)</w:t>
      </w:r>
      <w:r w:rsidR="00D62160">
        <w:rPr>
          <w:rFonts w:cs="Calibri"/>
          <w:color w:val="auto"/>
          <w:sz w:val="22"/>
          <w:szCs w:val="22"/>
        </w:rPr>
        <w:fldChar w:fldCharType="end"/>
      </w:r>
      <w:r w:rsidR="07F02BB6" w:rsidRPr="5937A937">
        <w:rPr>
          <w:rFonts w:cs="Calibri"/>
          <w:color w:val="auto"/>
          <w:sz w:val="22"/>
          <w:szCs w:val="22"/>
        </w:rPr>
        <w:t>.</w:t>
      </w:r>
      <w:r w:rsidR="5814ACF2" w:rsidRPr="5937A937">
        <w:rPr>
          <w:rFonts w:cs="Calibri"/>
          <w:color w:val="auto"/>
          <w:sz w:val="22"/>
          <w:szCs w:val="22"/>
        </w:rPr>
        <w:t xml:space="preserve"> </w:t>
      </w:r>
      <w:r w:rsidRPr="5937A937">
        <w:rPr>
          <w:rFonts w:cs="Calibri"/>
          <w:color w:val="auto"/>
          <w:sz w:val="22"/>
          <w:szCs w:val="22"/>
        </w:rPr>
        <w:t xml:space="preserve"> </w:t>
      </w:r>
      <w:r w:rsidR="7815FEC3" w:rsidRPr="5937A937">
        <w:rPr>
          <w:rFonts w:cs="Calibri"/>
          <w:color w:val="auto"/>
          <w:sz w:val="22"/>
          <w:szCs w:val="22"/>
        </w:rPr>
        <w:t xml:space="preserve">There are two possible alternatives to reduce </w:t>
      </w:r>
      <w:proofErr w:type="spellStart"/>
      <w:r w:rsidR="7815FEC3" w:rsidRPr="5937A937">
        <w:rPr>
          <w:rFonts w:cs="Calibri"/>
          <w:color w:val="auto"/>
          <w:sz w:val="22"/>
          <w:szCs w:val="22"/>
        </w:rPr>
        <w:t>SOx</w:t>
      </w:r>
      <w:proofErr w:type="spellEnd"/>
      <w:r w:rsidR="7815FEC3" w:rsidRPr="5937A937">
        <w:rPr>
          <w:rFonts w:cs="Calibri"/>
          <w:color w:val="auto"/>
          <w:sz w:val="22"/>
          <w:szCs w:val="22"/>
        </w:rPr>
        <w:t xml:space="preserve"> emission</w:t>
      </w:r>
      <w:r w:rsidR="00C45FEB">
        <w:rPr>
          <w:rFonts w:cs="Calibri"/>
          <w:color w:val="auto"/>
          <w:sz w:val="22"/>
          <w:szCs w:val="22"/>
        </w:rPr>
        <w:t xml:space="preserve"> namely</w:t>
      </w:r>
      <w:r w:rsidR="7815FEC3" w:rsidRPr="5937A937">
        <w:rPr>
          <w:rFonts w:cs="Calibri"/>
          <w:color w:val="auto"/>
          <w:sz w:val="22"/>
          <w:szCs w:val="22"/>
        </w:rPr>
        <w:t xml:space="preserve">, </w:t>
      </w:r>
      <w:r w:rsidR="48AC88A5" w:rsidRPr="5937A937">
        <w:rPr>
          <w:rFonts w:cs="Calibri"/>
          <w:color w:val="auto"/>
          <w:sz w:val="22"/>
          <w:szCs w:val="22"/>
        </w:rPr>
        <w:t xml:space="preserve">the </w:t>
      </w:r>
      <w:r w:rsidR="7815FEC3" w:rsidRPr="5937A937">
        <w:rPr>
          <w:rFonts w:cs="Calibri"/>
          <w:color w:val="auto"/>
          <w:sz w:val="22"/>
          <w:szCs w:val="22"/>
        </w:rPr>
        <w:t>use</w:t>
      </w:r>
      <w:r w:rsidRPr="5937A937">
        <w:rPr>
          <w:rFonts w:cs="Calibri"/>
          <w:color w:val="auto"/>
          <w:sz w:val="22"/>
          <w:szCs w:val="22"/>
        </w:rPr>
        <w:t xml:space="preserve"> </w:t>
      </w:r>
      <w:r w:rsidR="31FCEFA0" w:rsidRPr="5937A937">
        <w:rPr>
          <w:rFonts w:cs="Calibri"/>
          <w:color w:val="auto"/>
          <w:sz w:val="22"/>
          <w:szCs w:val="22"/>
        </w:rPr>
        <w:t xml:space="preserve">of </w:t>
      </w:r>
      <w:r w:rsidRPr="5937A937">
        <w:rPr>
          <w:rFonts w:cs="Calibri"/>
          <w:color w:val="auto"/>
          <w:sz w:val="22"/>
          <w:szCs w:val="22"/>
        </w:rPr>
        <w:t xml:space="preserve">low </w:t>
      </w:r>
      <w:r w:rsidR="628A71F0" w:rsidRPr="5937A937">
        <w:rPr>
          <w:rFonts w:cs="Calibri"/>
          <w:color w:val="auto"/>
          <w:sz w:val="22"/>
          <w:szCs w:val="22"/>
        </w:rPr>
        <w:t>sulfur fuels</w:t>
      </w:r>
      <w:r w:rsidR="7982692B" w:rsidRPr="5937A937">
        <w:rPr>
          <w:rFonts w:cs="Calibri"/>
          <w:color w:val="auto"/>
          <w:sz w:val="22"/>
          <w:szCs w:val="22"/>
        </w:rPr>
        <w:t xml:space="preserve"> or</w:t>
      </w:r>
      <w:r w:rsidRPr="5937A937">
        <w:rPr>
          <w:rFonts w:cs="Calibri"/>
          <w:color w:val="auto"/>
          <w:sz w:val="22"/>
          <w:szCs w:val="22"/>
        </w:rPr>
        <w:t xml:space="preserve"> scrubbers. </w:t>
      </w:r>
      <w:r w:rsidR="72B49509" w:rsidRPr="5937A937">
        <w:rPr>
          <w:rFonts w:cs="Calibri"/>
          <w:color w:val="auto"/>
          <w:sz w:val="22"/>
          <w:szCs w:val="22"/>
        </w:rPr>
        <w:t xml:space="preserve">This is particularly relevant in the context of IDEALFUEL, since low </w:t>
      </w:r>
      <w:r w:rsidR="00347B73">
        <w:rPr>
          <w:rFonts w:cs="Calibri"/>
          <w:color w:val="auto"/>
          <w:sz w:val="22"/>
          <w:szCs w:val="22"/>
        </w:rPr>
        <w:t>s</w:t>
      </w:r>
      <w:r w:rsidR="72B49509" w:rsidRPr="5937A937">
        <w:rPr>
          <w:rFonts w:cs="Calibri"/>
          <w:color w:val="auto"/>
          <w:sz w:val="22"/>
          <w:szCs w:val="22"/>
        </w:rPr>
        <w:t>ul</w:t>
      </w:r>
      <w:r w:rsidR="00347B73">
        <w:rPr>
          <w:rFonts w:cs="Calibri"/>
          <w:color w:val="auto"/>
          <w:sz w:val="22"/>
          <w:szCs w:val="22"/>
        </w:rPr>
        <w:t>f</w:t>
      </w:r>
      <w:r w:rsidR="72B49509" w:rsidRPr="5937A937">
        <w:rPr>
          <w:rFonts w:cs="Calibri"/>
          <w:color w:val="auto"/>
          <w:sz w:val="22"/>
          <w:szCs w:val="22"/>
        </w:rPr>
        <w:t xml:space="preserve">ur fuels can benefit from a premium price. </w:t>
      </w:r>
    </w:p>
    <w:p w14:paraId="354ECD94" w14:textId="77777777" w:rsidR="00DF3F0E" w:rsidRDefault="00DF3F0E" w:rsidP="5937A937">
      <w:pPr>
        <w:spacing w:after="120" w:line="360" w:lineRule="auto"/>
        <w:ind w:firstLine="720"/>
        <w:rPr>
          <w:rFonts w:cs="Calibri"/>
          <w:color w:val="auto"/>
          <w:sz w:val="22"/>
          <w:szCs w:val="22"/>
        </w:rPr>
      </w:pPr>
    </w:p>
    <w:p w14:paraId="7D6BF761" w14:textId="233E90BC" w:rsidR="00E54BBD" w:rsidRDefault="00E54BBD" w:rsidP="00E54BBD">
      <w:pPr>
        <w:pStyle w:val="Caption"/>
        <w:keepNext/>
      </w:pPr>
      <w:bookmarkStart w:id="14" w:name="_Toc83296284"/>
      <w:r>
        <w:t xml:space="preserve">Table </w:t>
      </w:r>
      <w:fldSimple w:instr=" SEQ Table \* ARABIC ">
        <w:r w:rsidR="002E4890">
          <w:rPr>
            <w:noProof/>
          </w:rPr>
          <w:t>1</w:t>
        </w:r>
      </w:fldSimple>
      <w:r>
        <w:t>. Annex VI NO</w:t>
      </w:r>
      <w:r w:rsidRPr="00E54BBD">
        <w:rPr>
          <w:vertAlign w:val="subscript"/>
        </w:rPr>
        <w:t>x</w:t>
      </w:r>
      <w:r>
        <w:t xml:space="preserve"> emissions limits by Tier</w:t>
      </w:r>
      <w:bookmarkEnd w:id="1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5"/>
        <w:gridCol w:w="1926"/>
        <w:gridCol w:w="1926"/>
        <w:gridCol w:w="1926"/>
      </w:tblGrid>
      <w:tr w:rsidR="00D25B19" w:rsidRPr="00E54BBD" w14:paraId="47925F31" w14:textId="77777777" w:rsidTr="00E54BBD">
        <w:trPr>
          <w:jc w:val="center"/>
        </w:trPr>
        <w:tc>
          <w:tcPr>
            <w:tcW w:w="1925" w:type="dxa"/>
            <w:vMerge w:val="restart"/>
            <w:vAlign w:val="center"/>
          </w:tcPr>
          <w:p w14:paraId="6AD9A03D" w14:textId="08D14DBF"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Tier</w:t>
            </w:r>
          </w:p>
        </w:tc>
        <w:tc>
          <w:tcPr>
            <w:tcW w:w="1925" w:type="dxa"/>
            <w:vMerge w:val="restart"/>
            <w:vAlign w:val="center"/>
          </w:tcPr>
          <w:p w14:paraId="39E5366D" w14:textId="7955B8DA"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Date</w:t>
            </w:r>
          </w:p>
        </w:tc>
        <w:tc>
          <w:tcPr>
            <w:tcW w:w="5778" w:type="dxa"/>
            <w:gridSpan w:val="3"/>
            <w:vAlign w:val="center"/>
          </w:tcPr>
          <w:p w14:paraId="528B5D98" w14:textId="07AEFB20"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NOx Limit [g/kWh]</w:t>
            </w:r>
          </w:p>
        </w:tc>
      </w:tr>
      <w:tr w:rsidR="00D25B19" w:rsidRPr="00E54BBD" w14:paraId="7655BD50" w14:textId="77777777" w:rsidTr="00E54BBD">
        <w:trPr>
          <w:jc w:val="center"/>
        </w:trPr>
        <w:tc>
          <w:tcPr>
            <w:tcW w:w="1925" w:type="dxa"/>
            <w:vMerge/>
            <w:tcBorders>
              <w:bottom w:val="single" w:sz="4" w:space="0" w:color="auto"/>
            </w:tcBorders>
            <w:vAlign w:val="center"/>
          </w:tcPr>
          <w:p w14:paraId="555AC5DF" w14:textId="77777777" w:rsidR="00D25B19" w:rsidRPr="00AD1ED7" w:rsidRDefault="00D25B19" w:rsidP="00E54BBD">
            <w:pPr>
              <w:spacing w:before="120" w:after="120"/>
              <w:jc w:val="center"/>
              <w:rPr>
                <w:rFonts w:cs="Calibri"/>
                <w:b/>
                <w:bCs/>
                <w:color w:val="auto"/>
                <w:sz w:val="18"/>
                <w:szCs w:val="18"/>
              </w:rPr>
            </w:pPr>
          </w:p>
        </w:tc>
        <w:tc>
          <w:tcPr>
            <w:tcW w:w="1925" w:type="dxa"/>
            <w:vMerge/>
            <w:tcBorders>
              <w:bottom w:val="single" w:sz="4" w:space="0" w:color="auto"/>
            </w:tcBorders>
            <w:vAlign w:val="center"/>
          </w:tcPr>
          <w:p w14:paraId="1665EB82" w14:textId="77777777" w:rsidR="00D25B19" w:rsidRPr="00AD1ED7" w:rsidRDefault="00D25B19" w:rsidP="00E54BBD">
            <w:pPr>
              <w:spacing w:before="120" w:after="120"/>
              <w:jc w:val="center"/>
              <w:rPr>
                <w:rFonts w:cs="Calibri"/>
                <w:b/>
                <w:bCs/>
                <w:color w:val="auto"/>
                <w:sz w:val="18"/>
                <w:szCs w:val="18"/>
              </w:rPr>
            </w:pPr>
          </w:p>
        </w:tc>
        <w:tc>
          <w:tcPr>
            <w:tcW w:w="1926" w:type="dxa"/>
            <w:tcBorders>
              <w:bottom w:val="single" w:sz="4" w:space="0" w:color="auto"/>
            </w:tcBorders>
            <w:vAlign w:val="center"/>
          </w:tcPr>
          <w:p w14:paraId="5F08987E" w14:textId="3CC08620"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n &lt; 130</w:t>
            </w:r>
          </w:p>
        </w:tc>
        <w:tc>
          <w:tcPr>
            <w:tcW w:w="1926" w:type="dxa"/>
            <w:tcBorders>
              <w:bottom w:val="single" w:sz="4" w:space="0" w:color="auto"/>
            </w:tcBorders>
            <w:vAlign w:val="center"/>
          </w:tcPr>
          <w:p w14:paraId="67CEF170" w14:textId="33AEA86C"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130 ≤ n &lt; 2000</w:t>
            </w:r>
          </w:p>
        </w:tc>
        <w:tc>
          <w:tcPr>
            <w:tcW w:w="1926" w:type="dxa"/>
            <w:tcBorders>
              <w:bottom w:val="single" w:sz="4" w:space="0" w:color="auto"/>
            </w:tcBorders>
            <w:vAlign w:val="center"/>
          </w:tcPr>
          <w:p w14:paraId="09114376" w14:textId="43C0210B" w:rsidR="00D25B19" w:rsidRPr="00AD1ED7" w:rsidRDefault="00D25B19" w:rsidP="00E54BBD">
            <w:pPr>
              <w:spacing w:before="120" w:after="120"/>
              <w:jc w:val="center"/>
              <w:rPr>
                <w:rFonts w:cs="Calibri"/>
                <w:b/>
                <w:bCs/>
                <w:color w:val="auto"/>
                <w:sz w:val="18"/>
                <w:szCs w:val="18"/>
              </w:rPr>
            </w:pPr>
            <w:r w:rsidRPr="00AD1ED7">
              <w:rPr>
                <w:rFonts w:cs="Calibri"/>
                <w:b/>
                <w:bCs/>
                <w:color w:val="auto"/>
                <w:sz w:val="18"/>
                <w:szCs w:val="18"/>
              </w:rPr>
              <w:t>n ≥ 2000</w:t>
            </w:r>
          </w:p>
        </w:tc>
      </w:tr>
      <w:tr w:rsidR="00394CCB" w:rsidRPr="00E54BBD" w14:paraId="4D6E4165" w14:textId="77777777" w:rsidTr="00E54BBD">
        <w:trPr>
          <w:jc w:val="center"/>
        </w:trPr>
        <w:tc>
          <w:tcPr>
            <w:tcW w:w="1925" w:type="dxa"/>
            <w:tcBorders>
              <w:top w:val="single" w:sz="4" w:space="0" w:color="auto"/>
            </w:tcBorders>
            <w:vAlign w:val="center"/>
          </w:tcPr>
          <w:p w14:paraId="524C8FC9" w14:textId="650152EA" w:rsidR="00671FF9" w:rsidRPr="00E54BBD" w:rsidRDefault="00D25B19" w:rsidP="00E54BBD">
            <w:pPr>
              <w:spacing w:before="120" w:after="120"/>
              <w:jc w:val="center"/>
              <w:rPr>
                <w:rFonts w:cs="Calibri"/>
                <w:color w:val="auto"/>
                <w:sz w:val="18"/>
                <w:szCs w:val="18"/>
              </w:rPr>
            </w:pPr>
            <w:r w:rsidRPr="00E54BBD">
              <w:rPr>
                <w:rFonts w:cs="Calibri"/>
                <w:color w:val="auto"/>
                <w:sz w:val="18"/>
                <w:szCs w:val="18"/>
              </w:rPr>
              <w:t>Tie</w:t>
            </w:r>
            <w:r w:rsidR="00671FF9" w:rsidRPr="00E54BBD">
              <w:rPr>
                <w:rFonts w:cs="Calibri"/>
                <w:color w:val="auto"/>
                <w:sz w:val="18"/>
                <w:szCs w:val="18"/>
              </w:rPr>
              <w:t>r I</w:t>
            </w:r>
          </w:p>
        </w:tc>
        <w:tc>
          <w:tcPr>
            <w:tcW w:w="1925" w:type="dxa"/>
            <w:tcBorders>
              <w:top w:val="single" w:sz="4" w:space="0" w:color="auto"/>
            </w:tcBorders>
            <w:vAlign w:val="center"/>
          </w:tcPr>
          <w:p w14:paraId="5E34F73F" w14:textId="03214475" w:rsidR="00394CCB" w:rsidRPr="00E54BBD" w:rsidRDefault="00FC7DD1" w:rsidP="00E54BBD">
            <w:pPr>
              <w:spacing w:before="120" w:after="120"/>
              <w:jc w:val="center"/>
              <w:rPr>
                <w:rFonts w:cs="Calibri"/>
                <w:color w:val="auto"/>
                <w:sz w:val="18"/>
                <w:szCs w:val="18"/>
              </w:rPr>
            </w:pPr>
            <w:r w:rsidRPr="00E54BBD">
              <w:rPr>
                <w:rFonts w:cs="Calibri"/>
                <w:color w:val="auto"/>
                <w:sz w:val="18"/>
                <w:szCs w:val="18"/>
              </w:rPr>
              <w:t>2000</w:t>
            </w:r>
          </w:p>
        </w:tc>
        <w:tc>
          <w:tcPr>
            <w:tcW w:w="1926" w:type="dxa"/>
            <w:tcBorders>
              <w:top w:val="single" w:sz="4" w:space="0" w:color="auto"/>
            </w:tcBorders>
            <w:vAlign w:val="center"/>
          </w:tcPr>
          <w:p w14:paraId="30FE14F0" w14:textId="367AC472"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17</w:t>
            </w:r>
          </w:p>
        </w:tc>
        <w:tc>
          <w:tcPr>
            <w:tcW w:w="1926" w:type="dxa"/>
            <w:tcBorders>
              <w:top w:val="single" w:sz="4" w:space="0" w:color="auto"/>
            </w:tcBorders>
            <w:vAlign w:val="center"/>
          </w:tcPr>
          <w:p w14:paraId="1E7607FE" w14:textId="35ACCF95" w:rsidR="00394CCB" w:rsidRPr="00E54BBD" w:rsidRDefault="00F931B6" w:rsidP="00E54BBD">
            <w:pPr>
              <w:spacing w:before="120" w:after="120"/>
              <w:jc w:val="center"/>
              <w:rPr>
                <w:rFonts w:cs="Calibri"/>
                <w:color w:val="auto"/>
                <w:sz w:val="18"/>
                <w:szCs w:val="18"/>
              </w:rPr>
            </w:pPr>
            <w:r w:rsidRPr="00E54BBD">
              <w:rPr>
                <w:rFonts w:cs="Calibri"/>
                <w:color w:val="auto"/>
                <w:sz w:val="18"/>
                <w:szCs w:val="18"/>
              </w:rPr>
              <w:t>45 · n</w:t>
            </w:r>
            <w:r w:rsidRPr="00E54BBD">
              <w:rPr>
                <w:rFonts w:cs="Calibri"/>
                <w:color w:val="auto"/>
                <w:sz w:val="18"/>
                <w:szCs w:val="18"/>
                <w:vertAlign w:val="superscript"/>
              </w:rPr>
              <w:t>-0.2</w:t>
            </w:r>
          </w:p>
        </w:tc>
        <w:tc>
          <w:tcPr>
            <w:tcW w:w="1926" w:type="dxa"/>
            <w:tcBorders>
              <w:top w:val="single" w:sz="4" w:space="0" w:color="auto"/>
            </w:tcBorders>
            <w:vAlign w:val="center"/>
          </w:tcPr>
          <w:p w14:paraId="311D55B8" w14:textId="79FD9E63"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9.8</w:t>
            </w:r>
          </w:p>
        </w:tc>
      </w:tr>
      <w:tr w:rsidR="00394CCB" w:rsidRPr="00E54BBD" w14:paraId="5156B527" w14:textId="77777777" w:rsidTr="00E54BBD">
        <w:trPr>
          <w:jc w:val="center"/>
        </w:trPr>
        <w:tc>
          <w:tcPr>
            <w:tcW w:w="1925" w:type="dxa"/>
            <w:vAlign w:val="center"/>
          </w:tcPr>
          <w:p w14:paraId="19CF9975" w14:textId="6DCB92BC" w:rsidR="00394CCB" w:rsidRPr="00E54BBD" w:rsidRDefault="00671FF9" w:rsidP="00E54BBD">
            <w:pPr>
              <w:spacing w:before="120" w:after="120"/>
              <w:jc w:val="center"/>
              <w:rPr>
                <w:rFonts w:cs="Calibri"/>
                <w:color w:val="auto"/>
                <w:sz w:val="18"/>
                <w:szCs w:val="18"/>
              </w:rPr>
            </w:pPr>
            <w:r w:rsidRPr="00E54BBD">
              <w:rPr>
                <w:rFonts w:cs="Calibri"/>
                <w:color w:val="auto"/>
                <w:sz w:val="18"/>
                <w:szCs w:val="18"/>
              </w:rPr>
              <w:t>Tier II*</w:t>
            </w:r>
          </w:p>
        </w:tc>
        <w:tc>
          <w:tcPr>
            <w:tcW w:w="1925" w:type="dxa"/>
            <w:vAlign w:val="center"/>
          </w:tcPr>
          <w:p w14:paraId="4C3EE835" w14:textId="711C0D6B" w:rsidR="00394CCB" w:rsidRPr="00E54BBD" w:rsidRDefault="00FC7DD1" w:rsidP="00E54BBD">
            <w:pPr>
              <w:spacing w:before="120" w:after="120"/>
              <w:jc w:val="center"/>
              <w:rPr>
                <w:rFonts w:cs="Calibri"/>
                <w:color w:val="auto"/>
                <w:sz w:val="18"/>
                <w:szCs w:val="18"/>
              </w:rPr>
            </w:pPr>
            <w:r w:rsidRPr="00E54BBD">
              <w:rPr>
                <w:rFonts w:cs="Calibri"/>
                <w:color w:val="auto"/>
                <w:sz w:val="18"/>
                <w:szCs w:val="18"/>
              </w:rPr>
              <w:t>2011</w:t>
            </w:r>
          </w:p>
        </w:tc>
        <w:tc>
          <w:tcPr>
            <w:tcW w:w="1926" w:type="dxa"/>
            <w:vAlign w:val="center"/>
          </w:tcPr>
          <w:p w14:paraId="245F16C4" w14:textId="66F0AE1A"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14.4</w:t>
            </w:r>
          </w:p>
        </w:tc>
        <w:tc>
          <w:tcPr>
            <w:tcW w:w="1926" w:type="dxa"/>
            <w:vAlign w:val="center"/>
          </w:tcPr>
          <w:p w14:paraId="6EF92B0D" w14:textId="275AFA5C" w:rsidR="00394CCB" w:rsidRPr="00E54BBD" w:rsidRDefault="00E928C7" w:rsidP="00E54BBD">
            <w:pPr>
              <w:spacing w:before="120" w:after="120"/>
              <w:jc w:val="center"/>
              <w:rPr>
                <w:rFonts w:cs="Calibri"/>
                <w:color w:val="auto"/>
                <w:sz w:val="18"/>
                <w:szCs w:val="18"/>
              </w:rPr>
            </w:pPr>
            <w:r w:rsidRPr="00E54BBD">
              <w:rPr>
                <w:rFonts w:cs="Calibri"/>
                <w:color w:val="auto"/>
                <w:sz w:val="18"/>
                <w:szCs w:val="18"/>
              </w:rPr>
              <w:t>44 · n</w:t>
            </w:r>
            <w:r w:rsidRPr="00E54BBD">
              <w:rPr>
                <w:rFonts w:cs="Calibri"/>
                <w:color w:val="auto"/>
                <w:sz w:val="18"/>
                <w:szCs w:val="18"/>
                <w:vertAlign w:val="superscript"/>
              </w:rPr>
              <w:t>-0.2</w:t>
            </w:r>
          </w:p>
        </w:tc>
        <w:tc>
          <w:tcPr>
            <w:tcW w:w="1926" w:type="dxa"/>
            <w:vAlign w:val="center"/>
          </w:tcPr>
          <w:p w14:paraId="67F5875C" w14:textId="6ABD2159" w:rsidR="00394CCB" w:rsidRPr="00E54BBD" w:rsidRDefault="00182601" w:rsidP="00E54BBD">
            <w:pPr>
              <w:spacing w:before="120" w:after="120"/>
              <w:jc w:val="center"/>
              <w:rPr>
                <w:rFonts w:cs="Calibri"/>
                <w:color w:val="auto"/>
                <w:sz w:val="18"/>
                <w:szCs w:val="18"/>
              </w:rPr>
            </w:pPr>
            <w:r w:rsidRPr="00E54BBD">
              <w:rPr>
                <w:rFonts w:cs="Calibri"/>
                <w:color w:val="auto"/>
                <w:sz w:val="18"/>
                <w:szCs w:val="18"/>
              </w:rPr>
              <w:t>7.7</w:t>
            </w:r>
          </w:p>
        </w:tc>
      </w:tr>
      <w:tr w:rsidR="00671FF9" w:rsidRPr="00E54BBD" w14:paraId="5E5FD400" w14:textId="77777777" w:rsidTr="00E54BBD">
        <w:trPr>
          <w:jc w:val="center"/>
        </w:trPr>
        <w:tc>
          <w:tcPr>
            <w:tcW w:w="1925" w:type="dxa"/>
            <w:tcBorders>
              <w:bottom w:val="single" w:sz="4" w:space="0" w:color="auto"/>
            </w:tcBorders>
            <w:vAlign w:val="center"/>
          </w:tcPr>
          <w:p w14:paraId="27FC0D67" w14:textId="017ABD54" w:rsidR="00671FF9" w:rsidRPr="00E54BBD" w:rsidRDefault="00671FF9" w:rsidP="00E54BBD">
            <w:pPr>
              <w:spacing w:before="120" w:after="120"/>
              <w:jc w:val="center"/>
              <w:rPr>
                <w:rFonts w:cs="Calibri"/>
                <w:color w:val="auto"/>
                <w:sz w:val="18"/>
                <w:szCs w:val="18"/>
              </w:rPr>
            </w:pPr>
            <w:r w:rsidRPr="00E54BBD">
              <w:rPr>
                <w:rFonts w:cs="Calibri"/>
                <w:color w:val="auto"/>
                <w:sz w:val="18"/>
                <w:szCs w:val="18"/>
              </w:rPr>
              <w:t>Tier III</w:t>
            </w:r>
            <w:r w:rsidR="00DA728D" w:rsidRPr="00E54BBD">
              <w:rPr>
                <w:rFonts w:cs="Calibri"/>
                <w:color w:val="auto"/>
                <w:sz w:val="18"/>
                <w:szCs w:val="18"/>
              </w:rPr>
              <w:t>**</w:t>
            </w:r>
          </w:p>
        </w:tc>
        <w:tc>
          <w:tcPr>
            <w:tcW w:w="1925" w:type="dxa"/>
            <w:tcBorders>
              <w:bottom w:val="single" w:sz="4" w:space="0" w:color="auto"/>
            </w:tcBorders>
            <w:vAlign w:val="center"/>
          </w:tcPr>
          <w:p w14:paraId="0B9AED6E" w14:textId="0E9E1C66" w:rsidR="00671FF9" w:rsidRPr="00E54BBD" w:rsidRDefault="00182601" w:rsidP="00E54BBD">
            <w:pPr>
              <w:spacing w:before="120" w:after="120"/>
              <w:jc w:val="center"/>
              <w:rPr>
                <w:rFonts w:cs="Calibri"/>
                <w:color w:val="auto"/>
                <w:sz w:val="18"/>
                <w:szCs w:val="18"/>
              </w:rPr>
            </w:pPr>
            <w:r w:rsidRPr="00E54BBD">
              <w:rPr>
                <w:rFonts w:cs="Calibri"/>
                <w:color w:val="auto"/>
                <w:sz w:val="18"/>
                <w:szCs w:val="18"/>
              </w:rPr>
              <w:t>2016</w:t>
            </w:r>
          </w:p>
        </w:tc>
        <w:tc>
          <w:tcPr>
            <w:tcW w:w="1926" w:type="dxa"/>
            <w:tcBorders>
              <w:bottom w:val="single" w:sz="4" w:space="0" w:color="auto"/>
            </w:tcBorders>
            <w:vAlign w:val="center"/>
          </w:tcPr>
          <w:p w14:paraId="5193539A" w14:textId="6FDADAB1" w:rsidR="00671FF9" w:rsidRPr="00E54BBD" w:rsidRDefault="00182601" w:rsidP="00E54BBD">
            <w:pPr>
              <w:spacing w:before="120" w:after="120"/>
              <w:jc w:val="center"/>
              <w:rPr>
                <w:rFonts w:cs="Calibri"/>
                <w:color w:val="auto"/>
                <w:sz w:val="18"/>
                <w:szCs w:val="18"/>
              </w:rPr>
            </w:pPr>
            <w:r w:rsidRPr="00E54BBD">
              <w:rPr>
                <w:rFonts w:cs="Calibri"/>
                <w:color w:val="auto"/>
                <w:sz w:val="18"/>
                <w:szCs w:val="18"/>
              </w:rPr>
              <w:t>3.4</w:t>
            </w:r>
          </w:p>
        </w:tc>
        <w:tc>
          <w:tcPr>
            <w:tcW w:w="1926" w:type="dxa"/>
            <w:tcBorders>
              <w:bottom w:val="single" w:sz="4" w:space="0" w:color="auto"/>
            </w:tcBorders>
            <w:vAlign w:val="center"/>
          </w:tcPr>
          <w:p w14:paraId="1BFB0F18" w14:textId="7BB40E81" w:rsidR="00671FF9" w:rsidRPr="00E54BBD" w:rsidRDefault="00E928C7" w:rsidP="00E54BBD">
            <w:pPr>
              <w:spacing w:before="120" w:after="120"/>
              <w:jc w:val="center"/>
              <w:rPr>
                <w:rFonts w:cs="Calibri"/>
                <w:color w:val="auto"/>
                <w:sz w:val="18"/>
                <w:szCs w:val="18"/>
              </w:rPr>
            </w:pPr>
            <w:r w:rsidRPr="00E54BBD">
              <w:rPr>
                <w:rFonts w:cs="Calibri"/>
                <w:color w:val="auto"/>
                <w:sz w:val="18"/>
                <w:szCs w:val="18"/>
              </w:rPr>
              <w:t>9 · n</w:t>
            </w:r>
            <w:r w:rsidRPr="00E54BBD">
              <w:rPr>
                <w:rFonts w:cs="Calibri"/>
                <w:color w:val="auto"/>
                <w:sz w:val="18"/>
                <w:szCs w:val="18"/>
                <w:vertAlign w:val="superscript"/>
              </w:rPr>
              <w:t>-0.2</w:t>
            </w:r>
          </w:p>
        </w:tc>
        <w:tc>
          <w:tcPr>
            <w:tcW w:w="1926" w:type="dxa"/>
            <w:tcBorders>
              <w:bottom w:val="single" w:sz="4" w:space="0" w:color="auto"/>
            </w:tcBorders>
            <w:vAlign w:val="center"/>
          </w:tcPr>
          <w:p w14:paraId="097EBE86" w14:textId="4AF56109" w:rsidR="00671FF9" w:rsidRPr="00E54BBD" w:rsidRDefault="00182601" w:rsidP="00E54BBD">
            <w:pPr>
              <w:spacing w:before="120" w:after="120"/>
              <w:jc w:val="center"/>
              <w:rPr>
                <w:rFonts w:cs="Calibri"/>
                <w:color w:val="auto"/>
                <w:sz w:val="18"/>
                <w:szCs w:val="18"/>
              </w:rPr>
            </w:pPr>
            <w:r w:rsidRPr="00E54BBD">
              <w:rPr>
                <w:rFonts w:cs="Calibri"/>
                <w:color w:val="auto"/>
                <w:sz w:val="18"/>
                <w:szCs w:val="18"/>
              </w:rPr>
              <w:t>1.96</w:t>
            </w:r>
          </w:p>
        </w:tc>
      </w:tr>
    </w:tbl>
    <w:p w14:paraId="2B3053CE" w14:textId="3B0214D7" w:rsidR="00037B04" w:rsidRDefault="00FC7DD1" w:rsidP="00FC7DD1">
      <w:pPr>
        <w:spacing w:after="120" w:line="360" w:lineRule="auto"/>
        <w:rPr>
          <w:rFonts w:cs="Calibri"/>
          <w:color w:val="auto"/>
          <w:sz w:val="18"/>
          <w:szCs w:val="18"/>
        </w:rPr>
      </w:pPr>
      <w:r w:rsidRPr="00E54BBD">
        <w:rPr>
          <w:rFonts w:cs="Calibri"/>
          <w:color w:val="auto"/>
          <w:sz w:val="18"/>
          <w:szCs w:val="18"/>
        </w:rPr>
        <w:t>*Apply for areas outside ECAs.</w:t>
      </w:r>
      <w:r w:rsidR="00DA728D" w:rsidRPr="00E54BBD">
        <w:rPr>
          <w:rFonts w:cs="Calibri"/>
          <w:color w:val="auto"/>
          <w:sz w:val="18"/>
          <w:szCs w:val="18"/>
        </w:rPr>
        <w:t xml:space="preserve"> **</w:t>
      </w:r>
      <w:r w:rsidR="00F931B6" w:rsidRPr="00E54BBD">
        <w:rPr>
          <w:rFonts w:cs="Calibri"/>
          <w:color w:val="auto"/>
          <w:sz w:val="18"/>
          <w:szCs w:val="18"/>
        </w:rPr>
        <w:t>Apply in ECAs</w:t>
      </w:r>
    </w:p>
    <w:p w14:paraId="59E65844" w14:textId="77777777" w:rsidR="007B4B4D" w:rsidRPr="00E54BBD" w:rsidRDefault="007B4B4D" w:rsidP="00FC7DD1">
      <w:pPr>
        <w:spacing w:after="120" w:line="360" w:lineRule="auto"/>
        <w:rPr>
          <w:rFonts w:cs="Calibri"/>
          <w:color w:val="auto"/>
          <w:sz w:val="18"/>
          <w:szCs w:val="18"/>
        </w:rPr>
      </w:pPr>
    </w:p>
    <w:p w14:paraId="47CB6118" w14:textId="77777777" w:rsidR="00D16A2F" w:rsidRDefault="0006573F" w:rsidP="009E3D26">
      <w:pPr>
        <w:keepNext/>
        <w:spacing w:after="120" w:line="360" w:lineRule="auto"/>
      </w:pPr>
      <w:r>
        <w:rPr>
          <w:noProof/>
        </w:rPr>
        <w:lastRenderedPageBreak/>
        <w:drawing>
          <wp:inline distT="0" distB="0" distL="0" distR="0" wp14:anchorId="31BF776E" wp14:editId="59ACACCD">
            <wp:extent cx="6120130" cy="2909570"/>
            <wp:effectExtent l="0" t="0" r="0" b="5080"/>
            <wp:docPr id="6" name="Picture 6" descr="T1_Ind_284_current_seca_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_Ind_284_current_seca_zo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909570"/>
                    </a:xfrm>
                    <a:prstGeom prst="rect">
                      <a:avLst/>
                    </a:prstGeom>
                    <a:noFill/>
                    <a:ln>
                      <a:noFill/>
                    </a:ln>
                  </pic:spPr>
                </pic:pic>
              </a:graphicData>
            </a:graphic>
          </wp:inline>
        </w:drawing>
      </w:r>
    </w:p>
    <w:p w14:paraId="28940B59" w14:textId="3F1E703E" w:rsidR="0006573F" w:rsidRDefault="00D16A2F" w:rsidP="009E3D26">
      <w:pPr>
        <w:pStyle w:val="Caption"/>
        <w:spacing w:before="0" w:line="360" w:lineRule="auto"/>
        <w:rPr>
          <w:rFonts w:cs="Calibri"/>
          <w:color w:val="auto"/>
          <w:sz w:val="22"/>
        </w:rPr>
      </w:pPr>
      <w:bookmarkStart w:id="15" w:name="_Toc84018236"/>
      <w:r>
        <w:t xml:space="preserve">Figure </w:t>
      </w:r>
      <w:fldSimple w:instr=" SEQ Figure \* ARABIC ">
        <w:r w:rsidR="00945B67">
          <w:rPr>
            <w:noProof/>
          </w:rPr>
          <w:t>1</w:t>
        </w:r>
      </w:fldSimple>
      <w:r>
        <w:t xml:space="preserve">. </w:t>
      </w:r>
      <w:r w:rsidRPr="0057124F">
        <w:t>Emission control areas (ECA)</w:t>
      </w:r>
      <w:r w:rsidR="00954F40">
        <w:t xml:space="preserve"> (</w:t>
      </w:r>
      <w:r w:rsidRPr="0057124F">
        <w:t xml:space="preserve"> Source: DND GL</w:t>
      </w:r>
      <w:bookmarkEnd w:id="15"/>
      <w:r w:rsidR="00954F40">
        <w:t>).</w:t>
      </w:r>
    </w:p>
    <w:p w14:paraId="46625C01" w14:textId="1EE499CD" w:rsidR="005A7A2C" w:rsidRDefault="5EA34800" w:rsidP="5937A937">
      <w:pPr>
        <w:spacing w:after="120" w:line="360" w:lineRule="auto"/>
        <w:ind w:firstLine="709"/>
        <w:rPr>
          <w:rFonts w:cs="Calibri"/>
          <w:color w:val="auto"/>
          <w:sz w:val="24"/>
          <w:szCs w:val="24"/>
        </w:rPr>
      </w:pPr>
      <w:r w:rsidRPr="59587566">
        <w:rPr>
          <w:rFonts w:cs="Calibri"/>
          <w:color w:val="auto"/>
          <w:sz w:val="22"/>
          <w:szCs w:val="22"/>
        </w:rPr>
        <w:t xml:space="preserve">In </w:t>
      </w:r>
      <w:r w:rsidR="5801EBDA" w:rsidRPr="59587566">
        <w:rPr>
          <w:rFonts w:cs="Calibri"/>
          <w:color w:val="auto"/>
          <w:sz w:val="22"/>
          <w:szCs w:val="22"/>
        </w:rPr>
        <w:t>2018, IMO</w:t>
      </w:r>
      <w:r w:rsidRPr="59587566">
        <w:rPr>
          <w:rFonts w:cs="Calibri"/>
          <w:color w:val="auto"/>
          <w:sz w:val="22"/>
          <w:szCs w:val="22"/>
        </w:rPr>
        <w:t xml:space="preserve"> adopted </w:t>
      </w:r>
      <w:r w:rsidR="399470AE" w:rsidRPr="59587566">
        <w:rPr>
          <w:rFonts w:cs="Calibri"/>
          <w:color w:val="auto"/>
          <w:sz w:val="22"/>
          <w:szCs w:val="22"/>
        </w:rPr>
        <w:t>the</w:t>
      </w:r>
      <w:r w:rsidRPr="59587566">
        <w:rPr>
          <w:rFonts w:cs="Calibri"/>
          <w:color w:val="auto"/>
          <w:sz w:val="22"/>
          <w:szCs w:val="22"/>
        </w:rPr>
        <w:t xml:space="preserve"> strategy to reduce the GHG emission by 40% in 2030 and 50% in 2050, with respect to 2008 baseline </w:t>
      </w:r>
      <w:r w:rsidR="005A7A2C" w:rsidRPr="59587566">
        <w:rPr>
          <w:rFonts w:cs="Calibri"/>
          <w:color w:val="auto"/>
          <w:sz w:val="22"/>
          <w:szCs w:val="22"/>
        </w:rPr>
        <w:fldChar w:fldCharType="begin" w:fldLock="1"/>
      </w:r>
      <w:r w:rsidR="005A7A2C" w:rsidRPr="59587566">
        <w:rPr>
          <w:rFonts w:cs="Calibri"/>
          <w:color w:val="auto"/>
          <w:sz w:val="22"/>
          <w:szCs w:val="22"/>
        </w:rPr>
        <w:instrText>ADDIN CSL_CITATION {"citationItems":[{"id":"ITEM-1","itemData":{"author":[{"dropping-particle":"","family":"Yuanrong Zhou","given":"Nikita Pavlenko","non-dropping-particle":"","parse-names":false,"suffix":""}],"container-title":"International Council on Clean Transportation","id":"ITEM-1","issue":"September","issued":{"date-parts":[["2020"]]},"title":"The potential of liquid biofuels in reducing ship emissions | International Council on Clean Transportation","type":"article-journal"},"uris":["http://www.mendeley.com/documents/?uuid=b068b5b9-4ddb-42c8-b9fb-6ed4f5b5341f"]},{"id":"ITEM-2","itemData":{"DOI":"10.1007/s12027-020-00637-3","ISSN":"18639038","abstract":"The European Green Deal announced by the European Commission in December 2019 is a roadmap meant to foster the transition of the European Union towards the climate-neutral economy by reducing carbon emissions towards 55% by 2030 and achieving carbon neutrality by 2050. By putting the EGD in a boarder perspective of evolving, constitutional rationale of environmental protection in the EU legal order, this contribution examines horizontal, legal dimension and financial implications of the green transition. The challenge ahead of the Union is now how to transform the ambitious climate agenda into efficient legal and economic instruments ‘in a fair way, leaving no one behind’. This paper argues that EGD is a great opportunity, but in order to turn it into a success, it must be strongly anchored in the concepts pertaining to the constitutional framework of the EU legal order, in particular, the concepts of solidarity, sustainable development and high level of environmental protection.","author":[{"dropping-particle":"","family":"Sikora","given":"Alicja","non-dropping-particle":"","parse-names":false,"suffix":""}],"container-title":"ERA Forum","id":"ITEM-2","issued":{"date-parts":[["2020"]]},"page":"681-697","publisher":"The Author(s)","title":"European Green Deal – legal and financial challenges of the climate change","type":"article-journal"},"uris":["http://www.mendeley.com/documents/?uuid=28a71f4b-3341-4579-a677-8efa15a33d7a"]}],"mendeley":{"formattedCitation":"(Sikora, 2020; Yuanrong Zhou, 2020)","plainTextFormattedCitation":"(Sikora, 2020; Yuanrong Zhou, 2020)","previouslyFormattedCitation":"(Sikora, 2020; Yuanrong Zhou, 2020)"},"properties":{"noteIndex":0},"schema":"https://github.com/citation-style-language/schema/raw/master/csl-citation.json"}</w:instrText>
      </w:r>
      <w:r w:rsidR="005A7A2C" w:rsidRPr="59587566">
        <w:rPr>
          <w:rFonts w:cs="Calibri"/>
          <w:color w:val="auto"/>
          <w:sz w:val="22"/>
          <w:szCs w:val="22"/>
        </w:rPr>
        <w:fldChar w:fldCharType="separate"/>
      </w:r>
      <w:r w:rsidRPr="59587566">
        <w:rPr>
          <w:rFonts w:cs="Calibri"/>
          <w:noProof/>
          <w:color w:val="auto"/>
          <w:sz w:val="22"/>
          <w:szCs w:val="22"/>
        </w:rPr>
        <w:t>(Sikora, 2020; Yuanrong Zhou, 2020)</w:t>
      </w:r>
      <w:r w:rsidR="005A7A2C" w:rsidRPr="59587566">
        <w:rPr>
          <w:rFonts w:cs="Calibri"/>
          <w:color w:val="auto"/>
          <w:sz w:val="22"/>
          <w:szCs w:val="22"/>
        </w:rPr>
        <w:fldChar w:fldCharType="end"/>
      </w:r>
      <w:r w:rsidRPr="59587566">
        <w:rPr>
          <w:rFonts w:cs="Calibri"/>
          <w:color w:val="auto"/>
          <w:sz w:val="22"/>
          <w:szCs w:val="22"/>
        </w:rPr>
        <w:t xml:space="preserve">. </w:t>
      </w:r>
      <w:r w:rsidR="7C3C4467" w:rsidRPr="59587566">
        <w:rPr>
          <w:rFonts w:cs="Calibri"/>
          <w:color w:val="auto"/>
          <w:sz w:val="22"/>
          <w:szCs w:val="22"/>
        </w:rPr>
        <w:t>Consequently, i</w:t>
      </w:r>
      <w:r w:rsidRPr="59587566">
        <w:rPr>
          <w:rFonts w:cs="Calibri"/>
          <w:color w:val="auto"/>
          <w:sz w:val="22"/>
          <w:szCs w:val="22"/>
        </w:rPr>
        <w:t xml:space="preserve">t is expected </w:t>
      </w:r>
      <w:r w:rsidR="53981A66" w:rsidRPr="59587566">
        <w:rPr>
          <w:rFonts w:cs="Calibri"/>
          <w:color w:val="auto"/>
          <w:sz w:val="22"/>
          <w:szCs w:val="22"/>
        </w:rPr>
        <w:t xml:space="preserve">a </w:t>
      </w:r>
      <w:r w:rsidRPr="59587566">
        <w:rPr>
          <w:rFonts w:cs="Calibri"/>
          <w:color w:val="auto"/>
          <w:sz w:val="22"/>
          <w:szCs w:val="22"/>
        </w:rPr>
        <w:t>high investment in R&amp;D, infrastructure and trials to support the development of new technologies and fuels</w:t>
      </w:r>
      <w:r w:rsidR="63520FA2" w:rsidRPr="59587566">
        <w:rPr>
          <w:rFonts w:cs="Calibri"/>
          <w:color w:val="auto"/>
          <w:sz w:val="22"/>
          <w:szCs w:val="22"/>
        </w:rPr>
        <w:t xml:space="preserve"> to</w:t>
      </w:r>
      <w:r w:rsidRPr="59587566">
        <w:rPr>
          <w:rFonts w:cs="Calibri"/>
          <w:color w:val="auto"/>
          <w:sz w:val="22"/>
          <w:szCs w:val="22"/>
        </w:rPr>
        <w:t xml:space="preserve"> </w:t>
      </w:r>
      <w:r w:rsidR="36B70121" w:rsidRPr="59587566">
        <w:rPr>
          <w:rFonts w:cs="Calibri"/>
          <w:color w:val="auto"/>
          <w:sz w:val="22"/>
          <w:szCs w:val="22"/>
        </w:rPr>
        <w:t>meet</w:t>
      </w:r>
      <w:r w:rsidRPr="59587566">
        <w:rPr>
          <w:rFonts w:cs="Calibri"/>
          <w:color w:val="auto"/>
          <w:sz w:val="22"/>
          <w:szCs w:val="22"/>
        </w:rPr>
        <w:t xml:space="preserve"> </w:t>
      </w:r>
      <w:r w:rsidR="60129367" w:rsidRPr="59587566">
        <w:rPr>
          <w:rFonts w:cs="Calibri"/>
          <w:color w:val="auto"/>
          <w:sz w:val="22"/>
          <w:szCs w:val="22"/>
        </w:rPr>
        <w:t>such</w:t>
      </w:r>
      <w:r w:rsidRPr="59587566">
        <w:rPr>
          <w:rFonts w:cs="Calibri"/>
          <w:color w:val="auto"/>
          <w:sz w:val="22"/>
          <w:szCs w:val="22"/>
        </w:rPr>
        <w:t xml:space="preserve"> targets </w:t>
      </w:r>
      <w:r w:rsidR="005A7A2C" w:rsidRPr="59587566">
        <w:rPr>
          <w:rFonts w:cs="Calibri"/>
          <w:color w:val="auto"/>
          <w:sz w:val="22"/>
          <w:szCs w:val="22"/>
        </w:rPr>
        <w:fldChar w:fldCharType="begin" w:fldLock="1"/>
      </w:r>
      <w:r w:rsidR="005A7A2C" w:rsidRPr="59587566">
        <w:rPr>
          <w:rFonts w:cs="Calibri"/>
          <w:color w:val="auto"/>
          <w:sz w:val="22"/>
          <w:szCs w:val="22"/>
        </w:rPr>
        <w:instrText>ADDIN CSL_CITATION {"citationItems":[{"id":"ITEM-1","itemData":{"URL":"https://www.imo.org/en/MediaCentre/PressBriefings/Pages/06GHGinitialstrategy.aspx","author":[{"dropping-particle":"","family":"International Maritime Organization","given":"","non-dropping-particle":"","parse-names":false,"suffix":""}],"id":"ITEM-1","issued":{"date-parts":[["2019"]]},"title":"UN body adopts climate change strategy for shipping","type":"webpage"},"uris":["http://www.mendeley.com/documents/?uuid=b7448477-ab54-4ab8-9e03-f999bf59beda"]}],"mendeley":{"formattedCitation":"(International Maritime Organization, 2019)","plainTextFormattedCitation":"(International Maritime Organization, 2019)","previouslyFormattedCitation":"(International Maritime Organization, 2019)"},"properties":{"noteIndex":0},"schema":"https://github.com/citation-style-language/schema/raw/master/csl-citation.json"}</w:instrText>
      </w:r>
      <w:r w:rsidR="005A7A2C" w:rsidRPr="59587566">
        <w:rPr>
          <w:rFonts w:cs="Calibri"/>
          <w:color w:val="auto"/>
          <w:sz w:val="22"/>
          <w:szCs w:val="22"/>
        </w:rPr>
        <w:fldChar w:fldCharType="separate"/>
      </w:r>
      <w:r w:rsidRPr="59587566">
        <w:rPr>
          <w:rFonts w:cs="Calibri"/>
          <w:noProof/>
          <w:color w:val="auto"/>
          <w:sz w:val="22"/>
          <w:szCs w:val="22"/>
        </w:rPr>
        <w:t>(International Maritime Organization, 2019)</w:t>
      </w:r>
      <w:r w:rsidR="005A7A2C" w:rsidRPr="59587566">
        <w:rPr>
          <w:rFonts w:cs="Calibri"/>
          <w:color w:val="auto"/>
          <w:sz w:val="22"/>
          <w:szCs w:val="22"/>
        </w:rPr>
        <w:fldChar w:fldCharType="end"/>
      </w:r>
      <w:r w:rsidRPr="59587566">
        <w:rPr>
          <w:rFonts w:cs="Calibri"/>
          <w:color w:val="auto"/>
          <w:sz w:val="22"/>
          <w:szCs w:val="22"/>
        </w:rPr>
        <w:t xml:space="preserve">. </w:t>
      </w:r>
      <w:r w:rsidR="00D72716">
        <w:rPr>
          <w:rFonts w:cs="Calibri"/>
          <w:color w:val="auto"/>
          <w:sz w:val="22"/>
          <w:szCs w:val="22"/>
        </w:rPr>
        <w:t>R</w:t>
      </w:r>
      <w:r w:rsidRPr="59587566">
        <w:rPr>
          <w:rFonts w:cs="Calibri"/>
          <w:color w:val="auto"/>
          <w:sz w:val="22"/>
          <w:szCs w:val="22"/>
        </w:rPr>
        <w:t>evision o</w:t>
      </w:r>
      <w:r w:rsidR="75C817D3" w:rsidRPr="59587566">
        <w:rPr>
          <w:rFonts w:cs="Calibri"/>
          <w:color w:val="auto"/>
          <w:sz w:val="22"/>
          <w:szCs w:val="22"/>
        </w:rPr>
        <w:t>n the strategy adopted for</w:t>
      </w:r>
      <w:r w:rsidRPr="59587566">
        <w:rPr>
          <w:rFonts w:cs="Calibri"/>
          <w:color w:val="auto"/>
          <w:sz w:val="22"/>
          <w:szCs w:val="22"/>
        </w:rPr>
        <w:t xml:space="preserve"> GHG </w:t>
      </w:r>
      <w:r w:rsidR="317C1B7B" w:rsidRPr="59587566">
        <w:rPr>
          <w:rFonts w:cs="Calibri"/>
          <w:color w:val="auto"/>
          <w:sz w:val="22"/>
          <w:szCs w:val="22"/>
        </w:rPr>
        <w:t>mitigation</w:t>
      </w:r>
      <w:r w:rsidRPr="59587566">
        <w:rPr>
          <w:rFonts w:cs="Calibri"/>
          <w:color w:val="auto"/>
          <w:sz w:val="22"/>
          <w:szCs w:val="22"/>
        </w:rPr>
        <w:t xml:space="preserve"> is expected </w:t>
      </w:r>
      <w:r w:rsidR="54B34AD4" w:rsidRPr="59587566">
        <w:rPr>
          <w:rFonts w:cs="Calibri"/>
          <w:color w:val="auto"/>
          <w:sz w:val="22"/>
          <w:szCs w:val="22"/>
        </w:rPr>
        <w:t>by</w:t>
      </w:r>
      <w:r w:rsidRPr="59587566">
        <w:rPr>
          <w:rFonts w:cs="Calibri"/>
          <w:color w:val="auto"/>
          <w:sz w:val="22"/>
          <w:szCs w:val="22"/>
        </w:rPr>
        <w:t xml:space="preserve"> 2023</w:t>
      </w:r>
      <w:r w:rsidR="6428AC3D" w:rsidRPr="59587566">
        <w:rPr>
          <w:rFonts w:cs="Calibri"/>
          <w:color w:val="auto"/>
          <w:sz w:val="22"/>
          <w:szCs w:val="22"/>
        </w:rPr>
        <w:t>,</w:t>
      </w:r>
      <w:r w:rsidRPr="59587566">
        <w:rPr>
          <w:rFonts w:cs="Calibri"/>
          <w:color w:val="auto"/>
          <w:sz w:val="22"/>
          <w:szCs w:val="22"/>
        </w:rPr>
        <w:t xml:space="preserve"> whe</w:t>
      </w:r>
      <w:r w:rsidR="142230B5" w:rsidRPr="59587566">
        <w:rPr>
          <w:rFonts w:cs="Calibri"/>
          <w:color w:val="auto"/>
          <w:sz w:val="22"/>
          <w:szCs w:val="22"/>
        </w:rPr>
        <w:t>n</w:t>
      </w:r>
      <w:r w:rsidRPr="59587566">
        <w:rPr>
          <w:rFonts w:cs="Calibri"/>
          <w:color w:val="auto"/>
          <w:sz w:val="22"/>
          <w:szCs w:val="22"/>
        </w:rPr>
        <w:t xml:space="preserve"> </w:t>
      </w:r>
      <w:r w:rsidR="069BA89B" w:rsidRPr="59587566">
        <w:rPr>
          <w:rFonts w:cs="Calibri"/>
          <w:color w:val="auto"/>
          <w:sz w:val="22"/>
          <w:szCs w:val="22"/>
        </w:rPr>
        <w:t xml:space="preserve">updated directives </w:t>
      </w:r>
      <w:r w:rsidR="524BE03C" w:rsidRPr="59587566">
        <w:rPr>
          <w:rFonts w:cs="Calibri"/>
          <w:color w:val="auto"/>
          <w:sz w:val="22"/>
          <w:szCs w:val="22"/>
        </w:rPr>
        <w:t>will be considered in global scale by IMO</w:t>
      </w:r>
      <w:r w:rsidR="003A6712">
        <w:rPr>
          <w:rFonts w:cs="Calibri"/>
          <w:color w:val="auto"/>
          <w:sz w:val="22"/>
          <w:szCs w:val="22"/>
        </w:rPr>
        <w:t xml:space="preserve"> </w:t>
      </w:r>
      <w:r w:rsidR="005A7A2C" w:rsidRPr="59587566">
        <w:rPr>
          <w:rFonts w:cs="Calibri"/>
          <w:color w:val="auto"/>
          <w:sz w:val="22"/>
          <w:szCs w:val="22"/>
        </w:rPr>
        <w:fldChar w:fldCharType="begin" w:fldLock="1"/>
      </w:r>
      <w:r w:rsidR="005A7A2C" w:rsidRPr="59587566">
        <w:rPr>
          <w:rFonts w:cs="Calibri"/>
          <w:color w:val="auto"/>
          <w:sz w:val="22"/>
          <w:szCs w:val="22"/>
        </w:rPr>
        <w:instrText>ADDIN CSL_CITATION {"citationItems":[{"id":"ITEM-1","itemData":{"author":[{"dropping-particle":"","family":"Yuanrong Zhou","given":"Nikita Pavlenko","non-dropping-particle":"","parse-names":false,"suffix":""}],"container-title":"International Council on Clean Transportation","id":"ITEM-1","issue":"September","issued":{"date-parts":[["2020"]]},"title":"The potential of liquid biofuels in reducing ship emissions | International Council on Clean Transportation","type":"article-journal"},"uris":["http://www.mendeley.com/documents/?uuid=b068b5b9-4ddb-42c8-b9fb-6ed4f5b5341f"]}],"mendeley":{"formattedCitation":"(Yuanrong Zhou, 2020)","plainTextFormattedCitation":"(Yuanrong Zhou, 2020)","previouslyFormattedCitation":"(Yuanrong Zhou, 2020)"},"properties":{"noteIndex":0},"schema":"https://github.com/citation-style-language/schema/raw/master/csl-citation.json"}</w:instrText>
      </w:r>
      <w:r w:rsidR="005A7A2C" w:rsidRPr="59587566">
        <w:rPr>
          <w:rFonts w:cs="Calibri"/>
          <w:color w:val="auto"/>
          <w:sz w:val="22"/>
          <w:szCs w:val="22"/>
        </w:rPr>
        <w:fldChar w:fldCharType="separate"/>
      </w:r>
      <w:r w:rsidR="5D4AE8D4" w:rsidRPr="59587566">
        <w:rPr>
          <w:rFonts w:cs="Calibri"/>
          <w:noProof/>
          <w:color w:val="auto"/>
          <w:sz w:val="22"/>
          <w:szCs w:val="22"/>
        </w:rPr>
        <w:t>(Yuanrong Zhou, 2020)</w:t>
      </w:r>
      <w:r w:rsidR="005A7A2C" w:rsidRPr="59587566">
        <w:rPr>
          <w:rFonts w:cs="Calibri"/>
          <w:color w:val="auto"/>
          <w:sz w:val="22"/>
          <w:szCs w:val="22"/>
        </w:rPr>
        <w:fldChar w:fldCharType="end"/>
      </w:r>
      <w:r w:rsidRPr="59587566">
        <w:rPr>
          <w:rFonts w:cs="Calibri"/>
          <w:color w:val="auto"/>
          <w:sz w:val="22"/>
          <w:szCs w:val="22"/>
        </w:rPr>
        <w:t>.</w:t>
      </w:r>
      <w:r w:rsidRPr="59587566">
        <w:rPr>
          <w:rFonts w:cs="Calibri"/>
          <w:color w:val="auto"/>
          <w:sz w:val="24"/>
          <w:szCs w:val="24"/>
        </w:rPr>
        <w:t xml:space="preserve"> </w:t>
      </w:r>
    </w:p>
    <w:p w14:paraId="7D0B3316" w14:textId="66AEEBB4" w:rsidR="2180D552" w:rsidRDefault="2180D552" w:rsidP="59587566">
      <w:pPr>
        <w:spacing w:after="120" w:line="360" w:lineRule="auto"/>
        <w:ind w:firstLine="709"/>
        <w:rPr>
          <w:rFonts w:cs="Calibri"/>
          <w:color w:val="FF0000"/>
          <w:sz w:val="22"/>
          <w:szCs w:val="22"/>
          <w:lang w:val="en-GB"/>
        </w:rPr>
      </w:pPr>
      <w:r w:rsidRPr="00BF4637">
        <w:rPr>
          <w:rFonts w:cs="Calibri"/>
          <w:color w:val="auto"/>
          <w:sz w:val="22"/>
          <w:szCs w:val="22"/>
          <w:lang w:val="en-GB"/>
        </w:rPr>
        <w:t xml:space="preserve">With these regulations in </w:t>
      </w:r>
      <w:r w:rsidR="62CAFB44" w:rsidRPr="00BF4637">
        <w:rPr>
          <w:rFonts w:cs="Calibri"/>
          <w:color w:val="auto"/>
          <w:sz w:val="22"/>
          <w:szCs w:val="22"/>
          <w:lang w:val="en-GB"/>
        </w:rPr>
        <w:t>place,</w:t>
      </w:r>
      <w:r w:rsidRPr="00BF4637">
        <w:rPr>
          <w:rFonts w:cs="Calibri"/>
          <w:color w:val="auto"/>
          <w:sz w:val="22"/>
          <w:szCs w:val="22"/>
          <w:lang w:val="en-GB"/>
        </w:rPr>
        <w:t xml:space="preserve"> it is </w:t>
      </w:r>
      <w:r w:rsidR="11A02D70" w:rsidRPr="00BF4637">
        <w:rPr>
          <w:rFonts w:cs="Calibri"/>
          <w:color w:val="auto"/>
          <w:sz w:val="22"/>
          <w:szCs w:val="22"/>
          <w:lang w:val="en-GB"/>
        </w:rPr>
        <w:t>estimat</w:t>
      </w:r>
      <w:r w:rsidRPr="00BF4637">
        <w:rPr>
          <w:rFonts w:cs="Calibri"/>
          <w:color w:val="auto"/>
          <w:sz w:val="22"/>
          <w:szCs w:val="22"/>
          <w:lang w:val="en-GB"/>
        </w:rPr>
        <w:t xml:space="preserve">ed that </w:t>
      </w:r>
      <w:r w:rsidR="28788233" w:rsidRPr="00BF4637">
        <w:rPr>
          <w:rFonts w:cs="Calibri"/>
          <w:color w:val="auto"/>
          <w:sz w:val="22"/>
          <w:szCs w:val="22"/>
          <w:lang w:val="en-GB"/>
        </w:rPr>
        <w:t>approximatively</w:t>
      </w:r>
      <w:r w:rsidRPr="00BF4637">
        <w:rPr>
          <w:rFonts w:cs="Calibri"/>
          <w:color w:val="auto"/>
          <w:sz w:val="22"/>
          <w:szCs w:val="22"/>
          <w:lang w:val="en-GB"/>
        </w:rPr>
        <w:t xml:space="preserve"> 70% of </w:t>
      </w:r>
      <w:r w:rsidR="7D3B9AAE" w:rsidRPr="00BF4637">
        <w:rPr>
          <w:rFonts w:cs="Calibri"/>
          <w:color w:val="auto"/>
          <w:sz w:val="22"/>
          <w:szCs w:val="22"/>
          <w:lang w:val="en-GB"/>
        </w:rPr>
        <w:t>the current f</w:t>
      </w:r>
      <w:r w:rsidRPr="00BF4637">
        <w:rPr>
          <w:rFonts w:cs="Calibri"/>
          <w:color w:val="auto"/>
          <w:sz w:val="22"/>
          <w:szCs w:val="22"/>
          <w:lang w:val="en-GB"/>
        </w:rPr>
        <w:t xml:space="preserve">uels </w:t>
      </w:r>
      <w:r w:rsidR="00727034" w:rsidRPr="00BF4637">
        <w:rPr>
          <w:rFonts w:cs="Calibri"/>
          <w:color w:val="auto"/>
          <w:sz w:val="22"/>
          <w:szCs w:val="22"/>
          <w:lang w:val="en-GB"/>
        </w:rPr>
        <w:t xml:space="preserve">in the market </w:t>
      </w:r>
      <w:r w:rsidRPr="00BF4637">
        <w:rPr>
          <w:rFonts w:cs="Calibri"/>
          <w:color w:val="auto"/>
          <w:sz w:val="22"/>
          <w:szCs w:val="22"/>
          <w:lang w:val="en-GB"/>
        </w:rPr>
        <w:t>will need to be</w:t>
      </w:r>
      <w:r w:rsidR="00602387">
        <w:rPr>
          <w:rFonts w:cs="Calibri"/>
          <w:color w:val="auto"/>
          <w:sz w:val="22"/>
          <w:szCs w:val="22"/>
          <w:lang w:val="en-GB"/>
        </w:rPr>
        <w:t xml:space="preserve"> </w:t>
      </w:r>
      <w:r w:rsidRPr="00BF4637">
        <w:rPr>
          <w:rFonts w:cs="Calibri"/>
          <w:color w:val="auto"/>
          <w:sz w:val="22"/>
          <w:szCs w:val="22"/>
          <w:lang w:val="en-GB"/>
        </w:rPr>
        <w:t xml:space="preserve">changed </w:t>
      </w:r>
      <w:r w:rsidR="00FE37AF">
        <w:rPr>
          <w:rFonts w:cs="Calibri"/>
          <w:color w:val="auto"/>
          <w:sz w:val="22"/>
          <w:szCs w:val="22"/>
          <w:lang w:val="en-GB"/>
        </w:rPr>
        <w:t>to</w:t>
      </w:r>
      <w:r w:rsidR="00A661E9">
        <w:rPr>
          <w:rFonts w:cs="Calibri"/>
          <w:color w:val="auto"/>
          <w:sz w:val="22"/>
          <w:szCs w:val="22"/>
          <w:lang w:val="en-GB"/>
        </w:rPr>
        <w:t xml:space="preserve"> sustainable fuels to</w:t>
      </w:r>
      <w:r w:rsidR="00FE37AF">
        <w:rPr>
          <w:rFonts w:cs="Calibri"/>
          <w:color w:val="auto"/>
          <w:sz w:val="22"/>
          <w:szCs w:val="22"/>
          <w:lang w:val="en-GB"/>
        </w:rPr>
        <w:t xml:space="preserve"> cope with</w:t>
      </w:r>
      <w:r w:rsidRPr="00BF4637">
        <w:rPr>
          <w:rFonts w:cs="Calibri"/>
          <w:color w:val="auto"/>
          <w:sz w:val="22"/>
          <w:szCs w:val="22"/>
          <w:lang w:val="en-GB"/>
        </w:rPr>
        <w:t xml:space="preserve"> </w:t>
      </w:r>
      <w:r w:rsidR="00FE37AF">
        <w:rPr>
          <w:rFonts w:cs="Calibri"/>
          <w:color w:val="auto"/>
          <w:sz w:val="22"/>
          <w:szCs w:val="22"/>
          <w:lang w:val="en-GB"/>
        </w:rPr>
        <w:t xml:space="preserve">the targets </w:t>
      </w:r>
      <w:r w:rsidRPr="00BF4637">
        <w:rPr>
          <w:rFonts w:cs="Calibri"/>
          <w:color w:val="auto"/>
          <w:sz w:val="22"/>
          <w:szCs w:val="22"/>
          <w:lang w:val="en-GB"/>
        </w:rPr>
        <w:fldChar w:fldCharType="begin" w:fldLock="1"/>
      </w:r>
      <w:r w:rsidRPr="00BF4637">
        <w:rPr>
          <w:rFonts w:cs="Calibri"/>
          <w:color w:val="auto"/>
          <w:sz w:val="22"/>
          <w:szCs w:val="22"/>
          <w:lang w:val="en-GB"/>
        </w:rPr>
        <w:instrText>ADDIN CSL_CITATION {"citationItems":[{"id":"ITEM-1","itemData":{"author":[{"dropping-particle":"","family":"Uslu","given":"Ayla","non-dropping-particle":"","parse-names":false,"suffix":""}],"id":"ITEM-1","issued":{"date-parts":[["2019"]]},"title":"Market analysis","type":"report"},"uris":["http://www.mendeley.com/documents/?uuid=f0487272-4a66-4a0e-b49d-ac94b47a56ec"]}],"mendeley":{"formattedCitation":"(Uslu, 2019)","plainTextFormattedCitation":"(Uslu, 2019)","previouslyFormattedCitation":"(Uslu, 2019)"},"properties":{"noteIndex":0},"schema":"https://github.com/citation-style-language/schema/raw/master/csl-citation.json"}</w:instrText>
      </w:r>
      <w:r w:rsidRPr="00BF4637">
        <w:rPr>
          <w:rFonts w:cs="Calibri"/>
          <w:color w:val="auto"/>
          <w:sz w:val="22"/>
          <w:szCs w:val="22"/>
          <w:lang w:val="en-GB"/>
        </w:rPr>
        <w:fldChar w:fldCharType="separate"/>
      </w:r>
      <w:r w:rsidRPr="00BF4637">
        <w:rPr>
          <w:rFonts w:cs="Calibri"/>
          <w:noProof/>
          <w:color w:val="auto"/>
          <w:sz w:val="22"/>
          <w:szCs w:val="22"/>
          <w:lang w:val="en-GB"/>
        </w:rPr>
        <w:t>(Uslu, 2019)</w:t>
      </w:r>
      <w:r w:rsidRPr="00BF4637">
        <w:rPr>
          <w:rFonts w:cs="Calibri"/>
          <w:color w:val="auto"/>
          <w:sz w:val="22"/>
          <w:szCs w:val="22"/>
          <w:lang w:val="en-GB"/>
        </w:rPr>
        <w:fldChar w:fldCharType="end"/>
      </w:r>
      <w:r w:rsidRPr="59587566">
        <w:rPr>
          <w:rFonts w:cs="Calibri"/>
          <w:color w:val="FF0000"/>
          <w:sz w:val="22"/>
          <w:szCs w:val="22"/>
          <w:lang w:val="en-GB"/>
        </w:rPr>
        <w:t xml:space="preserve">. </w:t>
      </w:r>
    </w:p>
    <w:p w14:paraId="50EC0C60" w14:textId="3BDD3129" w:rsidR="59587566" w:rsidRDefault="004E3CED" w:rsidP="59587566">
      <w:pPr>
        <w:spacing w:after="120" w:line="360" w:lineRule="auto"/>
        <w:ind w:firstLine="709"/>
        <w:rPr>
          <w:sz w:val="22"/>
          <w:szCs w:val="22"/>
          <w:lang w:val="en-GB"/>
        </w:rPr>
      </w:pPr>
      <w:r>
        <w:rPr>
          <w:sz w:val="22"/>
          <w:szCs w:val="22"/>
          <w:lang w:val="en-GB"/>
        </w:rPr>
        <w:t>At European level</w:t>
      </w:r>
      <w:r w:rsidR="000D1B57">
        <w:rPr>
          <w:sz w:val="22"/>
          <w:szCs w:val="22"/>
          <w:lang w:val="en-GB"/>
        </w:rPr>
        <w:t>,</w:t>
      </w:r>
      <w:r>
        <w:rPr>
          <w:sz w:val="22"/>
          <w:szCs w:val="22"/>
          <w:lang w:val="en-GB"/>
        </w:rPr>
        <w:t xml:space="preserve"> the targets and goals for the maritime sector are still under definition. </w:t>
      </w:r>
      <w:r w:rsidR="00BF40CA">
        <w:rPr>
          <w:sz w:val="22"/>
          <w:szCs w:val="22"/>
          <w:lang w:val="en-GB"/>
        </w:rPr>
        <w:t xml:space="preserve">Below are described the current and future </w:t>
      </w:r>
      <w:r w:rsidR="00C342FD">
        <w:rPr>
          <w:sz w:val="22"/>
          <w:szCs w:val="22"/>
          <w:lang w:val="en-GB"/>
        </w:rPr>
        <w:t xml:space="preserve">legislatives instruments </w:t>
      </w:r>
      <w:r w:rsidR="00832D38">
        <w:rPr>
          <w:sz w:val="22"/>
          <w:szCs w:val="22"/>
          <w:lang w:val="en-GB"/>
        </w:rPr>
        <w:t xml:space="preserve">that </w:t>
      </w:r>
      <w:r w:rsidR="007E0A3E">
        <w:rPr>
          <w:sz w:val="22"/>
          <w:szCs w:val="22"/>
          <w:lang w:val="en-GB"/>
        </w:rPr>
        <w:t>might</w:t>
      </w:r>
      <w:r w:rsidR="00832D38">
        <w:rPr>
          <w:sz w:val="22"/>
          <w:szCs w:val="22"/>
          <w:lang w:val="en-GB"/>
        </w:rPr>
        <w:t xml:space="preserve"> have influence on renewable fuels in the maritime sector.</w:t>
      </w:r>
    </w:p>
    <w:p w14:paraId="1EB4F039" w14:textId="77777777" w:rsidR="00FE37AF" w:rsidRDefault="00FE37AF" w:rsidP="59587566">
      <w:pPr>
        <w:spacing w:after="120" w:line="360" w:lineRule="auto"/>
        <w:ind w:firstLine="709"/>
        <w:rPr>
          <w:szCs w:val="21"/>
          <w:lang w:val="en-GB"/>
        </w:rPr>
      </w:pPr>
    </w:p>
    <w:p w14:paraId="1F8C21BE" w14:textId="77777777" w:rsidR="00C5314B" w:rsidRDefault="1290CD4C" w:rsidP="00357301">
      <w:pPr>
        <w:pStyle w:val="Heading3"/>
      </w:pPr>
      <w:bookmarkStart w:id="16" w:name="_Toc84019448"/>
      <w:r>
        <w:t>Renewable Energy Directive (RED)</w:t>
      </w:r>
      <w:bookmarkEnd w:id="16"/>
    </w:p>
    <w:p w14:paraId="3FA713DA" w14:textId="737E9566" w:rsidR="5937A937" w:rsidRDefault="5937A937" w:rsidP="5937A937">
      <w:pPr>
        <w:rPr>
          <w:szCs w:val="21"/>
        </w:rPr>
      </w:pPr>
    </w:p>
    <w:p w14:paraId="71A05B66" w14:textId="6A9C627F" w:rsidR="00C5314B" w:rsidRDefault="1290CD4C" w:rsidP="0011532E">
      <w:pPr>
        <w:spacing w:after="120" w:line="360" w:lineRule="auto"/>
        <w:ind w:firstLine="709"/>
        <w:rPr>
          <w:sz w:val="22"/>
          <w:szCs w:val="22"/>
          <w:lang w:val="en-GB"/>
        </w:rPr>
      </w:pPr>
      <w:r w:rsidRPr="59587566">
        <w:rPr>
          <w:sz w:val="22"/>
          <w:szCs w:val="22"/>
          <w:lang w:val="en-GB"/>
        </w:rPr>
        <w:t>The R</w:t>
      </w:r>
      <w:r w:rsidR="007352F9">
        <w:rPr>
          <w:sz w:val="22"/>
          <w:szCs w:val="22"/>
          <w:lang w:val="en-GB"/>
        </w:rPr>
        <w:t>enewable Energy Directive (RED)</w:t>
      </w:r>
      <w:r w:rsidRPr="59587566">
        <w:rPr>
          <w:sz w:val="22"/>
          <w:szCs w:val="22"/>
          <w:lang w:val="en-GB"/>
        </w:rPr>
        <w:t xml:space="preserve"> was introduced in 2009, with the aim of promoting renewable energies in the EU. </w:t>
      </w:r>
      <w:r w:rsidR="5277925B" w:rsidRPr="59587566">
        <w:rPr>
          <w:sz w:val="22"/>
          <w:szCs w:val="22"/>
          <w:lang w:val="en-GB"/>
        </w:rPr>
        <w:t>At</w:t>
      </w:r>
      <w:r w:rsidRPr="59587566">
        <w:rPr>
          <w:sz w:val="22"/>
          <w:szCs w:val="22"/>
          <w:lang w:val="en-GB"/>
        </w:rPr>
        <w:t xml:space="preserve"> first</w:t>
      </w:r>
      <w:r w:rsidR="2FEDB9A8" w:rsidRPr="59587566">
        <w:rPr>
          <w:sz w:val="22"/>
          <w:szCs w:val="22"/>
          <w:lang w:val="en-GB"/>
        </w:rPr>
        <w:t>,</w:t>
      </w:r>
      <w:r w:rsidRPr="59587566">
        <w:rPr>
          <w:sz w:val="22"/>
          <w:szCs w:val="22"/>
          <w:lang w:val="en-GB"/>
        </w:rPr>
        <w:t xml:space="preserve"> </w:t>
      </w:r>
      <w:r w:rsidR="34F9A78F" w:rsidRPr="59587566">
        <w:rPr>
          <w:sz w:val="22"/>
          <w:szCs w:val="22"/>
          <w:lang w:val="en-GB"/>
        </w:rPr>
        <w:t>it</w:t>
      </w:r>
      <w:r w:rsidRPr="59587566">
        <w:rPr>
          <w:sz w:val="22"/>
          <w:szCs w:val="22"/>
          <w:lang w:val="en-GB"/>
        </w:rPr>
        <w:t xml:space="preserve"> establishe</w:t>
      </w:r>
      <w:r w:rsidR="33AD4B15" w:rsidRPr="59587566">
        <w:rPr>
          <w:sz w:val="22"/>
          <w:szCs w:val="22"/>
          <w:lang w:val="en-GB"/>
        </w:rPr>
        <w:t>d</w:t>
      </w:r>
      <w:r w:rsidRPr="59587566">
        <w:rPr>
          <w:sz w:val="22"/>
          <w:szCs w:val="22"/>
          <w:lang w:val="en-GB"/>
        </w:rPr>
        <w:t xml:space="preserve"> that 10</w:t>
      </w:r>
      <w:r w:rsidR="005D0FC1">
        <w:rPr>
          <w:sz w:val="22"/>
          <w:szCs w:val="22"/>
          <w:lang w:val="en-GB"/>
        </w:rPr>
        <w:t xml:space="preserve"> </w:t>
      </w:r>
      <w:r w:rsidRPr="59587566">
        <w:rPr>
          <w:sz w:val="22"/>
          <w:szCs w:val="22"/>
          <w:lang w:val="en-GB"/>
        </w:rPr>
        <w:t>% of the energy in the transport sector should be obtained from renewable resources. In 2015</w:t>
      </w:r>
      <w:r w:rsidR="0D033B8F" w:rsidRPr="59587566">
        <w:rPr>
          <w:sz w:val="22"/>
          <w:szCs w:val="22"/>
          <w:lang w:val="en-GB"/>
        </w:rPr>
        <w:t>,</w:t>
      </w:r>
      <w:r w:rsidRPr="59587566">
        <w:rPr>
          <w:sz w:val="22"/>
          <w:szCs w:val="22"/>
          <w:lang w:val="en-GB"/>
        </w:rPr>
        <w:t xml:space="preserve"> it was modified by the EU Indirect Land Use Change Directive, </w:t>
      </w:r>
      <w:r w:rsidR="26E1FB6E" w:rsidRPr="59587566">
        <w:rPr>
          <w:sz w:val="22"/>
          <w:szCs w:val="22"/>
          <w:lang w:val="en-GB"/>
        </w:rPr>
        <w:t>imposing</w:t>
      </w:r>
      <w:r w:rsidRPr="59587566">
        <w:rPr>
          <w:sz w:val="22"/>
          <w:szCs w:val="22"/>
          <w:lang w:val="en-GB"/>
        </w:rPr>
        <w:t xml:space="preserve"> a limit of 7</w:t>
      </w:r>
      <w:r w:rsidR="005D0FC1">
        <w:rPr>
          <w:sz w:val="22"/>
          <w:szCs w:val="22"/>
          <w:lang w:val="en-GB"/>
        </w:rPr>
        <w:t xml:space="preserve"> </w:t>
      </w:r>
      <w:r w:rsidRPr="59587566">
        <w:rPr>
          <w:sz w:val="22"/>
          <w:szCs w:val="22"/>
          <w:lang w:val="en-GB"/>
        </w:rPr>
        <w:t xml:space="preserve">% over those fuels coming from resources that </w:t>
      </w:r>
      <w:r w:rsidR="6683354A" w:rsidRPr="59587566">
        <w:rPr>
          <w:sz w:val="22"/>
          <w:szCs w:val="22"/>
          <w:lang w:val="en-GB"/>
        </w:rPr>
        <w:t xml:space="preserve">could potentially </w:t>
      </w:r>
      <w:r w:rsidRPr="59587566">
        <w:rPr>
          <w:sz w:val="22"/>
          <w:szCs w:val="22"/>
          <w:lang w:val="en-GB"/>
        </w:rPr>
        <w:t>compete with food production</w:t>
      </w:r>
      <w:r w:rsidR="4E5BBB07" w:rsidRPr="59587566">
        <w:rPr>
          <w:sz w:val="22"/>
          <w:szCs w:val="22"/>
          <w:lang w:val="en-GB"/>
        </w:rPr>
        <w:t xml:space="preserve">, </w:t>
      </w:r>
      <w:r w:rsidRPr="59587566">
        <w:rPr>
          <w:sz w:val="22"/>
          <w:szCs w:val="22"/>
          <w:lang w:val="en-GB"/>
        </w:rPr>
        <w:t xml:space="preserve">e.g. </w:t>
      </w:r>
      <w:r w:rsidR="3F066BC5" w:rsidRPr="59587566">
        <w:rPr>
          <w:sz w:val="22"/>
          <w:szCs w:val="22"/>
          <w:lang w:val="en-GB"/>
        </w:rPr>
        <w:t>soy</w:t>
      </w:r>
      <w:r w:rsidRPr="59587566">
        <w:rPr>
          <w:sz w:val="22"/>
          <w:szCs w:val="22"/>
          <w:lang w:val="en-GB"/>
        </w:rPr>
        <w:t xml:space="preserve">. </w:t>
      </w:r>
      <w:r w:rsidR="7FE3411A" w:rsidRPr="59587566">
        <w:rPr>
          <w:sz w:val="22"/>
          <w:szCs w:val="22"/>
          <w:lang w:val="en-GB"/>
        </w:rPr>
        <w:t>Later</w:t>
      </w:r>
      <w:r w:rsidRPr="59587566">
        <w:rPr>
          <w:sz w:val="22"/>
          <w:szCs w:val="22"/>
          <w:lang w:val="en-GB"/>
        </w:rPr>
        <w:t xml:space="preserve"> </w:t>
      </w:r>
      <w:r w:rsidR="00E14108">
        <w:rPr>
          <w:sz w:val="22"/>
          <w:szCs w:val="22"/>
          <w:lang w:val="en-GB"/>
        </w:rPr>
        <w:t>a</w:t>
      </w:r>
      <w:r w:rsidRPr="59587566">
        <w:rPr>
          <w:sz w:val="22"/>
          <w:szCs w:val="22"/>
          <w:lang w:val="en-GB"/>
        </w:rPr>
        <w:t xml:space="preserve"> target </w:t>
      </w:r>
      <w:r w:rsidR="74C29D4F" w:rsidRPr="59587566">
        <w:rPr>
          <w:sz w:val="22"/>
          <w:szCs w:val="22"/>
          <w:lang w:val="en-GB"/>
        </w:rPr>
        <w:t xml:space="preserve">of </w:t>
      </w:r>
      <w:r w:rsidRPr="59587566">
        <w:rPr>
          <w:sz w:val="22"/>
          <w:szCs w:val="22"/>
          <w:lang w:val="en-GB"/>
        </w:rPr>
        <w:t>0.5</w:t>
      </w:r>
      <w:r w:rsidR="005D0FC1">
        <w:rPr>
          <w:sz w:val="22"/>
          <w:szCs w:val="22"/>
          <w:lang w:val="en-GB"/>
        </w:rPr>
        <w:t xml:space="preserve"> </w:t>
      </w:r>
      <w:r w:rsidRPr="59587566">
        <w:rPr>
          <w:sz w:val="22"/>
          <w:szCs w:val="22"/>
          <w:lang w:val="en-GB"/>
        </w:rPr>
        <w:t>% for advanced biofuels was introduced</w:t>
      </w:r>
      <w:r w:rsidR="00E41D89">
        <w:rPr>
          <w:sz w:val="22"/>
          <w:szCs w:val="22"/>
          <w:lang w:val="en-GB"/>
        </w:rPr>
        <w:t xml:space="preserve"> </w:t>
      </w:r>
      <w:r w:rsidR="00E41D89">
        <w:rPr>
          <w:sz w:val="22"/>
          <w:szCs w:val="22"/>
          <w:lang w:val="en-GB"/>
        </w:rPr>
        <w:fldChar w:fldCharType="begin" w:fldLock="1"/>
      </w:r>
      <w:r w:rsidR="00F82B1E">
        <w:rPr>
          <w:sz w:val="22"/>
          <w:szCs w:val="22"/>
          <w:lang w:val="en-GB"/>
        </w:rPr>
        <w:instrText>ADDIN CSL_CITATION {"citationItems":[{"id":"ITEM-1","itemData":{"DOI":"10.1016/j.esr.2021.100633","ISSN":"2211467X","abstract":"Advanced biofuels are among the available options to decarbonise transport in the short to medium term especially for aviation, marine and heavy-duty vehicles that lack immediate alternatives. Their production and market uptake, however, is still very low due to several challenges arising across their value chain. So far policy has established targets and monitoring frameworks for low carbon fuels and improved engine performance but has not yet been sufficient to facilitate their effective market uptake. Their market roll-out must be immediate if the 2030 targets are to be met. Analysis in this paper reiterates that the future deployment of these fuels, in market shares that can lead to the desired decarbonisation levels, still depends largely on the integration of tailored policy interventions that can overcome challenges and improve upstream and downstream performance. The work presented aims to i) inform on policy relevant challenges that restrict the flexible, reliable and cost-efficient market uptake of sustainable advanced biofuels for transport, and ii) highlight policy interventions that, have strong potential to overcome the challenges and are relevant to current policy, Green Deal and the Sustainable Development Goals (SDGs).","author":[{"dropping-particle":"","family":"Panoutsou","given":"Calliope","non-dropping-particle":"","parse-names":false,"suffix":""},{"dropping-particle":"","family":"Germer","given":"Sonja","non-dropping-particle":"","parse-names":false,"suffix":""},{"dropping-particle":"","family":"Karka","given":"Paraskevi","non-dropping-particle":"","parse-names":false,"suffix":""},{"dropping-particle":"","family":"Papadokostantakis","given":"Stavros","non-dropping-particle":"","parse-names":false,"suffix":""},{"dropping-particle":"","family":"Kroyan","given":"Yuri","non-dropping-particle":"","parse-names":false,"suffix":""},{"dropping-particle":"","family":"Wojcieszyk","given":"Michal","non-dropping-particle":"","parse-names":false,"suffix":""},{"dropping-particle":"","family":"Maniatis","given":"Kyriakos","non-dropping-particle":"","parse-names":false,"suffix":""},{"dropping-particle":"","family":"Marchand","given":"Philippe","non-dropping-particle":"","parse-names":false,"suffix":""},{"dropping-particle":"","family":"Landalv","given":"Ingvar","non-dropping-particle":"","parse-names":false,"suffix":""}],"container-title":"Energy Strategy Reviews","id":"ITEM-1","issue":"March","issued":{"date-parts":[["2021"]]},"page":"100633","publisher":"Elsevier Ltd","title":"Advanced biofuels to decarbonise European transport by 2030: Markets, challenges, and policies that impact their successful market uptake","type":"article-journal","volume":"34"},"uris":["http://www.mendeley.com/documents/?uuid=e0b8486c-e671-49c6-b25c-f2ad745dcfe0"]}],"mendeley":{"formattedCitation":"(Panoutsou et al., 2021)","plainTextFormattedCitation":"(Panoutsou et al., 2021)","previouslyFormattedCitation":"(Panoutsou et al., 2021)"},"properties":{"noteIndex":0},"schema":"https://github.com/citation-style-language/schema/raw/master/csl-citation.json"}</w:instrText>
      </w:r>
      <w:r w:rsidR="00E41D89">
        <w:rPr>
          <w:sz w:val="22"/>
          <w:szCs w:val="22"/>
          <w:lang w:val="en-GB"/>
        </w:rPr>
        <w:fldChar w:fldCharType="separate"/>
      </w:r>
      <w:r w:rsidR="00E41D89" w:rsidRPr="00E41D89">
        <w:rPr>
          <w:noProof/>
          <w:sz w:val="22"/>
          <w:szCs w:val="22"/>
          <w:lang w:val="en-GB"/>
        </w:rPr>
        <w:t>(Panoutsou et al., 2021)</w:t>
      </w:r>
      <w:r w:rsidR="00E41D89">
        <w:rPr>
          <w:sz w:val="22"/>
          <w:szCs w:val="22"/>
          <w:lang w:val="en-GB"/>
        </w:rPr>
        <w:fldChar w:fldCharType="end"/>
      </w:r>
      <w:r w:rsidRPr="59587566">
        <w:rPr>
          <w:sz w:val="22"/>
          <w:szCs w:val="22"/>
          <w:lang w:val="en-GB"/>
        </w:rPr>
        <w:t xml:space="preserve">. </w:t>
      </w:r>
    </w:p>
    <w:p w14:paraId="079A0587" w14:textId="7BDD8084" w:rsidR="00AB34CC" w:rsidRDefault="415EFDA2" w:rsidP="00BA4A18">
      <w:pPr>
        <w:spacing w:after="120" w:line="360" w:lineRule="auto"/>
        <w:ind w:firstLine="709"/>
        <w:rPr>
          <w:sz w:val="22"/>
          <w:szCs w:val="22"/>
          <w:lang w:val="en-GB"/>
        </w:rPr>
      </w:pPr>
      <w:r w:rsidRPr="59587566">
        <w:rPr>
          <w:sz w:val="22"/>
          <w:szCs w:val="22"/>
          <w:lang w:val="en-GB"/>
        </w:rPr>
        <w:t>In</w:t>
      </w:r>
      <w:r w:rsidR="2A28DF93" w:rsidRPr="59587566">
        <w:rPr>
          <w:sz w:val="22"/>
          <w:szCs w:val="22"/>
          <w:lang w:val="en-GB"/>
        </w:rPr>
        <w:t xml:space="preserve"> 2018, RED was revised and RED II came into effect. The RED II provided</w:t>
      </w:r>
      <w:r w:rsidR="3C34D7CC" w:rsidRPr="59587566">
        <w:rPr>
          <w:sz w:val="22"/>
          <w:szCs w:val="22"/>
          <w:lang w:val="en-GB"/>
        </w:rPr>
        <w:t>,</w:t>
      </w:r>
      <w:r w:rsidR="2A28DF93" w:rsidRPr="59587566">
        <w:rPr>
          <w:sz w:val="22"/>
          <w:szCs w:val="22"/>
          <w:lang w:val="en-GB"/>
        </w:rPr>
        <w:t xml:space="preserve"> for the first time</w:t>
      </w:r>
      <w:r w:rsidR="310E5675" w:rsidRPr="59587566">
        <w:rPr>
          <w:sz w:val="22"/>
          <w:szCs w:val="22"/>
          <w:lang w:val="en-GB"/>
        </w:rPr>
        <w:t>,</w:t>
      </w:r>
      <w:r w:rsidR="2A28DF93" w:rsidRPr="59587566">
        <w:rPr>
          <w:sz w:val="22"/>
          <w:szCs w:val="22"/>
          <w:lang w:val="en-GB"/>
        </w:rPr>
        <w:t xml:space="preserve"> a roadmap with specific sustainability criteria and targets for biofuels. Th</w:t>
      </w:r>
      <w:r w:rsidR="24CF1E57" w:rsidRPr="59587566">
        <w:rPr>
          <w:sz w:val="22"/>
          <w:szCs w:val="22"/>
          <w:lang w:val="en-GB"/>
        </w:rPr>
        <w:t>e</w:t>
      </w:r>
      <w:r w:rsidR="2A28DF93" w:rsidRPr="59587566">
        <w:rPr>
          <w:sz w:val="22"/>
          <w:szCs w:val="22"/>
          <w:lang w:val="en-GB"/>
        </w:rPr>
        <w:t xml:space="preserve"> revised version increased the target </w:t>
      </w:r>
      <w:r w:rsidR="2A28DF93" w:rsidRPr="59587566">
        <w:rPr>
          <w:sz w:val="22"/>
          <w:szCs w:val="22"/>
          <w:lang w:val="en-GB"/>
        </w:rPr>
        <w:lastRenderedPageBreak/>
        <w:t xml:space="preserve">for </w:t>
      </w:r>
      <w:r w:rsidR="50B38534" w:rsidRPr="59587566">
        <w:rPr>
          <w:sz w:val="22"/>
          <w:szCs w:val="22"/>
          <w:lang w:val="en-GB"/>
        </w:rPr>
        <w:t xml:space="preserve">total </w:t>
      </w:r>
      <w:r w:rsidR="2A28DF93" w:rsidRPr="59587566">
        <w:rPr>
          <w:sz w:val="22"/>
          <w:szCs w:val="22"/>
          <w:lang w:val="en-GB"/>
        </w:rPr>
        <w:t>renewable</w:t>
      </w:r>
      <w:r w:rsidR="0E8BE8CC" w:rsidRPr="59587566">
        <w:rPr>
          <w:sz w:val="22"/>
          <w:szCs w:val="22"/>
          <w:lang w:val="en-GB"/>
        </w:rPr>
        <w:t>s</w:t>
      </w:r>
      <w:r w:rsidR="2A28DF93" w:rsidRPr="59587566">
        <w:rPr>
          <w:sz w:val="22"/>
          <w:szCs w:val="22"/>
          <w:lang w:val="en-GB"/>
        </w:rPr>
        <w:t xml:space="preserve"> to 14</w:t>
      </w:r>
      <w:r w:rsidR="005D0FC1">
        <w:rPr>
          <w:sz w:val="22"/>
          <w:szCs w:val="22"/>
          <w:lang w:val="en-GB"/>
        </w:rPr>
        <w:t xml:space="preserve"> </w:t>
      </w:r>
      <w:r w:rsidR="2A28DF93" w:rsidRPr="59587566">
        <w:rPr>
          <w:sz w:val="22"/>
          <w:szCs w:val="22"/>
          <w:lang w:val="en-GB"/>
        </w:rPr>
        <w:t>%, and to 3.</w:t>
      </w:r>
      <w:r w:rsidR="00C1103C">
        <w:rPr>
          <w:sz w:val="22"/>
          <w:szCs w:val="22"/>
          <w:lang w:val="en-GB"/>
        </w:rPr>
        <w:t>5</w:t>
      </w:r>
      <w:r w:rsidR="005D0FC1">
        <w:rPr>
          <w:sz w:val="22"/>
          <w:szCs w:val="22"/>
          <w:lang w:val="en-GB"/>
        </w:rPr>
        <w:t xml:space="preserve"> </w:t>
      </w:r>
      <w:r w:rsidR="2A28DF93" w:rsidRPr="59587566">
        <w:rPr>
          <w:sz w:val="22"/>
          <w:szCs w:val="22"/>
          <w:lang w:val="en-GB"/>
        </w:rPr>
        <w:t>% for advanced biofuels</w:t>
      </w:r>
      <w:r w:rsidR="00C1103C">
        <w:rPr>
          <w:sz w:val="22"/>
          <w:szCs w:val="22"/>
          <w:lang w:val="en-GB"/>
        </w:rPr>
        <w:t xml:space="preserve"> in 2030</w:t>
      </w:r>
      <w:r w:rsidR="7DDBC449" w:rsidRPr="59587566">
        <w:rPr>
          <w:sz w:val="22"/>
          <w:szCs w:val="22"/>
          <w:lang w:val="en-GB"/>
        </w:rPr>
        <w:t>,</w:t>
      </w:r>
      <w:r w:rsidR="3E88264C" w:rsidRPr="59587566">
        <w:rPr>
          <w:sz w:val="22"/>
          <w:szCs w:val="22"/>
          <w:lang w:val="en-GB"/>
        </w:rPr>
        <w:t xml:space="preserve"> also</w:t>
      </w:r>
      <w:r w:rsidR="7DDBC449" w:rsidRPr="59587566">
        <w:rPr>
          <w:sz w:val="22"/>
          <w:szCs w:val="22"/>
          <w:lang w:val="en-GB"/>
        </w:rPr>
        <w:t xml:space="preserve"> introducing the </w:t>
      </w:r>
      <w:r w:rsidR="2A28DF93" w:rsidRPr="59587566">
        <w:rPr>
          <w:sz w:val="22"/>
          <w:szCs w:val="22"/>
          <w:lang w:val="en-GB"/>
        </w:rPr>
        <w:t>double counting</w:t>
      </w:r>
      <w:r w:rsidR="65525757" w:rsidRPr="59587566">
        <w:rPr>
          <w:sz w:val="22"/>
          <w:szCs w:val="22"/>
          <w:lang w:val="en-GB"/>
        </w:rPr>
        <w:t xml:space="preserve"> approach</w:t>
      </w:r>
      <w:r w:rsidR="3951C37D" w:rsidRPr="59587566">
        <w:rPr>
          <w:sz w:val="22"/>
          <w:szCs w:val="22"/>
          <w:lang w:val="en-GB"/>
        </w:rPr>
        <w:t xml:space="preserve">. </w:t>
      </w:r>
      <w:r w:rsidR="3874DDCE" w:rsidRPr="59587566">
        <w:rPr>
          <w:sz w:val="22"/>
          <w:szCs w:val="22"/>
          <w:lang w:val="en-GB"/>
        </w:rPr>
        <w:t xml:space="preserve">The </w:t>
      </w:r>
      <w:r w:rsidR="2A28DF93" w:rsidRPr="59587566">
        <w:rPr>
          <w:sz w:val="22"/>
          <w:szCs w:val="22"/>
          <w:lang w:val="en-GB"/>
        </w:rPr>
        <w:t>double counting</w:t>
      </w:r>
      <w:r w:rsidR="4A369244" w:rsidRPr="59587566">
        <w:rPr>
          <w:sz w:val="22"/>
          <w:szCs w:val="22"/>
          <w:lang w:val="en-GB"/>
        </w:rPr>
        <w:t xml:space="preserve"> approach states that </w:t>
      </w:r>
      <w:r w:rsidR="2A28DF93" w:rsidRPr="59587566">
        <w:rPr>
          <w:sz w:val="22"/>
          <w:szCs w:val="22"/>
          <w:lang w:val="en-GB"/>
        </w:rPr>
        <w:t xml:space="preserve">advanced biofuels </w:t>
      </w:r>
      <w:r w:rsidR="1D24BEB5" w:rsidRPr="59587566">
        <w:rPr>
          <w:sz w:val="22"/>
          <w:szCs w:val="22"/>
          <w:lang w:val="en-GB"/>
        </w:rPr>
        <w:t xml:space="preserve">have their </w:t>
      </w:r>
      <w:r w:rsidR="00FE37AF">
        <w:rPr>
          <w:sz w:val="22"/>
          <w:szCs w:val="22"/>
          <w:lang w:val="en-GB"/>
        </w:rPr>
        <w:t>contribution</w:t>
      </w:r>
      <w:r w:rsidR="2A28DF93" w:rsidRPr="59587566">
        <w:rPr>
          <w:sz w:val="22"/>
          <w:szCs w:val="22"/>
          <w:lang w:val="en-GB"/>
        </w:rPr>
        <w:t xml:space="preserve"> </w:t>
      </w:r>
      <w:r w:rsidR="6B3CEA29" w:rsidRPr="59587566">
        <w:rPr>
          <w:sz w:val="22"/>
          <w:szCs w:val="22"/>
          <w:lang w:val="en-GB"/>
        </w:rPr>
        <w:t>accounted twice in</w:t>
      </w:r>
      <w:r w:rsidR="2A28DF93" w:rsidRPr="59587566">
        <w:rPr>
          <w:sz w:val="22"/>
          <w:szCs w:val="22"/>
          <w:lang w:val="en-GB"/>
        </w:rPr>
        <w:t xml:space="preserve"> the </w:t>
      </w:r>
      <w:r w:rsidR="00FE37AF">
        <w:rPr>
          <w:sz w:val="22"/>
          <w:szCs w:val="22"/>
          <w:lang w:val="en-GB"/>
        </w:rPr>
        <w:t xml:space="preserve">GHG </w:t>
      </w:r>
      <w:r w:rsidR="2A28DF93" w:rsidRPr="59587566">
        <w:rPr>
          <w:sz w:val="22"/>
          <w:szCs w:val="22"/>
          <w:lang w:val="en-GB"/>
        </w:rPr>
        <w:t xml:space="preserve">balance. </w:t>
      </w:r>
      <w:r w:rsidR="2C04BC36" w:rsidRPr="59587566">
        <w:rPr>
          <w:sz w:val="22"/>
          <w:szCs w:val="22"/>
          <w:lang w:val="en-GB"/>
        </w:rPr>
        <w:t>The use of fuels produced from feedstock</w:t>
      </w:r>
      <w:r w:rsidR="1E379522" w:rsidRPr="59587566">
        <w:rPr>
          <w:sz w:val="22"/>
          <w:szCs w:val="22"/>
          <w:lang w:val="en-GB"/>
        </w:rPr>
        <w:t>s</w:t>
      </w:r>
      <w:r w:rsidR="2C04BC36" w:rsidRPr="59587566">
        <w:rPr>
          <w:sz w:val="22"/>
          <w:szCs w:val="22"/>
          <w:lang w:val="en-GB"/>
        </w:rPr>
        <w:t xml:space="preserve"> that do not cope with food security </w:t>
      </w:r>
      <w:r w:rsidR="638C999E" w:rsidRPr="59587566">
        <w:rPr>
          <w:sz w:val="22"/>
          <w:szCs w:val="22"/>
          <w:lang w:val="en-GB"/>
        </w:rPr>
        <w:t>and</w:t>
      </w:r>
      <w:r w:rsidR="007D4A4F">
        <w:rPr>
          <w:sz w:val="22"/>
          <w:szCs w:val="22"/>
          <w:lang w:val="en-GB"/>
        </w:rPr>
        <w:t>/or</w:t>
      </w:r>
      <w:r w:rsidR="638C999E" w:rsidRPr="59587566">
        <w:rPr>
          <w:sz w:val="22"/>
          <w:szCs w:val="22"/>
          <w:lang w:val="en-GB"/>
        </w:rPr>
        <w:t xml:space="preserve"> represent a potential risk for land use change</w:t>
      </w:r>
      <w:r w:rsidR="022669FE" w:rsidRPr="59587566">
        <w:rPr>
          <w:sz w:val="22"/>
          <w:szCs w:val="22"/>
          <w:lang w:val="en-GB"/>
        </w:rPr>
        <w:t>,</w:t>
      </w:r>
      <w:r w:rsidR="2C04BC36" w:rsidRPr="59587566">
        <w:rPr>
          <w:sz w:val="22"/>
          <w:szCs w:val="22"/>
          <w:lang w:val="en-GB"/>
        </w:rPr>
        <w:t xml:space="preserve"> </w:t>
      </w:r>
      <w:r w:rsidR="2A28DF93" w:rsidRPr="59587566">
        <w:rPr>
          <w:sz w:val="22"/>
          <w:szCs w:val="22"/>
          <w:lang w:val="en-GB"/>
        </w:rPr>
        <w:t xml:space="preserve">will be gradually dismissed by 2030. </w:t>
      </w:r>
      <w:r w:rsidR="007D4A4F">
        <w:rPr>
          <w:sz w:val="22"/>
          <w:szCs w:val="22"/>
          <w:lang w:val="en-GB"/>
        </w:rPr>
        <w:t>Some Eu member states</w:t>
      </w:r>
      <w:r w:rsidR="003C20A0">
        <w:rPr>
          <w:sz w:val="22"/>
          <w:szCs w:val="22"/>
          <w:lang w:val="en-GB"/>
        </w:rPr>
        <w:t>, however,</w:t>
      </w:r>
      <w:r w:rsidR="007D4A4F">
        <w:rPr>
          <w:sz w:val="22"/>
          <w:szCs w:val="22"/>
          <w:lang w:val="en-GB"/>
        </w:rPr>
        <w:t xml:space="preserve"> </w:t>
      </w:r>
      <w:r w:rsidR="003C20A0">
        <w:rPr>
          <w:sz w:val="22"/>
          <w:szCs w:val="22"/>
          <w:lang w:val="en-GB"/>
        </w:rPr>
        <w:t>pledge the non-use of traditional feedstocks before 2030</w:t>
      </w:r>
      <w:r w:rsidR="007D4A4F">
        <w:rPr>
          <w:sz w:val="22"/>
          <w:szCs w:val="22"/>
          <w:lang w:val="en-GB"/>
        </w:rPr>
        <w:t xml:space="preserve">. </w:t>
      </w:r>
      <w:r w:rsidR="2A28DF93" w:rsidRPr="59587566">
        <w:rPr>
          <w:sz w:val="22"/>
          <w:szCs w:val="22"/>
          <w:lang w:val="en-GB"/>
        </w:rPr>
        <w:t>The Delegated Regulation (EU) 2019/807</w:t>
      </w:r>
      <w:r w:rsidR="536E58B7" w:rsidRPr="59587566">
        <w:rPr>
          <w:sz w:val="22"/>
          <w:szCs w:val="22"/>
          <w:lang w:val="en-GB"/>
        </w:rPr>
        <w:t>,</w:t>
      </w:r>
      <w:r w:rsidR="2A28DF93" w:rsidRPr="59587566">
        <w:rPr>
          <w:sz w:val="22"/>
          <w:szCs w:val="22"/>
          <w:lang w:val="en-GB"/>
        </w:rPr>
        <w:t xml:space="preserve"> supplementing the RED II</w:t>
      </w:r>
      <w:r w:rsidR="27D80ED2" w:rsidRPr="59587566">
        <w:rPr>
          <w:sz w:val="22"/>
          <w:szCs w:val="22"/>
          <w:lang w:val="en-GB"/>
        </w:rPr>
        <w:t>,</w:t>
      </w:r>
      <w:r w:rsidR="2A28DF93" w:rsidRPr="59587566">
        <w:rPr>
          <w:sz w:val="22"/>
          <w:szCs w:val="22"/>
          <w:lang w:val="en-GB"/>
        </w:rPr>
        <w:t xml:space="preserve"> </w:t>
      </w:r>
      <w:r w:rsidR="00FE37AF">
        <w:rPr>
          <w:sz w:val="22"/>
          <w:szCs w:val="22"/>
          <w:lang w:val="en-GB"/>
        </w:rPr>
        <w:t>fosters</w:t>
      </w:r>
      <w:r w:rsidR="2A28DF93" w:rsidRPr="59587566">
        <w:rPr>
          <w:sz w:val="22"/>
          <w:szCs w:val="22"/>
          <w:lang w:val="en-GB"/>
        </w:rPr>
        <w:t xml:space="preserve"> the use of resources </w:t>
      </w:r>
      <w:r w:rsidR="42B5A1A0" w:rsidRPr="59587566">
        <w:rPr>
          <w:sz w:val="22"/>
          <w:szCs w:val="22"/>
          <w:lang w:val="en-GB"/>
        </w:rPr>
        <w:t>with low risk for</w:t>
      </w:r>
      <w:r w:rsidR="2A28DF93" w:rsidRPr="59587566">
        <w:rPr>
          <w:sz w:val="22"/>
          <w:szCs w:val="22"/>
          <w:lang w:val="en-GB"/>
        </w:rPr>
        <w:t xml:space="preserve"> Indirect Land Use</w:t>
      </w:r>
      <w:r w:rsidR="00FE37AF">
        <w:rPr>
          <w:sz w:val="22"/>
          <w:szCs w:val="22"/>
          <w:lang w:val="en-GB"/>
        </w:rPr>
        <w:t xml:space="preserve"> Change</w:t>
      </w:r>
      <w:r w:rsidR="2A28DF93" w:rsidRPr="59587566">
        <w:rPr>
          <w:sz w:val="22"/>
          <w:szCs w:val="22"/>
          <w:lang w:val="en-GB"/>
        </w:rPr>
        <w:t xml:space="preserve"> (ILUC) and </w:t>
      </w:r>
      <w:r w:rsidR="00FE37AF">
        <w:rPr>
          <w:sz w:val="22"/>
          <w:szCs w:val="22"/>
          <w:lang w:val="en-GB"/>
        </w:rPr>
        <w:t xml:space="preserve">which </w:t>
      </w:r>
      <w:r w:rsidR="002001F7" w:rsidRPr="59587566">
        <w:rPr>
          <w:sz w:val="22"/>
          <w:szCs w:val="22"/>
          <w:lang w:val="en-GB"/>
        </w:rPr>
        <w:t xml:space="preserve">promote </w:t>
      </w:r>
      <w:r w:rsidR="2A28DF93" w:rsidRPr="59587566">
        <w:rPr>
          <w:sz w:val="22"/>
          <w:szCs w:val="22"/>
          <w:lang w:val="en-GB"/>
        </w:rPr>
        <w:t>improve</w:t>
      </w:r>
      <w:r w:rsidR="0BF2DBC6" w:rsidRPr="59587566">
        <w:rPr>
          <w:sz w:val="22"/>
          <w:szCs w:val="22"/>
          <w:lang w:val="en-GB"/>
        </w:rPr>
        <w:t>d</w:t>
      </w:r>
      <w:r w:rsidR="2A28DF93" w:rsidRPr="59587566">
        <w:rPr>
          <w:sz w:val="22"/>
          <w:szCs w:val="22"/>
          <w:lang w:val="en-GB"/>
        </w:rPr>
        <w:t xml:space="preserve"> agricultural practices (</w:t>
      </w:r>
      <w:proofErr w:type="spellStart"/>
      <w:r w:rsidR="2A28DF93" w:rsidRPr="59587566">
        <w:rPr>
          <w:sz w:val="22"/>
          <w:szCs w:val="22"/>
          <w:lang w:val="en-GB"/>
        </w:rPr>
        <w:t>Panoutsou</w:t>
      </w:r>
      <w:proofErr w:type="spellEnd"/>
      <w:r w:rsidR="2A28DF93" w:rsidRPr="59587566">
        <w:rPr>
          <w:sz w:val="22"/>
          <w:szCs w:val="22"/>
          <w:lang w:val="en-GB"/>
        </w:rPr>
        <w:t xml:space="preserve"> et al., 2021).</w:t>
      </w:r>
    </w:p>
    <w:p w14:paraId="30147E97" w14:textId="1D540A00" w:rsidR="00BA4A18" w:rsidRDefault="00BA4A18" w:rsidP="00BA4A18">
      <w:pPr>
        <w:spacing w:after="120" w:line="360" w:lineRule="auto"/>
        <w:ind w:firstLine="709"/>
        <w:rPr>
          <w:sz w:val="22"/>
          <w:szCs w:val="22"/>
          <w:lang w:val="en-GB"/>
        </w:rPr>
      </w:pPr>
      <w:r w:rsidRPr="00BA4A18">
        <w:rPr>
          <w:sz w:val="22"/>
          <w:szCs w:val="22"/>
          <w:lang w:val="en-GB"/>
        </w:rPr>
        <w:t xml:space="preserve"> </w:t>
      </w:r>
      <w:r>
        <w:rPr>
          <w:sz w:val="22"/>
          <w:szCs w:val="22"/>
          <w:lang w:val="en-GB"/>
        </w:rPr>
        <w:t>A</w:t>
      </w:r>
      <w:r w:rsidRPr="00F22544">
        <w:rPr>
          <w:sz w:val="22"/>
          <w:szCs w:val="22"/>
          <w:lang w:val="en-GB"/>
        </w:rPr>
        <w:t>nnex IX of RED II conveys to edible feedstock for advanced fuel production. As for annex IX, advanced biofuels are mostly produced from residual streams.</w:t>
      </w:r>
      <w:r w:rsidRPr="000E166E">
        <w:rPr>
          <w:sz w:val="22"/>
          <w:szCs w:val="22"/>
          <w:lang w:val="en-GB"/>
        </w:rPr>
        <w:t xml:space="preserve"> </w:t>
      </w:r>
      <w:r w:rsidRPr="00F22544">
        <w:rPr>
          <w:sz w:val="22"/>
          <w:szCs w:val="22"/>
          <w:lang w:val="en-GB"/>
        </w:rPr>
        <w:t xml:space="preserve">Much attention is given to this topic since it is a sensible step towards sustainable biofuels production. The sustainable use of lignocellulosic material for energy application is dependent on how and where such material is derived. The direct or indirect land use change (LUC) refers to potential impact that commercial cultivation might have on the availability of productive land, suitable for food production, and the displacement of natural vegetation towards the commercial application. While the first debates on food vs fuel matter, the second leads to GHG emissions prevenient from natural carbon stocks and the loss of biodiversity </w:t>
      </w:r>
      <w:r w:rsidR="00B0696A">
        <w:rPr>
          <w:sz w:val="22"/>
          <w:szCs w:val="22"/>
          <w:lang w:val="en-GB"/>
        </w:rPr>
        <w:t xml:space="preserve"> </w:t>
      </w:r>
      <w:r w:rsidR="00B0696A">
        <w:rPr>
          <w:sz w:val="22"/>
          <w:szCs w:val="22"/>
          <w:lang w:val="en-GB"/>
        </w:rPr>
        <w:fldChar w:fldCharType="begin" w:fldLock="1"/>
      </w:r>
      <w:r w:rsidR="00B0696A">
        <w:rPr>
          <w:sz w:val="22"/>
          <w:szCs w:val="22"/>
          <w:lang w:val="en-GB"/>
        </w:rPr>
        <w:instrText>ADDIN CSL_CITATION {"citationItems":[{"id":"ITEM-1","itemData":{"DOI":"10.1016/j.biombioe.2011.07.015","ISSN":"0961-9534","author":[{"dropping-particle":"Van","family":"Stappen","given":"Florence","non-dropping-particle":"","parse-names":false,"suffix":""},{"dropping-particle":"","family":"Brose","given":"Isabelle","non-dropping-particle":"","parse-names":false,"suffix":""},{"dropping-particle":"","family":"Schenkel","given":"Yves","non-dropping-particle":"","parse-names":false,"suffix":""}],"container-title":"Biomass and Bioenergy","id":"ITEM-1","issue":"12","issued":{"date-parts":[["2011"]]},"page":"4824-4834","publisher":"Elsevier Ltd","title":"Direct and indirect land use changes issues in European sustainability initiatives : State-of-the-art , open issues and future developments","type":"article-journal","volume":"35"},"uris":["http://www.mendeley.com/documents/?uuid=4603b30b-5dfb-4731-a2f0-7954227e62f2"]}],"mendeley":{"formattedCitation":"(Stappen et al., 2011)","plainTextFormattedCitation":"(Stappen et al., 2011)","previouslyFormattedCitation":"(Stappen et al., 2011)"},"properties":{"noteIndex":0},"schema":"https://github.com/citation-style-language/schema/raw/master/csl-citation.json"}</w:instrText>
      </w:r>
      <w:r w:rsidR="00B0696A">
        <w:rPr>
          <w:sz w:val="22"/>
          <w:szCs w:val="22"/>
          <w:lang w:val="en-GB"/>
        </w:rPr>
        <w:fldChar w:fldCharType="separate"/>
      </w:r>
      <w:r w:rsidR="00B0696A" w:rsidRPr="00B0696A">
        <w:rPr>
          <w:noProof/>
          <w:sz w:val="22"/>
          <w:szCs w:val="22"/>
          <w:lang w:val="en-GB"/>
        </w:rPr>
        <w:t>(Stappen et al., 2011)</w:t>
      </w:r>
      <w:r w:rsidR="00B0696A">
        <w:rPr>
          <w:sz w:val="22"/>
          <w:szCs w:val="22"/>
          <w:lang w:val="en-GB"/>
        </w:rPr>
        <w:fldChar w:fldCharType="end"/>
      </w:r>
      <w:r w:rsidRPr="00F22544">
        <w:rPr>
          <w:sz w:val="22"/>
          <w:szCs w:val="22"/>
          <w:lang w:val="en-GB"/>
        </w:rPr>
        <w:t xml:space="preserve">. Moreover, the management of any agricultural crop must deal with the depletion of soil nutrients and, consequently, the use of fertilizers increasing its carbon intensity. </w:t>
      </w:r>
      <w:r w:rsidR="00EC6938">
        <w:rPr>
          <w:sz w:val="22"/>
          <w:szCs w:val="22"/>
          <w:lang w:val="en-GB"/>
        </w:rPr>
        <w:t xml:space="preserve">This </w:t>
      </w:r>
      <w:r w:rsidRPr="00F22544">
        <w:rPr>
          <w:sz w:val="22"/>
          <w:szCs w:val="22"/>
          <w:lang w:val="en-GB"/>
        </w:rPr>
        <w:t xml:space="preserve"> </w:t>
      </w:r>
      <w:r w:rsidR="00EC6938" w:rsidRPr="00F22544">
        <w:rPr>
          <w:sz w:val="22"/>
          <w:szCs w:val="22"/>
          <w:lang w:val="en-GB"/>
        </w:rPr>
        <w:t xml:space="preserve">must be considered under critical assessment </w:t>
      </w:r>
      <w:r w:rsidRPr="00F22544">
        <w:rPr>
          <w:sz w:val="22"/>
          <w:szCs w:val="22"/>
          <w:lang w:val="en-GB"/>
        </w:rPr>
        <w:t>together</w:t>
      </w:r>
      <w:r w:rsidR="00EC6938">
        <w:rPr>
          <w:sz w:val="22"/>
          <w:szCs w:val="22"/>
          <w:lang w:val="en-GB"/>
        </w:rPr>
        <w:t xml:space="preserve"> with</w:t>
      </w:r>
      <w:r w:rsidRPr="00F22544">
        <w:rPr>
          <w:sz w:val="22"/>
          <w:szCs w:val="22"/>
          <w:lang w:val="en-GB"/>
        </w:rPr>
        <w:t xml:space="preserve"> the expansion of agricultural areas.</w:t>
      </w:r>
      <w:r w:rsidRPr="00BA4A18">
        <w:rPr>
          <w:sz w:val="22"/>
          <w:szCs w:val="22"/>
          <w:lang w:val="en-GB"/>
        </w:rPr>
        <w:t xml:space="preserve"> </w:t>
      </w:r>
      <w:r w:rsidR="00AB34CC">
        <w:rPr>
          <w:sz w:val="22"/>
          <w:szCs w:val="22"/>
          <w:lang w:val="en-GB"/>
        </w:rPr>
        <w:t>On the other hand, t</w:t>
      </w:r>
      <w:r w:rsidRPr="00F22544">
        <w:rPr>
          <w:sz w:val="22"/>
          <w:szCs w:val="22"/>
          <w:lang w:val="en-GB"/>
        </w:rPr>
        <w:t xml:space="preserve">he use of dedicated energy crops on degraded and marginal lands can contribute to improve soil </w:t>
      </w:r>
      <w:r w:rsidR="00AB34CC">
        <w:rPr>
          <w:sz w:val="22"/>
          <w:szCs w:val="22"/>
          <w:lang w:val="en-GB"/>
        </w:rPr>
        <w:t>fertility</w:t>
      </w:r>
      <w:r w:rsidRPr="00F22544">
        <w:rPr>
          <w:sz w:val="22"/>
          <w:szCs w:val="22"/>
          <w:lang w:val="en-GB"/>
        </w:rPr>
        <w:t xml:space="preserve">, and could be an strategy to increase feedstock availability, as suggested by the Delegated Regulation (EU) 2019/807. Nevertheless, the definition and classification of degraded lands </w:t>
      </w:r>
      <w:r w:rsidR="00EC6938">
        <w:rPr>
          <w:sz w:val="22"/>
          <w:szCs w:val="22"/>
          <w:lang w:val="en-GB"/>
        </w:rPr>
        <w:t xml:space="preserve">still </w:t>
      </w:r>
      <w:r w:rsidRPr="00F22544">
        <w:rPr>
          <w:sz w:val="22"/>
          <w:szCs w:val="22"/>
          <w:lang w:val="en-GB"/>
        </w:rPr>
        <w:t>lack</w:t>
      </w:r>
      <w:r w:rsidR="00EC6938">
        <w:rPr>
          <w:sz w:val="22"/>
          <w:szCs w:val="22"/>
          <w:lang w:val="en-GB"/>
        </w:rPr>
        <w:t>s</w:t>
      </w:r>
      <w:r w:rsidRPr="00F22544">
        <w:rPr>
          <w:sz w:val="22"/>
          <w:szCs w:val="22"/>
          <w:lang w:val="en-GB"/>
        </w:rPr>
        <w:t xml:space="preserve"> clarity </w:t>
      </w:r>
      <w:r w:rsidR="00B0696A">
        <w:rPr>
          <w:sz w:val="22"/>
          <w:szCs w:val="22"/>
          <w:lang w:val="en-GB"/>
        </w:rPr>
        <w:fldChar w:fldCharType="begin" w:fldLock="1"/>
      </w:r>
      <w:r w:rsidR="00B0696A">
        <w:rPr>
          <w:sz w:val="22"/>
          <w:szCs w:val="22"/>
          <w:lang w:val="en-GB"/>
        </w:rPr>
        <w:instrText>ADDIN CSL_CITATION {"citationItems":[{"id":"ITEM-1","itemData":{"DOI":"10.1016/j.rser.2020.110220","author":[{"dropping-particle":"","family":"Thomas","given":"R","non-dropping-particle":"","parse-names":false,"suffix":""},{"dropping-particle":"","family":"Hursthouse","given":"A","non-dropping-particle":"","parse-names":false,"suffix":""},{"dropping-particle":"","family":"Mellor","given":"P","non-dropping-particle":"","parse-names":false,"suffix":""},{"dropping-particle":"","family":"Lord","given":"R A","non-dropping-particle":"","parse-names":false,"suffix":""},{"dropping-particle":"","family":"Jo","given":"E","non-dropping-particle":"","parse-names":false,"suffix":""}],"id":"ITEM-1","issue":"August 2020","issued":{"date-parts":[["2021"]]},"title":"Identifying non-agricultural marginal lands as a route to sustainable bioenergy provision - A review and holistic definition","type":"article-journal","volume":"135"},"uris":["http://www.mendeley.com/documents/?uuid=354f418e-c815-4306-b1c0-11c1267a5ca8"]}],"mendeley":{"formattedCitation":"(Thomas et al., 2021)","plainTextFormattedCitation":"(Thomas et al., 2021)"},"properties":{"noteIndex":0},"schema":"https://github.com/citation-style-language/schema/raw/master/csl-citation.json"}</w:instrText>
      </w:r>
      <w:r w:rsidR="00B0696A">
        <w:rPr>
          <w:sz w:val="22"/>
          <w:szCs w:val="22"/>
          <w:lang w:val="en-GB"/>
        </w:rPr>
        <w:fldChar w:fldCharType="separate"/>
      </w:r>
      <w:r w:rsidR="00B0696A" w:rsidRPr="00B0696A">
        <w:rPr>
          <w:noProof/>
          <w:sz w:val="22"/>
          <w:szCs w:val="22"/>
          <w:lang w:val="en-GB"/>
        </w:rPr>
        <w:t>(Thomas et al., 2021)</w:t>
      </w:r>
      <w:r w:rsidR="00B0696A">
        <w:rPr>
          <w:sz w:val="22"/>
          <w:szCs w:val="22"/>
          <w:lang w:val="en-GB"/>
        </w:rPr>
        <w:fldChar w:fldCharType="end"/>
      </w:r>
      <w:r w:rsidRPr="00F22544">
        <w:rPr>
          <w:sz w:val="22"/>
          <w:szCs w:val="22"/>
          <w:lang w:val="en-GB"/>
        </w:rPr>
        <w:t>.</w:t>
      </w:r>
    </w:p>
    <w:p w14:paraId="42096AD3" w14:textId="096E2DD5" w:rsidR="00AB34CC" w:rsidRPr="00F22544" w:rsidRDefault="00AB34CC" w:rsidP="00BA4A18">
      <w:pPr>
        <w:spacing w:after="120" w:line="360" w:lineRule="auto"/>
        <w:ind w:firstLine="709"/>
        <w:rPr>
          <w:sz w:val="22"/>
          <w:szCs w:val="22"/>
          <w:lang w:val="en-GB"/>
        </w:rPr>
      </w:pPr>
      <w:r w:rsidRPr="00AB34CC">
        <w:rPr>
          <w:sz w:val="22"/>
          <w:szCs w:val="22"/>
          <w:lang w:val="en-GB"/>
        </w:rPr>
        <w:t xml:space="preserve">It is </w:t>
      </w:r>
      <w:r>
        <w:rPr>
          <w:sz w:val="22"/>
          <w:szCs w:val="22"/>
          <w:lang w:val="en-GB"/>
        </w:rPr>
        <w:t>vital</w:t>
      </w:r>
      <w:r w:rsidRPr="00AB34CC">
        <w:rPr>
          <w:sz w:val="22"/>
          <w:szCs w:val="22"/>
          <w:lang w:val="en-GB"/>
        </w:rPr>
        <w:t xml:space="preserve">, therefore, to consider the use of agricultural residues when discussing the use of lignocellulosic material for energy purposes. The valorisation of agricultural and forestry residues is fundamental to increase bioenergy capacity and </w:t>
      </w:r>
      <w:r>
        <w:rPr>
          <w:sz w:val="22"/>
          <w:szCs w:val="22"/>
          <w:lang w:val="en-GB"/>
        </w:rPr>
        <w:t>boost</w:t>
      </w:r>
      <w:r w:rsidRPr="00AB34CC">
        <w:rPr>
          <w:sz w:val="22"/>
          <w:szCs w:val="22"/>
          <w:lang w:val="en-GB"/>
        </w:rPr>
        <w:t xml:space="preserve"> the value added to the feedstock without land area expansion. Therefore, mitigating the matters related to agricultural practices and land use change</w:t>
      </w:r>
      <w:r>
        <w:rPr>
          <w:sz w:val="22"/>
          <w:szCs w:val="22"/>
          <w:lang w:val="en-GB"/>
        </w:rPr>
        <w:t>.</w:t>
      </w:r>
    </w:p>
    <w:p w14:paraId="76365923" w14:textId="3A2EB71A" w:rsidR="00BA4A18" w:rsidRDefault="23508578" w:rsidP="00BA4A18">
      <w:pPr>
        <w:spacing w:after="120" w:line="360" w:lineRule="auto"/>
        <w:ind w:firstLine="709"/>
        <w:rPr>
          <w:sz w:val="22"/>
          <w:szCs w:val="22"/>
          <w:lang w:val="en-GB"/>
        </w:rPr>
      </w:pPr>
      <w:r w:rsidRPr="59587566">
        <w:rPr>
          <w:sz w:val="22"/>
          <w:szCs w:val="22"/>
          <w:lang w:val="en-GB"/>
        </w:rPr>
        <w:t xml:space="preserve"> </w:t>
      </w:r>
      <w:r w:rsidR="00EC6938">
        <w:rPr>
          <w:sz w:val="22"/>
          <w:szCs w:val="22"/>
          <w:lang w:val="en-GB"/>
        </w:rPr>
        <w:t>I</w:t>
      </w:r>
      <w:r w:rsidR="2A28DF93" w:rsidRPr="59587566">
        <w:rPr>
          <w:sz w:val="22"/>
          <w:szCs w:val="22"/>
          <w:lang w:val="en-GB"/>
        </w:rPr>
        <w:t xml:space="preserve">n </w:t>
      </w:r>
      <w:r w:rsidR="00EC6938">
        <w:rPr>
          <w:sz w:val="22"/>
          <w:szCs w:val="22"/>
          <w:lang w:val="en-GB"/>
        </w:rPr>
        <w:t>A</w:t>
      </w:r>
      <w:r w:rsidR="00EC6938" w:rsidRPr="59587566">
        <w:rPr>
          <w:sz w:val="22"/>
          <w:szCs w:val="22"/>
          <w:lang w:val="en-GB"/>
        </w:rPr>
        <w:t>nnex IX of RED II</w:t>
      </w:r>
      <w:r w:rsidR="00EC6938">
        <w:rPr>
          <w:sz w:val="22"/>
          <w:szCs w:val="22"/>
          <w:lang w:val="en-GB"/>
        </w:rPr>
        <w:t>,</w:t>
      </w:r>
      <w:r w:rsidR="00EC6938" w:rsidRPr="59587566">
        <w:rPr>
          <w:sz w:val="22"/>
          <w:szCs w:val="22"/>
          <w:lang w:val="en-GB"/>
        </w:rPr>
        <w:t xml:space="preserve"> </w:t>
      </w:r>
      <w:r w:rsidR="2A28DF93" w:rsidRPr="59587566">
        <w:rPr>
          <w:sz w:val="22"/>
          <w:szCs w:val="22"/>
          <w:lang w:val="en-GB"/>
        </w:rPr>
        <w:t>Part A</w:t>
      </w:r>
      <w:r w:rsidR="1FB9A345" w:rsidRPr="59587566">
        <w:rPr>
          <w:sz w:val="22"/>
          <w:szCs w:val="22"/>
          <w:lang w:val="en-GB"/>
        </w:rPr>
        <w:t>,</w:t>
      </w:r>
      <w:r w:rsidR="00EC6938">
        <w:rPr>
          <w:sz w:val="22"/>
          <w:szCs w:val="22"/>
          <w:lang w:val="en-GB"/>
        </w:rPr>
        <w:t xml:space="preserve"> </w:t>
      </w:r>
      <w:r w:rsidR="071EF526" w:rsidRPr="59587566">
        <w:rPr>
          <w:sz w:val="22"/>
          <w:szCs w:val="22"/>
          <w:lang w:val="en-GB"/>
        </w:rPr>
        <w:t xml:space="preserve"> are </w:t>
      </w:r>
      <w:r w:rsidR="00AB3894">
        <w:rPr>
          <w:sz w:val="22"/>
          <w:szCs w:val="22"/>
          <w:lang w:val="en-GB"/>
        </w:rPr>
        <w:t xml:space="preserve">listed </w:t>
      </w:r>
      <w:r w:rsidR="071EF526" w:rsidRPr="59587566">
        <w:rPr>
          <w:sz w:val="22"/>
          <w:szCs w:val="22"/>
          <w:lang w:val="en-GB"/>
        </w:rPr>
        <w:t>some l</w:t>
      </w:r>
      <w:r w:rsidR="2A28DF93" w:rsidRPr="59587566">
        <w:rPr>
          <w:sz w:val="22"/>
          <w:szCs w:val="22"/>
          <w:lang w:val="en-GB"/>
        </w:rPr>
        <w:t>ignocellulosic feedstock</w:t>
      </w:r>
      <w:r w:rsidR="49E8309A" w:rsidRPr="59587566">
        <w:rPr>
          <w:sz w:val="22"/>
          <w:szCs w:val="22"/>
          <w:lang w:val="en-GB"/>
        </w:rPr>
        <w:t>s</w:t>
      </w:r>
      <w:r w:rsidR="008F6319">
        <w:rPr>
          <w:sz w:val="22"/>
          <w:szCs w:val="22"/>
          <w:lang w:val="en-GB"/>
        </w:rPr>
        <w:t>, available for advanced biofuels production</w:t>
      </w:r>
      <w:r w:rsidR="00AB3894">
        <w:rPr>
          <w:sz w:val="22"/>
          <w:szCs w:val="22"/>
          <w:lang w:val="en-GB"/>
        </w:rPr>
        <w:t>:</w:t>
      </w:r>
      <w:r w:rsidR="2A28DF93" w:rsidRPr="59587566">
        <w:rPr>
          <w:sz w:val="22"/>
          <w:szCs w:val="22"/>
          <w:lang w:val="en-GB"/>
        </w:rPr>
        <w:t xml:space="preserve"> </w:t>
      </w:r>
      <w:r w:rsidR="0EEF2DCD" w:rsidRPr="59587566">
        <w:rPr>
          <w:sz w:val="22"/>
          <w:szCs w:val="22"/>
          <w:lang w:val="en-GB"/>
        </w:rPr>
        <w:t>such as</w:t>
      </w:r>
      <w:r w:rsidR="2A28DF93" w:rsidRPr="59587566">
        <w:rPr>
          <w:sz w:val="22"/>
          <w:szCs w:val="22"/>
          <w:lang w:val="en-GB"/>
        </w:rPr>
        <w:t xml:space="preserve"> straw, bagasse, husk, </w:t>
      </w:r>
      <w:r w:rsidR="05FA1695" w:rsidRPr="59587566">
        <w:rPr>
          <w:sz w:val="22"/>
          <w:szCs w:val="22"/>
          <w:lang w:val="en-GB"/>
        </w:rPr>
        <w:t>nutshells, cobs</w:t>
      </w:r>
      <w:r w:rsidR="2A28DF93" w:rsidRPr="59587566">
        <w:rPr>
          <w:sz w:val="22"/>
          <w:szCs w:val="22"/>
          <w:lang w:val="en-GB"/>
        </w:rPr>
        <w:t xml:space="preserve">, </w:t>
      </w:r>
      <w:r w:rsidR="27474826" w:rsidRPr="59587566">
        <w:rPr>
          <w:sz w:val="22"/>
          <w:szCs w:val="22"/>
          <w:lang w:val="en-GB"/>
        </w:rPr>
        <w:t xml:space="preserve">forestry </w:t>
      </w:r>
      <w:r w:rsidR="2A28DF93" w:rsidRPr="59587566">
        <w:rPr>
          <w:sz w:val="22"/>
          <w:szCs w:val="22"/>
          <w:lang w:val="en-GB"/>
        </w:rPr>
        <w:t>residues</w:t>
      </w:r>
      <w:r w:rsidR="6E085DF4" w:rsidRPr="59587566">
        <w:rPr>
          <w:sz w:val="22"/>
          <w:szCs w:val="22"/>
          <w:lang w:val="en-GB"/>
        </w:rPr>
        <w:t xml:space="preserve"> and</w:t>
      </w:r>
      <w:r w:rsidR="2A28DF93" w:rsidRPr="59587566">
        <w:rPr>
          <w:sz w:val="22"/>
          <w:szCs w:val="22"/>
          <w:lang w:val="en-GB"/>
        </w:rPr>
        <w:t xml:space="preserve"> non-food cellulosic material</w:t>
      </w:r>
      <w:r w:rsidR="008F6319">
        <w:rPr>
          <w:sz w:val="22"/>
          <w:szCs w:val="22"/>
          <w:lang w:val="en-GB"/>
        </w:rPr>
        <w:t xml:space="preserve">. Those outside of this list </w:t>
      </w:r>
      <w:r w:rsidR="00577F13">
        <w:rPr>
          <w:sz w:val="22"/>
          <w:szCs w:val="22"/>
          <w:lang w:val="en-GB"/>
        </w:rPr>
        <w:t xml:space="preserve">are not considered for advanced </w:t>
      </w:r>
      <w:r w:rsidR="00CF6B10">
        <w:rPr>
          <w:sz w:val="22"/>
          <w:szCs w:val="22"/>
          <w:lang w:val="en-GB"/>
        </w:rPr>
        <w:t xml:space="preserve">fuel production; therefore, the </w:t>
      </w:r>
      <w:r w:rsidR="00C67C39">
        <w:rPr>
          <w:sz w:val="22"/>
          <w:szCs w:val="22"/>
          <w:lang w:val="en-GB"/>
        </w:rPr>
        <w:t xml:space="preserve">emissions </w:t>
      </w:r>
      <w:r w:rsidR="00FE37AF">
        <w:rPr>
          <w:sz w:val="22"/>
          <w:szCs w:val="22"/>
          <w:lang w:val="en-GB"/>
        </w:rPr>
        <w:t>attributed to</w:t>
      </w:r>
      <w:r w:rsidR="00C67C39">
        <w:rPr>
          <w:sz w:val="22"/>
          <w:szCs w:val="22"/>
          <w:lang w:val="en-GB"/>
        </w:rPr>
        <w:t xml:space="preserve"> production </w:t>
      </w:r>
      <w:r w:rsidR="00FE37AF">
        <w:rPr>
          <w:sz w:val="22"/>
          <w:szCs w:val="22"/>
          <w:lang w:val="en-GB"/>
        </w:rPr>
        <w:t>phase are</w:t>
      </w:r>
      <w:r w:rsidR="00C67C39">
        <w:rPr>
          <w:sz w:val="22"/>
          <w:szCs w:val="22"/>
          <w:lang w:val="en-GB"/>
        </w:rPr>
        <w:t xml:space="preserve"> accounted</w:t>
      </w:r>
      <w:r w:rsidR="17A10EC5" w:rsidRPr="59587566">
        <w:rPr>
          <w:sz w:val="22"/>
          <w:szCs w:val="22"/>
          <w:lang w:val="en-GB"/>
        </w:rPr>
        <w:t xml:space="preserve"> </w:t>
      </w:r>
      <w:r w:rsidR="008D1746" w:rsidRPr="59587566">
        <w:rPr>
          <w:sz w:val="22"/>
          <w:szCs w:val="22"/>
          <w:lang w:val="en-GB"/>
        </w:rPr>
        <w:fldChar w:fldCharType="begin" w:fldLock="1"/>
      </w:r>
      <w:r w:rsidR="008D1746" w:rsidRPr="59587566">
        <w:rPr>
          <w:sz w:val="22"/>
          <w:szCs w:val="22"/>
          <w:lang w:val="en-GB"/>
        </w:rPr>
        <w:instrText>ADDIN CSL_CITATION {"citationItems":[{"id":"ITEM-1","itemData":{"author":[{"dropping-particle":"","family":"European Parliament","given":"","non-dropping-particle":"","parse-names":false,"suffix":""}],"container-title":"Official Journal of the European Union","id":"ITEM-1","issue":"December","issued":{"date-parts":[["2018"]]},"title":"DIRECTIVE (EU) 2018/2001","type":"report","volume":"2018"},"uris":["http://www.mendeley.com/documents/?uuid=5e84ff70-a0d5-4039-ae00-26f830b3dfd5"]}],"mendeley":{"formattedCitation":"(European Parliament, 2018)","plainTextFormattedCitation":"(European Parliament, 2018)","previouslyFormattedCitation":"(European Parliament, 2018)"},"properties":{"noteIndex":0},"schema":"https://github.com/citation-style-language/schema/raw/master/csl-citation.json"}</w:instrText>
      </w:r>
      <w:r w:rsidR="008D1746" w:rsidRPr="59587566">
        <w:rPr>
          <w:sz w:val="22"/>
          <w:szCs w:val="22"/>
          <w:lang w:val="en-GB"/>
        </w:rPr>
        <w:fldChar w:fldCharType="separate"/>
      </w:r>
      <w:r w:rsidR="2A28DF93" w:rsidRPr="59587566">
        <w:rPr>
          <w:noProof/>
          <w:sz w:val="22"/>
          <w:szCs w:val="22"/>
          <w:lang w:val="en-GB"/>
        </w:rPr>
        <w:t>(European Parliament, 2018)</w:t>
      </w:r>
      <w:r w:rsidR="008D1746" w:rsidRPr="59587566">
        <w:rPr>
          <w:sz w:val="22"/>
          <w:szCs w:val="22"/>
          <w:lang w:val="en-GB"/>
        </w:rPr>
        <w:fldChar w:fldCharType="end"/>
      </w:r>
      <w:r w:rsidR="2A28DF93" w:rsidRPr="59587566">
        <w:rPr>
          <w:sz w:val="22"/>
          <w:szCs w:val="22"/>
          <w:lang w:val="en-GB"/>
        </w:rPr>
        <w:t>.</w:t>
      </w:r>
      <w:r w:rsidR="003C20A0">
        <w:rPr>
          <w:sz w:val="22"/>
          <w:szCs w:val="22"/>
          <w:lang w:val="en-GB"/>
        </w:rPr>
        <w:t xml:space="preserve"> It is valid to mention that annex IX is currently under revision and discussion. The addition of feedstocks is expected but not certain. Furthermore, it is likely that </w:t>
      </w:r>
      <w:r w:rsidR="00037058">
        <w:rPr>
          <w:sz w:val="22"/>
          <w:szCs w:val="22"/>
          <w:lang w:val="en-GB"/>
        </w:rPr>
        <w:t xml:space="preserve">additional </w:t>
      </w:r>
      <w:r w:rsidR="003C20A0">
        <w:rPr>
          <w:sz w:val="22"/>
          <w:szCs w:val="22"/>
          <w:lang w:val="en-GB"/>
        </w:rPr>
        <w:t>criteria</w:t>
      </w:r>
      <w:r w:rsidR="00037058">
        <w:rPr>
          <w:sz w:val="22"/>
          <w:szCs w:val="22"/>
          <w:lang w:val="en-GB"/>
        </w:rPr>
        <w:t xml:space="preserve"> might be</w:t>
      </w:r>
      <w:r w:rsidR="003C20A0">
        <w:rPr>
          <w:sz w:val="22"/>
          <w:szCs w:val="22"/>
          <w:lang w:val="en-GB"/>
        </w:rPr>
        <w:t xml:space="preserve"> used while defining </w:t>
      </w:r>
      <w:r w:rsidR="00037058">
        <w:rPr>
          <w:sz w:val="22"/>
          <w:szCs w:val="22"/>
          <w:lang w:val="en-GB"/>
        </w:rPr>
        <w:t xml:space="preserve">the eligibility of </w:t>
      </w:r>
      <w:r w:rsidR="003C20A0">
        <w:rPr>
          <w:sz w:val="22"/>
          <w:szCs w:val="22"/>
          <w:lang w:val="en-GB"/>
        </w:rPr>
        <w:t>feedstock</w:t>
      </w:r>
      <w:r w:rsidR="00037058">
        <w:rPr>
          <w:sz w:val="22"/>
          <w:szCs w:val="22"/>
          <w:lang w:val="en-GB"/>
        </w:rPr>
        <w:t>s</w:t>
      </w:r>
      <w:r w:rsidR="003C20A0">
        <w:rPr>
          <w:sz w:val="22"/>
          <w:szCs w:val="22"/>
          <w:lang w:val="en-GB"/>
        </w:rPr>
        <w:t xml:space="preserve"> for advanced fuel production</w:t>
      </w:r>
      <w:r w:rsidR="00037058">
        <w:rPr>
          <w:sz w:val="22"/>
          <w:szCs w:val="22"/>
          <w:lang w:val="en-GB"/>
        </w:rPr>
        <w:t>.</w:t>
      </w:r>
      <w:r w:rsidR="003C20A0">
        <w:rPr>
          <w:sz w:val="22"/>
          <w:szCs w:val="22"/>
          <w:lang w:val="en-GB"/>
        </w:rPr>
        <w:t xml:space="preserve">     </w:t>
      </w:r>
      <w:r w:rsidR="2A28DF93" w:rsidRPr="59587566">
        <w:rPr>
          <w:sz w:val="22"/>
          <w:szCs w:val="22"/>
          <w:lang w:val="en-GB"/>
        </w:rPr>
        <w:t xml:space="preserve"> </w:t>
      </w:r>
    </w:p>
    <w:p w14:paraId="7A8F87D8" w14:textId="033DB935" w:rsidR="006C24DC" w:rsidRDefault="00352F47" w:rsidP="00D411B8">
      <w:pPr>
        <w:spacing w:after="120" w:line="360" w:lineRule="auto"/>
        <w:ind w:firstLine="709"/>
        <w:rPr>
          <w:rFonts w:ascii="Segoe UI" w:hAnsi="Segoe UI" w:cs="Segoe UI"/>
          <w:color w:val="242424"/>
          <w:szCs w:val="21"/>
          <w:shd w:val="clear" w:color="auto" w:fill="FFFFFF"/>
        </w:rPr>
      </w:pPr>
      <w:r>
        <w:rPr>
          <w:rFonts w:ascii="Segoe UI" w:hAnsi="Segoe UI" w:cs="Segoe UI"/>
          <w:color w:val="242424"/>
          <w:szCs w:val="21"/>
          <w:shd w:val="clear" w:color="auto" w:fill="FFFFFF"/>
        </w:rPr>
        <w:lastRenderedPageBreak/>
        <w:t>It is expected that Member States will transpose EU directives into their national framework, in order to account</w:t>
      </w:r>
      <w:r w:rsidR="00F809CB">
        <w:rPr>
          <w:rFonts w:ascii="Segoe UI" w:hAnsi="Segoe UI" w:cs="Segoe UI"/>
          <w:color w:val="242424"/>
          <w:szCs w:val="21"/>
          <w:shd w:val="clear" w:color="auto" w:fill="FFFFFF"/>
        </w:rPr>
        <w:t xml:space="preserve"> for the</w:t>
      </w:r>
      <w:r>
        <w:rPr>
          <w:rFonts w:ascii="Segoe UI" w:hAnsi="Segoe UI" w:cs="Segoe UI"/>
          <w:color w:val="242424"/>
          <w:szCs w:val="21"/>
          <w:shd w:val="clear" w:color="auto" w:fill="FFFFFF"/>
        </w:rPr>
        <w:t xml:space="preserve"> relevant </w:t>
      </w:r>
      <w:r w:rsidR="00962E46">
        <w:rPr>
          <w:rFonts w:ascii="Segoe UI" w:hAnsi="Segoe UI" w:cs="Segoe UI"/>
          <w:color w:val="242424"/>
          <w:szCs w:val="21"/>
          <w:shd w:val="clear" w:color="auto" w:fill="FFFFFF"/>
        </w:rPr>
        <w:t xml:space="preserve">national </w:t>
      </w:r>
      <w:r>
        <w:rPr>
          <w:rFonts w:ascii="Segoe UI" w:hAnsi="Segoe UI" w:cs="Segoe UI"/>
          <w:color w:val="242424"/>
          <w:szCs w:val="21"/>
          <w:shd w:val="clear" w:color="auto" w:fill="FFFFFF"/>
        </w:rPr>
        <w:t xml:space="preserve">particularities. In the </w:t>
      </w:r>
      <w:r w:rsidR="00F809CB">
        <w:rPr>
          <w:rFonts w:ascii="Segoe UI" w:hAnsi="Segoe UI" w:cs="Segoe UI"/>
          <w:color w:val="242424"/>
          <w:szCs w:val="21"/>
          <w:shd w:val="clear" w:color="auto" w:fill="FFFFFF"/>
        </w:rPr>
        <w:t xml:space="preserve">incorporation </w:t>
      </w:r>
      <w:r>
        <w:rPr>
          <w:rFonts w:ascii="Segoe UI" w:hAnsi="Segoe UI" w:cs="Segoe UI"/>
          <w:color w:val="242424"/>
          <w:szCs w:val="21"/>
          <w:shd w:val="clear" w:color="auto" w:fill="FFFFFF"/>
        </w:rPr>
        <w:t xml:space="preserve">process </w:t>
      </w:r>
      <w:r w:rsidR="006C24DC" w:rsidRPr="006C24DC">
        <w:rPr>
          <w:rFonts w:ascii="Segoe UI" w:hAnsi="Segoe UI" w:cs="Segoe UI"/>
          <w:color w:val="242424"/>
          <w:szCs w:val="21"/>
          <w:shd w:val="clear" w:color="auto" w:fill="FFFFFF"/>
        </w:rPr>
        <w:t xml:space="preserve">differences might </w:t>
      </w:r>
      <w:r w:rsidR="006C24DC">
        <w:rPr>
          <w:rFonts w:ascii="Segoe UI" w:hAnsi="Segoe UI" w:cs="Segoe UI"/>
          <w:color w:val="242424"/>
          <w:szCs w:val="21"/>
          <w:shd w:val="clear" w:color="auto" w:fill="FFFFFF"/>
        </w:rPr>
        <w:t>take place between</w:t>
      </w:r>
      <w:r w:rsidR="006C24DC" w:rsidRPr="006C24DC">
        <w:rPr>
          <w:rFonts w:ascii="Segoe UI" w:hAnsi="Segoe UI" w:cs="Segoe UI"/>
          <w:color w:val="242424"/>
          <w:szCs w:val="21"/>
          <w:shd w:val="clear" w:color="auto" w:fill="FFFFFF"/>
        </w:rPr>
        <w:t xml:space="preserve"> Me</w:t>
      </w:r>
      <w:r w:rsidR="006C24DC">
        <w:rPr>
          <w:rFonts w:ascii="Segoe UI" w:hAnsi="Segoe UI" w:cs="Segoe UI"/>
          <w:color w:val="242424"/>
          <w:szCs w:val="21"/>
          <w:shd w:val="clear" w:color="auto" w:fill="FFFFFF"/>
        </w:rPr>
        <w:t>m</w:t>
      </w:r>
      <w:r w:rsidR="006C24DC" w:rsidRPr="006C24DC">
        <w:rPr>
          <w:rFonts w:ascii="Segoe UI" w:hAnsi="Segoe UI" w:cs="Segoe UI"/>
          <w:color w:val="242424"/>
          <w:szCs w:val="21"/>
          <w:shd w:val="clear" w:color="auto" w:fill="FFFFFF"/>
        </w:rPr>
        <w:t>ber states, for instance</w:t>
      </w:r>
      <w:r w:rsidR="006C24DC">
        <w:rPr>
          <w:rFonts w:ascii="Segoe UI" w:hAnsi="Segoe UI" w:cs="Segoe UI"/>
          <w:color w:val="242424"/>
          <w:szCs w:val="21"/>
          <w:shd w:val="clear" w:color="auto" w:fill="FFFFFF"/>
        </w:rPr>
        <w:t xml:space="preserve"> </w:t>
      </w:r>
      <w:r w:rsidR="006C24DC" w:rsidRPr="006C24DC">
        <w:rPr>
          <w:rFonts w:ascii="Segoe UI" w:hAnsi="Segoe UI" w:cs="Segoe UI"/>
          <w:color w:val="242424"/>
          <w:szCs w:val="21"/>
          <w:shd w:val="clear" w:color="auto" w:fill="FFFFFF"/>
        </w:rPr>
        <w:t>defining the oblige groups.</w:t>
      </w:r>
    </w:p>
    <w:p w14:paraId="5296262D" w14:textId="6FABA7B9" w:rsidR="0027596C" w:rsidRDefault="2A28DF93" w:rsidP="5937A937">
      <w:pPr>
        <w:spacing w:after="120" w:line="360" w:lineRule="auto"/>
        <w:ind w:firstLine="709"/>
        <w:rPr>
          <w:sz w:val="22"/>
          <w:szCs w:val="22"/>
          <w:lang w:val="en-GB"/>
        </w:rPr>
      </w:pPr>
      <w:r w:rsidRPr="59587566">
        <w:rPr>
          <w:sz w:val="22"/>
          <w:szCs w:val="22"/>
          <w:lang w:val="en-GB"/>
        </w:rPr>
        <w:t>RED sets important criteria that</w:t>
      </w:r>
      <w:r w:rsidR="007C44F9">
        <w:rPr>
          <w:sz w:val="22"/>
          <w:szCs w:val="22"/>
          <w:lang w:val="en-GB"/>
        </w:rPr>
        <w:t xml:space="preserve"> the</w:t>
      </w:r>
      <w:r w:rsidRPr="59587566">
        <w:rPr>
          <w:sz w:val="22"/>
          <w:szCs w:val="22"/>
          <w:lang w:val="en-GB"/>
        </w:rPr>
        <w:t xml:space="preserve"> Bio-HFO should comply </w:t>
      </w:r>
      <w:r w:rsidR="50D739F1" w:rsidRPr="59587566">
        <w:rPr>
          <w:sz w:val="22"/>
          <w:szCs w:val="22"/>
          <w:lang w:val="en-GB"/>
        </w:rPr>
        <w:t>with</w:t>
      </w:r>
      <w:r w:rsidR="008B66AF">
        <w:rPr>
          <w:sz w:val="22"/>
          <w:szCs w:val="22"/>
          <w:lang w:val="en-GB"/>
        </w:rPr>
        <w:t xml:space="preserve"> in order to be considered</w:t>
      </w:r>
      <w:r w:rsidR="006B5B33">
        <w:rPr>
          <w:sz w:val="22"/>
          <w:szCs w:val="22"/>
          <w:lang w:val="en-GB"/>
        </w:rPr>
        <w:t xml:space="preserve"> an</w:t>
      </w:r>
      <w:r w:rsidR="008B66AF">
        <w:rPr>
          <w:sz w:val="22"/>
          <w:szCs w:val="22"/>
          <w:lang w:val="en-GB"/>
        </w:rPr>
        <w:t xml:space="preserve"> advanced biofuel</w:t>
      </w:r>
      <w:r w:rsidRPr="59587566">
        <w:rPr>
          <w:sz w:val="22"/>
          <w:szCs w:val="22"/>
          <w:lang w:val="en-GB"/>
        </w:rPr>
        <w:t xml:space="preserve">. The recognition by the EU and a certification scheme </w:t>
      </w:r>
      <w:r w:rsidR="24CD2B67" w:rsidRPr="59587566">
        <w:rPr>
          <w:sz w:val="22"/>
          <w:szCs w:val="22"/>
          <w:lang w:val="en-GB"/>
        </w:rPr>
        <w:t>are,</w:t>
      </w:r>
      <w:r w:rsidRPr="59587566">
        <w:rPr>
          <w:sz w:val="22"/>
          <w:szCs w:val="22"/>
          <w:lang w:val="en-GB"/>
        </w:rPr>
        <w:t xml:space="preserve"> </w:t>
      </w:r>
      <w:r w:rsidR="4156F99F" w:rsidRPr="59587566">
        <w:rPr>
          <w:sz w:val="22"/>
          <w:szCs w:val="22"/>
          <w:lang w:val="en-GB"/>
        </w:rPr>
        <w:t xml:space="preserve">therefore, </w:t>
      </w:r>
      <w:r w:rsidRPr="59587566">
        <w:rPr>
          <w:sz w:val="22"/>
          <w:szCs w:val="22"/>
          <w:lang w:val="en-GB"/>
        </w:rPr>
        <w:t xml:space="preserve">necessary in order to </w:t>
      </w:r>
      <w:r w:rsidR="45D84CC9" w:rsidRPr="59587566">
        <w:rPr>
          <w:sz w:val="22"/>
          <w:szCs w:val="22"/>
          <w:lang w:val="en-GB"/>
        </w:rPr>
        <w:t>benefit</w:t>
      </w:r>
      <w:r w:rsidR="4805061D" w:rsidRPr="59587566">
        <w:rPr>
          <w:sz w:val="22"/>
          <w:szCs w:val="22"/>
          <w:lang w:val="en-GB"/>
        </w:rPr>
        <w:t xml:space="preserve"> </w:t>
      </w:r>
      <w:r w:rsidR="45D84CC9" w:rsidRPr="59587566">
        <w:rPr>
          <w:sz w:val="22"/>
          <w:szCs w:val="22"/>
          <w:lang w:val="en-GB"/>
        </w:rPr>
        <w:t>from market incentives related to sustainability performance.</w:t>
      </w:r>
    </w:p>
    <w:p w14:paraId="41969C85" w14:textId="77777777" w:rsidR="005D6854" w:rsidRPr="002E0EBC" w:rsidRDefault="005D6854" w:rsidP="002F7E75">
      <w:pPr>
        <w:pStyle w:val="Heading4"/>
      </w:pPr>
      <w:proofErr w:type="spellStart"/>
      <w:r w:rsidRPr="002E0EBC">
        <w:t>Hernieuwbare</w:t>
      </w:r>
      <w:proofErr w:type="spellEnd"/>
      <w:r w:rsidRPr="002E0EBC">
        <w:t xml:space="preserve"> </w:t>
      </w:r>
      <w:proofErr w:type="spellStart"/>
      <w:r w:rsidRPr="002E0EBC">
        <w:t>brandstofeenheden</w:t>
      </w:r>
      <w:proofErr w:type="spellEnd"/>
      <w:r w:rsidRPr="002E0EBC">
        <w:t xml:space="preserve"> (HBEs)</w:t>
      </w:r>
    </w:p>
    <w:p w14:paraId="49FF6F23" w14:textId="77777777" w:rsidR="005D6854" w:rsidRDefault="005D6854" w:rsidP="005D6854">
      <w:pPr>
        <w:rPr>
          <w:lang w:val="en-GB"/>
        </w:rPr>
      </w:pPr>
    </w:p>
    <w:p w14:paraId="67575CDE" w14:textId="77777777" w:rsidR="005D6854" w:rsidRPr="0040379B" w:rsidRDefault="005D6854" w:rsidP="005D6854">
      <w:pPr>
        <w:spacing w:after="120" w:line="360" w:lineRule="auto"/>
        <w:ind w:firstLine="296"/>
        <w:rPr>
          <w:rFonts w:asciiTheme="majorHAnsi" w:hAnsiTheme="majorHAnsi" w:cstheme="majorBidi"/>
          <w:color w:val="auto"/>
          <w:sz w:val="22"/>
          <w:szCs w:val="22"/>
        </w:rPr>
      </w:pPr>
      <w:r>
        <w:rPr>
          <w:rFonts w:asciiTheme="majorHAnsi" w:hAnsiTheme="majorHAnsi" w:cstheme="majorBidi"/>
          <w:color w:val="auto"/>
          <w:sz w:val="22"/>
          <w:szCs w:val="22"/>
          <w:lang w:val="en-GB"/>
        </w:rPr>
        <w:t xml:space="preserve">As directive, the RED had to be transposed into national law. </w:t>
      </w:r>
      <w:r w:rsidRPr="5937A937">
        <w:rPr>
          <w:rFonts w:asciiTheme="majorHAnsi" w:hAnsiTheme="majorHAnsi" w:cstheme="majorBidi"/>
          <w:color w:val="auto"/>
          <w:sz w:val="22"/>
          <w:szCs w:val="22"/>
          <w:lang w:val="en-GB"/>
        </w:rPr>
        <w:t xml:space="preserve">In the Netherlands, a system of renewable energy units (HBEs: </w:t>
      </w:r>
      <w:proofErr w:type="spellStart"/>
      <w:r w:rsidRPr="5937A937">
        <w:rPr>
          <w:rFonts w:asciiTheme="majorHAnsi" w:hAnsiTheme="majorHAnsi" w:cstheme="majorBidi"/>
          <w:color w:val="auto"/>
          <w:sz w:val="22"/>
          <w:szCs w:val="22"/>
          <w:lang w:val="en-GB"/>
        </w:rPr>
        <w:t>hernieuwbare</w:t>
      </w:r>
      <w:proofErr w:type="spellEnd"/>
      <w:r w:rsidRPr="5937A937">
        <w:rPr>
          <w:rFonts w:asciiTheme="majorHAnsi" w:hAnsiTheme="majorHAnsi" w:cstheme="majorBidi"/>
          <w:color w:val="auto"/>
          <w:sz w:val="22"/>
          <w:szCs w:val="22"/>
          <w:lang w:val="en-GB"/>
        </w:rPr>
        <w:t xml:space="preserve"> </w:t>
      </w:r>
      <w:proofErr w:type="spellStart"/>
      <w:r w:rsidRPr="5937A937">
        <w:rPr>
          <w:rFonts w:asciiTheme="majorHAnsi" w:hAnsiTheme="majorHAnsi" w:cstheme="majorBidi"/>
          <w:color w:val="auto"/>
          <w:sz w:val="22"/>
          <w:szCs w:val="22"/>
          <w:lang w:val="en-GB"/>
        </w:rPr>
        <w:t>brandstofeenheden</w:t>
      </w:r>
      <w:proofErr w:type="spellEnd"/>
      <w:r w:rsidRPr="5937A937">
        <w:rPr>
          <w:rFonts w:asciiTheme="majorHAnsi" w:hAnsiTheme="majorHAnsi" w:cstheme="majorBidi"/>
          <w:color w:val="auto"/>
          <w:sz w:val="22"/>
          <w:szCs w:val="22"/>
          <w:lang w:val="en-GB"/>
        </w:rPr>
        <w:t xml:space="preserve">) </w:t>
      </w:r>
      <w:r>
        <w:rPr>
          <w:rFonts w:asciiTheme="majorHAnsi" w:hAnsiTheme="majorHAnsi" w:cstheme="majorBidi"/>
          <w:color w:val="auto"/>
          <w:sz w:val="22"/>
          <w:szCs w:val="22"/>
          <w:lang w:val="en-GB"/>
        </w:rPr>
        <w:t>was established</w:t>
      </w:r>
      <w:r w:rsidRPr="5937A937">
        <w:rPr>
          <w:rFonts w:asciiTheme="majorHAnsi" w:hAnsiTheme="majorHAnsi" w:cstheme="majorBidi"/>
          <w:color w:val="auto"/>
          <w:sz w:val="22"/>
          <w:szCs w:val="22"/>
          <w:lang w:val="en-GB"/>
        </w:rPr>
        <w:t xml:space="preserve"> to ensure compliance with the annual obligation </w:t>
      </w:r>
      <w:r>
        <w:rPr>
          <w:rFonts w:asciiTheme="majorHAnsi" w:hAnsiTheme="majorHAnsi" w:cstheme="majorBidi"/>
          <w:color w:val="auto"/>
          <w:sz w:val="22"/>
          <w:szCs w:val="22"/>
          <w:lang w:val="en-GB"/>
        </w:rPr>
        <w:t xml:space="preserve">renewable energy obligation and </w:t>
      </w:r>
      <w:r w:rsidRPr="5937A937">
        <w:rPr>
          <w:rFonts w:asciiTheme="majorHAnsi" w:hAnsiTheme="majorHAnsi" w:cstheme="majorBidi"/>
          <w:color w:val="auto"/>
          <w:sz w:val="22"/>
          <w:szCs w:val="22"/>
          <w:lang w:val="en-GB"/>
        </w:rPr>
        <w:t>GHG emissions reductions in transportation. One HBE represents 1 gigajoule (GJ) of renewable energy that is delivered to the Dutch transport market. HBEs are created by claiming deliveries of renewable energy. Under the Energy for Transport compliance system, the Dutch government uses a trading system where participants can cooperatively deliver their mandatory share of renewable energy in the most cost-effective way.  There are different types of HBEs depending of the raw material used for fuel production. The mandatory use of advanced HBE over conventional and the preference of high value applications (over heat), are beneficial for the production of advanced biofuels</w:t>
      </w:r>
      <w:r w:rsidRPr="003471DC">
        <w:rPr>
          <w:rFonts w:asciiTheme="majorHAnsi" w:hAnsiTheme="majorHAnsi" w:cstheme="majorBidi"/>
          <w:color w:val="auto"/>
          <w:sz w:val="22"/>
          <w:szCs w:val="22"/>
        </w:rPr>
        <w:t xml:space="preserve"> </w:t>
      </w:r>
      <w:r w:rsidRPr="0040379B">
        <w:rPr>
          <w:rFonts w:asciiTheme="majorHAnsi" w:hAnsiTheme="majorHAnsi" w:cstheme="majorBidi"/>
          <w:color w:val="auto"/>
          <w:sz w:val="22"/>
          <w:szCs w:val="22"/>
        </w:rPr>
        <w:t>(</w:t>
      </w:r>
      <w:proofErr w:type="spellStart"/>
      <w:r w:rsidRPr="0040379B">
        <w:rPr>
          <w:rFonts w:asciiTheme="majorHAnsi" w:hAnsiTheme="majorHAnsi" w:cstheme="majorBidi"/>
          <w:color w:val="auto"/>
          <w:sz w:val="22"/>
          <w:szCs w:val="22"/>
        </w:rPr>
        <w:t>Rijksdienst</w:t>
      </w:r>
      <w:proofErr w:type="spellEnd"/>
      <w:r w:rsidRPr="0040379B">
        <w:rPr>
          <w:rFonts w:asciiTheme="majorHAnsi" w:hAnsiTheme="majorHAnsi" w:cstheme="majorBidi"/>
          <w:color w:val="auto"/>
          <w:sz w:val="22"/>
          <w:szCs w:val="22"/>
        </w:rPr>
        <w:t xml:space="preserve"> </w:t>
      </w:r>
      <w:proofErr w:type="spellStart"/>
      <w:r w:rsidRPr="0040379B">
        <w:rPr>
          <w:rFonts w:asciiTheme="majorHAnsi" w:hAnsiTheme="majorHAnsi" w:cstheme="majorBidi"/>
          <w:color w:val="auto"/>
          <w:sz w:val="22"/>
          <w:szCs w:val="22"/>
        </w:rPr>
        <w:t>voor</w:t>
      </w:r>
      <w:proofErr w:type="spellEnd"/>
      <w:r w:rsidRPr="0040379B">
        <w:rPr>
          <w:rFonts w:asciiTheme="majorHAnsi" w:hAnsiTheme="majorHAnsi" w:cstheme="majorBidi"/>
          <w:color w:val="auto"/>
          <w:sz w:val="22"/>
          <w:szCs w:val="22"/>
        </w:rPr>
        <w:t xml:space="preserve"> </w:t>
      </w:r>
      <w:proofErr w:type="spellStart"/>
      <w:r w:rsidRPr="0040379B">
        <w:rPr>
          <w:rFonts w:asciiTheme="majorHAnsi" w:hAnsiTheme="majorHAnsi" w:cstheme="majorBidi"/>
          <w:color w:val="auto"/>
          <w:sz w:val="22"/>
          <w:szCs w:val="22"/>
        </w:rPr>
        <w:t>Ondernemend</w:t>
      </w:r>
      <w:proofErr w:type="spellEnd"/>
      <w:r w:rsidRPr="0040379B">
        <w:rPr>
          <w:rFonts w:asciiTheme="majorHAnsi" w:hAnsiTheme="majorHAnsi" w:cstheme="majorBidi"/>
          <w:color w:val="auto"/>
          <w:sz w:val="22"/>
          <w:szCs w:val="22"/>
        </w:rPr>
        <w:t xml:space="preserve"> Nederland, n.d.).</w:t>
      </w:r>
    </w:p>
    <w:p w14:paraId="1D92919C" w14:textId="69FD03DD" w:rsidR="005D6854" w:rsidRDefault="005D6854" w:rsidP="005D6854">
      <w:pPr>
        <w:spacing w:after="120" w:line="360" w:lineRule="auto"/>
        <w:ind w:firstLine="296"/>
        <w:rPr>
          <w:rFonts w:asciiTheme="majorHAnsi" w:hAnsiTheme="majorHAnsi" w:cstheme="majorBidi"/>
          <w:color w:val="auto"/>
          <w:sz w:val="22"/>
          <w:szCs w:val="22"/>
          <w:lang w:val="en-GB"/>
        </w:rPr>
      </w:pPr>
      <w:r>
        <w:rPr>
          <w:rFonts w:asciiTheme="majorHAnsi" w:hAnsiTheme="majorHAnsi" w:cstheme="majorBidi"/>
          <w:color w:val="auto"/>
          <w:sz w:val="22"/>
          <w:szCs w:val="22"/>
          <w:lang w:val="en-GB"/>
        </w:rPr>
        <w:t xml:space="preserve">Even though shipping was not subject to the GHG emissions reduction obligation, the shipping sector was included into the system via creation of voluntary HBEs (so-called “opt-in”). The intention behind was to foster the development of sustainable solutions in the shipping sector. In 2020, around 19 million HBEs were created in the shipping sector. Since </w:t>
      </w:r>
      <w:r w:rsidR="007D4A4F">
        <w:rPr>
          <w:rFonts w:asciiTheme="majorHAnsi" w:hAnsiTheme="majorHAnsi" w:cstheme="majorBidi"/>
          <w:color w:val="auto"/>
          <w:sz w:val="22"/>
          <w:szCs w:val="22"/>
          <w:lang w:val="en-GB"/>
        </w:rPr>
        <w:t xml:space="preserve">the start of </w:t>
      </w:r>
      <w:r>
        <w:rPr>
          <w:rFonts w:asciiTheme="majorHAnsi" w:hAnsiTheme="majorHAnsi" w:cstheme="majorBidi"/>
          <w:color w:val="auto"/>
          <w:sz w:val="22"/>
          <w:szCs w:val="22"/>
          <w:lang w:val="en-GB"/>
        </w:rPr>
        <w:t xml:space="preserve">2021, only advanced biofuels (produced from feedstocks of Annex IX Part A RED II ) </w:t>
      </w:r>
      <w:r w:rsidR="007D4A4F">
        <w:rPr>
          <w:rFonts w:asciiTheme="majorHAnsi" w:hAnsiTheme="majorHAnsi" w:cstheme="majorBidi"/>
          <w:color w:val="auto"/>
          <w:sz w:val="22"/>
          <w:szCs w:val="22"/>
          <w:lang w:val="en-GB"/>
        </w:rPr>
        <w:t xml:space="preserve">are eligible to </w:t>
      </w:r>
      <w:r>
        <w:rPr>
          <w:rFonts w:asciiTheme="majorHAnsi" w:hAnsiTheme="majorHAnsi" w:cstheme="majorBidi"/>
          <w:color w:val="auto"/>
          <w:sz w:val="22"/>
          <w:szCs w:val="22"/>
          <w:lang w:val="en-GB"/>
        </w:rPr>
        <w:t xml:space="preserve"> create HBEs. </w:t>
      </w:r>
      <w:r w:rsidR="007D4A4F">
        <w:rPr>
          <w:rFonts w:asciiTheme="majorHAnsi" w:hAnsiTheme="majorHAnsi" w:cstheme="majorBidi"/>
          <w:color w:val="auto"/>
          <w:sz w:val="22"/>
          <w:szCs w:val="22"/>
          <w:lang w:val="en-GB"/>
        </w:rPr>
        <w:t xml:space="preserve">In the </w:t>
      </w:r>
      <w:r w:rsidR="00894099">
        <w:rPr>
          <w:rFonts w:asciiTheme="majorHAnsi" w:hAnsiTheme="majorHAnsi" w:cstheme="majorBidi"/>
          <w:color w:val="auto"/>
          <w:sz w:val="22"/>
          <w:szCs w:val="22"/>
          <w:lang w:val="en-GB"/>
        </w:rPr>
        <w:t>Netherlands,</w:t>
      </w:r>
      <w:r w:rsidR="009C1FC8">
        <w:rPr>
          <w:rFonts w:asciiTheme="majorHAnsi" w:hAnsiTheme="majorHAnsi" w:cstheme="majorBidi"/>
          <w:color w:val="auto"/>
          <w:sz w:val="22"/>
          <w:szCs w:val="22"/>
          <w:lang w:val="en-GB"/>
        </w:rPr>
        <w:t xml:space="preserve"> </w:t>
      </w:r>
      <w:r w:rsidR="007D4A4F">
        <w:rPr>
          <w:rFonts w:asciiTheme="majorHAnsi" w:hAnsiTheme="majorHAnsi" w:cstheme="majorBidi"/>
          <w:color w:val="auto"/>
          <w:sz w:val="22"/>
          <w:szCs w:val="22"/>
          <w:lang w:val="en-GB"/>
        </w:rPr>
        <w:t xml:space="preserve">double counting is applied to </w:t>
      </w:r>
      <w:r w:rsidR="0031380E">
        <w:rPr>
          <w:rFonts w:asciiTheme="majorHAnsi" w:hAnsiTheme="majorHAnsi" w:cstheme="majorBidi"/>
          <w:color w:val="auto"/>
          <w:sz w:val="22"/>
          <w:szCs w:val="22"/>
          <w:lang w:val="en-GB"/>
        </w:rPr>
        <w:t>a</w:t>
      </w:r>
      <w:r w:rsidR="007D4A4F">
        <w:rPr>
          <w:rFonts w:asciiTheme="majorHAnsi" w:hAnsiTheme="majorHAnsi" w:cstheme="majorBidi"/>
          <w:color w:val="auto"/>
          <w:sz w:val="22"/>
          <w:szCs w:val="22"/>
          <w:lang w:val="en-GB"/>
        </w:rPr>
        <w:t>dvance biofuels</w:t>
      </w:r>
      <w:r w:rsidR="0032316F">
        <w:rPr>
          <w:rFonts w:asciiTheme="majorHAnsi" w:hAnsiTheme="majorHAnsi" w:cstheme="majorBidi"/>
          <w:color w:val="auto"/>
          <w:sz w:val="22"/>
          <w:szCs w:val="22"/>
          <w:lang w:val="en-GB"/>
        </w:rPr>
        <w:t xml:space="preserve"> to</w:t>
      </w:r>
      <w:r w:rsidR="007D4A4F">
        <w:rPr>
          <w:rFonts w:asciiTheme="majorHAnsi" w:hAnsiTheme="majorHAnsi" w:cstheme="majorBidi"/>
          <w:color w:val="auto"/>
          <w:sz w:val="22"/>
          <w:szCs w:val="22"/>
          <w:lang w:val="en-GB"/>
        </w:rPr>
        <w:t xml:space="preserve"> further </w:t>
      </w:r>
      <w:r w:rsidR="00894099">
        <w:rPr>
          <w:rFonts w:asciiTheme="majorHAnsi" w:hAnsiTheme="majorHAnsi" w:cstheme="majorBidi"/>
          <w:color w:val="auto"/>
          <w:sz w:val="22"/>
          <w:szCs w:val="22"/>
          <w:lang w:val="en-GB"/>
        </w:rPr>
        <w:t>incentivi</w:t>
      </w:r>
      <w:r w:rsidR="0032316F">
        <w:rPr>
          <w:rFonts w:asciiTheme="majorHAnsi" w:hAnsiTheme="majorHAnsi" w:cstheme="majorBidi"/>
          <w:color w:val="auto"/>
          <w:sz w:val="22"/>
          <w:szCs w:val="22"/>
          <w:lang w:val="en-GB"/>
        </w:rPr>
        <w:t xml:space="preserve">ze </w:t>
      </w:r>
      <w:r w:rsidR="00894099">
        <w:rPr>
          <w:rFonts w:asciiTheme="majorHAnsi" w:hAnsiTheme="majorHAnsi" w:cstheme="majorBidi"/>
          <w:color w:val="auto"/>
          <w:sz w:val="22"/>
          <w:szCs w:val="22"/>
          <w:lang w:val="en-GB"/>
        </w:rPr>
        <w:t>g</w:t>
      </w:r>
      <w:r w:rsidR="007D4A4F">
        <w:rPr>
          <w:rFonts w:asciiTheme="majorHAnsi" w:hAnsiTheme="majorHAnsi" w:cstheme="majorBidi"/>
          <w:color w:val="auto"/>
          <w:sz w:val="22"/>
          <w:szCs w:val="22"/>
          <w:lang w:val="en-GB"/>
        </w:rPr>
        <w:t xml:space="preserve"> the use of these types of </w:t>
      </w:r>
      <w:r w:rsidR="0032316F">
        <w:rPr>
          <w:rFonts w:asciiTheme="majorHAnsi" w:hAnsiTheme="majorHAnsi" w:cstheme="majorBidi"/>
          <w:color w:val="auto"/>
          <w:sz w:val="22"/>
          <w:szCs w:val="22"/>
          <w:lang w:val="en-GB"/>
        </w:rPr>
        <w:t>b</w:t>
      </w:r>
      <w:r w:rsidR="007D4A4F">
        <w:rPr>
          <w:rFonts w:asciiTheme="majorHAnsi" w:hAnsiTheme="majorHAnsi" w:cstheme="majorBidi"/>
          <w:color w:val="auto"/>
          <w:sz w:val="22"/>
          <w:szCs w:val="22"/>
          <w:lang w:val="en-GB"/>
        </w:rPr>
        <w:t xml:space="preserve">iofuels. </w:t>
      </w:r>
    </w:p>
    <w:p w14:paraId="4D7C3C23" w14:textId="4DB6680E" w:rsidR="000505E6" w:rsidRPr="002445F6" w:rsidRDefault="007279A1" w:rsidP="005D6854">
      <w:pPr>
        <w:spacing w:after="120" w:line="360" w:lineRule="auto"/>
        <w:ind w:firstLine="296"/>
        <w:rPr>
          <w:rFonts w:asciiTheme="majorHAnsi" w:hAnsiTheme="majorHAnsi" w:cstheme="majorBidi"/>
          <w:color w:val="auto"/>
          <w:sz w:val="22"/>
          <w:szCs w:val="22"/>
          <w:lang w:val="en-GB"/>
        </w:rPr>
      </w:pPr>
      <w:r>
        <w:rPr>
          <w:rFonts w:asciiTheme="majorHAnsi" w:hAnsiTheme="majorHAnsi" w:cstheme="majorBidi"/>
          <w:color w:val="auto"/>
          <w:sz w:val="22"/>
          <w:szCs w:val="22"/>
          <w:lang w:val="en-GB"/>
        </w:rPr>
        <w:t xml:space="preserve">This </w:t>
      </w:r>
      <w:r w:rsidR="004C0AD6">
        <w:rPr>
          <w:rFonts w:asciiTheme="majorHAnsi" w:hAnsiTheme="majorHAnsi" w:cstheme="majorBidi"/>
          <w:color w:val="auto"/>
          <w:sz w:val="22"/>
          <w:szCs w:val="22"/>
          <w:lang w:val="en-GB"/>
        </w:rPr>
        <w:t xml:space="preserve">trading </w:t>
      </w:r>
      <w:r w:rsidR="000505E6">
        <w:rPr>
          <w:rFonts w:asciiTheme="majorHAnsi" w:hAnsiTheme="majorHAnsi" w:cstheme="majorBidi"/>
          <w:color w:val="auto"/>
          <w:sz w:val="22"/>
          <w:szCs w:val="22"/>
          <w:lang w:val="en-GB"/>
        </w:rPr>
        <w:t xml:space="preserve"> system </w:t>
      </w:r>
      <w:r>
        <w:rPr>
          <w:rFonts w:asciiTheme="majorHAnsi" w:hAnsiTheme="majorHAnsi" w:cstheme="majorBidi"/>
          <w:color w:val="auto"/>
          <w:sz w:val="22"/>
          <w:szCs w:val="22"/>
          <w:lang w:val="en-GB"/>
        </w:rPr>
        <w:t xml:space="preserve">is currently only implemented in the Netherlands. </w:t>
      </w:r>
      <w:r w:rsidR="00007050">
        <w:rPr>
          <w:rFonts w:asciiTheme="majorHAnsi" w:hAnsiTheme="majorHAnsi" w:cstheme="majorBidi"/>
          <w:color w:val="auto"/>
          <w:sz w:val="22"/>
          <w:szCs w:val="22"/>
          <w:lang w:val="en-GB"/>
        </w:rPr>
        <w:t xml:space="preserve">Other EU countries have no such system or mandatory legislation for </w:t>
      </w:r>
      <w:r w:rsidR="000505E6">
        <w:rPr>
          <w:rFonts w:asciiTheme="majorHAnsi" w:hAnsiTheme="majorHAnsi" w:cstheme="majorBidi"/>
          <w:color w:val="auto"/>
          <w:sz w:val="22"/>
          <w:szCs w:val="22"/>
          <w:lang w:val="en-GB"/>
        </w:rPr>
        <w:t>the use of advanced biofuels in the maritime sector</w:t>
      </w:r>
    </w:p>
    <w:p w14:paraId="76150A42" w14:textId="77777777" w:rsidR="005D6854" w:rsidRDefault="005D6854" w:rsidP="002F7E75">
      <w:pPr>
        <w:pStyle w:val="Heading4"/>
        <w:numPr>
          <w:ilvl w:val="0"/>
          <w:numId w:val="0"/>
        </w:numPr>
        <w:ind w:left="444"/>
      </w:pPr>
    </w:p>
    <w:p w14:paraId="744E5BA0" w14:textId="11469A7A" w:rsidR="00F616D7" w:rsidRDefault="176C8EFC" w:rsidP="00357301">
      <w:pPr>
        <w:pStyle w:val="Heading3"/>
      </w:pPr>
      <w:bookmarkStart w:id="17" w:name="_Toc84019449"/>
      <w:r>
        <w:t>European Green Deal</w:t>
      </w:r>
      <w:r w:rsidR="3B4A16AA">
        <w:t xml:space="preserve"> (EGD) </w:t>
      </w:r>
      <w:r w:rsidR="7D453BAC">
        <w:t>and</w:t>
      </w:r>
      <w:r w:rsidR="3B4A16AA">
        <w:t xml:space="preserve"> </w:t>
      </w:r>
      <w:r w:rsidR="5A1BEF7D">
        <w:t>Fit for 55</w:t>
      </w:r>
      <w:bookmarkEnd w:id="17"/>
    </w:p>
    <w:p w14:paraId="57131D8E" w14:textId="282333A9" w:rsidR="5937A937" w:rsidRDefault="5937A937" w:rsidP="5937A937">
      <w:pPr>
        <w:rPr>
          <w:szCs w:val="21"/>
        </w:rPr>
      </w:pPr>
    </w:p>
    <w:p w14:paraId="4F2E7C12" w14:textId="61DA2DE6" w:rsidR="0011416A" w:rsidRPr="00E4320B" w:rsidRDefault="08410017" w:rsidP="791B8135">
      <w:pPr>
        <w:spacing w:after="120" w:line="360" w:lineRule="auto"/>
        <w:ind w:firstLine="709"/>
        <w:rPr>
          <w:rFonts w:asciiTheme="majorHAnsi" w:hAnsiTheme="majorHAnsi" w:cstheme="majorBidi"/>
          <w:color w:val="auto"/>
          <w:sz w:val="22"/>
          <w:szCs w:val="22"/>
          <w:lang w:val="en-GB"/>
        </w:rPr>
      </w:pPr>
      <w:r w:rsidRPr="5937A937">
        <w:rPr>
          <w:rFonts w:asciiTheme="majorHAnsi" w:hAnsiTheme="majorHAnsi" w:cstheme="majorBidi"/>
          <w:color w:val="auto"/>
          <w:sz w:val="22"/>
          <w:szCs w:val="22"/>
          <w:lang w:val="en-GB"/>
        </w:rPr>
        <w:t>In December 2019, the European Commission announced the European Green Deal (</w:t>
      </w:r>
      <w:r w:rsidR="12C8FAF3" w:rsidRPr="5937A937">
        <w:rPr>
          <w:rFonts w:asciiTheme="majorHAnsi" w:hAnsiTheme="majorHAnsi" w:cstheme="majorBidi"/>
          <w:color w:val="auto"/>
          <w:sz w:val="22"/>
          <w:szCs w:val="22"/>
          <w:lang w:val="en-GB"/>
        </w:rPr>
        <w:t>EGD) which</w:t>
      </w:r>
      <w:r w:rsidRPr="5937A937">
        <w:rPr>
          <w:rFonts w:asciiTheme="majorHAnsi" w:hAnsiTheme="majorHAnsi" w:cstheme="majorBidi"/>
          <w:color w:val="auto"/>
          <w:sz w:val="22"/>
          <w:szCs w:val="22"/>
          <w:lang w:val="en-GB"/>
        </w:rPr>
        <w:t xml:space="preserve"> set the blueprint for a transformational change. All 27 EU Member States </w:t>
      </w:r>
      <w:r w:rsidR="49BCBD65" w:rsidRPr="5937A937">
        <w:rPr>
          <w:rFonts w:asciiTheme="majorHAnsi" w:hAnsiTheme="majorHAnsi" w:cstheme="majorBidi"/>
          <w:color w:val="auto"/>
          <w:sz w:val="22"/>
          <w:szCs w:val="22"/>
          <w:lang w:val="en-GB"/>
        </w:rPr>
        <w:t>signed</w:t>
      </w:r>
      <w:r w:rsidRPr="5937A937">
        <w:rPr>
          <w:rFonts w:asciiTheme="majorHAnsi" w:hAnsiTheme="majorHAnsi" w:cstheme="majorBidi"/>
          <w:color w:val="auto"/>
          <w:sz w:val="22"/>
          <w:szCs w:val="22"/>
          <w:lang w:val="en-GB"/>
        </w:rPr>
        <w:t xml:space="preserve"> to th</w:t>
      </w:r>
      <w:r w:rsidR="07A88EDF" w:rsidRPr="5937A937">
        <w:rPr>
          <w:rFonts w:asciiTheme="majorHAnsi" w:hAnsiTheme="majorHAnsi" w:cstheme="majorBidi"/>
          <w:color w:val="auto"/>
          <w:sz w:val="22"/>
          <w:szCs w:val="22"/>
          <w:lang w:val="en-GB"/>
        </w:rPr>
        <w:t>e</w:t>
      </w:r>
      <w:r w:rsidRPr="5937A937">
        <w:rPr>
          <w:rFonts w:asciiTheme="majorHAnsi" w:hAnsiTheme="majorHAnsi" w:cstheme="majorBidi"/>
          <w:color w:val="auto"/>
          <w:sz w:val="22"/>
          <w:szCs w:val="22"/>
          <w:lang w:val="en-GB"/>
        </w:rPr>
        <w:t xml:space="preserve"> roadmap towards a climate-neutral economy. The goal of the </w:t>
      </w:r>
      <w:r w:rsidR="6ECBA66C" w:rsidRPr="5937A937">
        <w:rPr>
          <w:rFonts w:asciiTheme="majorHAnsi" w:hAnsiTheme="majorHAnsi" w:cstheme="majorBidi"/>
          <w:color w:val="auto"/>
          <w:sz w:val="22"/>
          <w:szCs w:val="22"/>
          <w:lang w:val="en-GB"/>
        </w:rPr>
        <w:t>EGD is</w:t>
      </w:r>
      <w:r w:rsidRPr="5937A937">
        <w:rPr>
          <w:rFonts w:asciiTheme="majorHAnsi" w:hAnsiTheme="majorHAnsi" w:cstheme="majorBidi"/>
          <w:color w:val="auto"/>
          <w:sz w:val="22"/>
          <w:szCs w:val="22"/>
          <w:lang w:val="en-GB"/>
        </w:rPr>
        <w:t xml:space="preserve"> to reduce at least by 55</w:t>
      </w:r>
      <w:r w:rsidR="005D0FC1">
        <w:rPr>
          <w:rFonts w:asciiTheme="majorHAnsi" w:hAnsiTheme="majorHAnsi" w:cstheme="majorBidi"/>
          <w:color w:val="auto"/>
          <w:sz w:val="22"/>
          <w:szCs w:val="22"/>
          <w:lang w:val="en-GB"/>
        </w:rPr>
        <w:t xml:space="preserve"> </w:t>
      </w:r>
      <w:r w:rsidRPr="5937A937">
        <w:rPr>
          <w:rFonts w:asciiTheme="majorHAnsi" w:hAnsiTheme="majorHAnsi" w:cstheme="majorBidi"/>
          <w:color w:val="auto"/>
          <w:sz w:val="22"/>
          <w:szCs w:val="22"/>
          <w:lang w:val="en-GB"/>
        </w:rPr>
        <w:t>% the emissions in 2030, with respect to 1990 levels. Then</w:t>
      </w:r>
      <w:r w:rsidR="5926DE61" w:rsidRPr="5937A937">
        <w:rPr>
          <w:rFonts w:asciiTheme="majorHAnsi" w:hAnsiTheme="majorHAnsi" w:cstheme="majorBidi"/>
          <w:color w:val="auto"/>
          <w:sz w:val="22"/>
          <w:szCs w:val="22"/>
          <w:lang w:val="en-GB"/>
        </w:rPr>
        <w:t>,</w:t>
      </w:r>
      <w:r w:rsidRPr="5937A937">
        <w:rPr>
          <w:rFonts w:asciiTheme="majorHAnsi" w:hAnsiTheme="majorHAnsi" w:cstheme="majorBidi"/>
          <w:color w:val="auto"/>
          <w:sz w:val="22"/>
          <w:szCs w:val="22"/>
          <w:lang w:val="en-GB"/>
        </w:rPr>
        <w:t xml:space="preserve"> gradually </w:t>
      </w:r>
      <w:r w:rsidR="00FE37AF" w:rsidRPr="5937A937">
        <w:rPr>
          <w:rFonts w:asciiTheme="majorHAnsi" w:hAnsiTheme="majorHAnsi" w:cstheme="majorBidi"/>
          <w:color w:val="auto"/>
          <w:sz w:val="22"/>
          <w:szCs w:val="22"/>
          <w:lang w:val="en-GB"/>
        </w:rPr>
        <w:t xml:space="preserve">move </w:t>
      </w:r>
      <w:r w:rsidRPr="5937A937">
        <w:rPr>
          <w:rFonts w:asciiTheme="majorHAnsi" w:hAnsiTheme="majorHAnsi" w:cstheme="majorBidi"/>
          <w:color w:val="auto"/>
          <w:sz w:val="22"/>
          <w:szCs w:val="22"/>
          <w:lang w:val="en-GB"/>
        </w:rPr>
        <w:t xml:space="preserve">to carbon neutrality by 2050. </w:t>
      </w:r>
      <w:r w:rsidRPr="5937A937">
        <w:rPr>
          <w:color w:val="auto"/>
          <w:sz w:val="22"/>
          <w:szCs w:val="22"/>
          <w:lang w:val="en-GB"/>
        </w:rPr>
        <w:t>The EGD is an instrument of change, that introduce</w:t>
      </w:r>
      <w:r w:rsidR="645CCB4C" w:rsidRPr="5937A937">
        <w:rPr>
          <w:color w:val="auto"/>
          <w:sz w:val="22"/>
          <w:szCs w:val="22"/>
          <w:lang w:val="en-GB"/>
        </w:rPr>
        <w:t>s</w:t>
      </w:r>
      <w:r w:rsidRPr="5937A937">
        <w:rPr>
          <w:color w:val="auto"/>
          <w:sz w:val="22"/>
          <w:szCs w:val="22"/>
          <w:lang w:val="en-GB"/>
        </w:rPr>
        <w:t xml:space="preserve"> a new policy principle “Green oath: do no harm”. Other EU initiatives must be aligned to this </w:t>
      </w:r>
      <w:r w:rsidRPr="5937A937">
        <w:rPr>
          <w:color w:val="auto"/>
          <w:sz w:val="22"/>
          <w:szCs w:val="22"/>
          <w:lang w:val="en-GB"/>
        </w:rPr>
        <w:lastRenderedPageBreak/>
        <w:t xml:space="preserve">principle </w:t>
      </w:r>
      <w:r w:rsidR="0011416A" w:rsidRPr="5937A937">
        <w:rPr>
          <w:color w:val="auto"/>
          <w:sz w:val="22"/>
          <w:szCs w:val="22"/>
          <w:lang w:val="en-GB"/>
        </w:rPr>
        <w:fldChar w:fldCharType="begin" w:fldLock="1"/>
      </w:r>
      <w:r w:rsidR="0011416A" w:rsidRPr="5937A937">
        <w:rPr>
          <w:color w:val="auto"/>
          <w:sz w:val="22"/>
          <w:szCs w:val="22"/>
          <w:lang w:val="en-GB"/>
        </w:rPr>
        <w:instrText>ADDIN CSL_CITATION {"citationItems":[{"id":"ITEM-1","itemData":{"DOI":"10.1007/s12027-020-00637-3","ISSN":"18639038","abstract":"The European Green Deal announced by the European Commission in December 2019 is a roadmap meant to foster the transition of the European Union towards the climate-neutral economy by reducing carbon emissions towards 55% by 2030 and achieving carbon neutrality by 2050. By putting the EGD in a boarder perspective of evolving, constitutional rationale of environmental protection in the EU legal order, this contribution examines horizontal, legal dimension and financial implications of the green transition. The challenge ahead of the Union is now how to transform the ambitious climate agenda into efficient legal and economic instruments ‘in a fair way, leaving no one behind’. This paper argues that EGD is a great opportunity, but in order to turn it into a success, it must be strongly anchored in the concepts pertaining to the constitutional framework of the EU legal order, in particular, the concepts of solidarity, sustainable development and high level of environmental protection.","author":[{"dropping-particle":"","family":"Sikora","given":"Alicja","non-dropping-particle":"","parse-names":false,"suffix":""}],"container-title":"ERA Forum","id":"ITEM-1","issued":{"date-parts":[["2020"]]},"page":"681-697","publisher":"The Author(s)","title":"European Green Deal – legal and financial challenges of the climate change","type":"article-journal"},"uris":["http://www.mendeley.com/documents/?uuid=28a71f4b-3341-4579-a677-8efa15a33d7a"]}],"mendeley":{"formattedCitation":"(Sikora, 2020)","plainTextFormattedCitation":"(Sikora, 2020)","previouslyFormattedCitation":"(Sikora, 2020)"},"properties":{"noteIndex":0},"schema":"https://github.com/citation-style-language/schema/raw/master/csl-citation.json"}</w:instrText>
      </w:r>
      <w:r w:rsidR="0011416A" w:rsidRPr="5937A937">
        <w:rPr>
          <w:color w:val="auto"/>
          <w:sz w:val="22"/>
          <w:szCs w:val="22"/>
          <w:lang w:val="en-GB"/>
        </w:rPr>
        <w:fldChar w:fldCharType="separate"/>
      </w:r>
      <w:r w:rsidRPr="5937A937">
        <w:rPr>
          <w:noProof/>
          <w:color w:val="auto"/>
          <w:sz w:val="22"/>
          <w:szCs w:val="22"/>
          <w:lang w:val="en-GB"/>
        </w:rPr>
        <w:t>(Sikora, 2020)</w:t>
      </w:r>
      <w:r w:rsidR="0011416A" w:rsidRPr="5937A937">
        <w:rPr>
          <w:color w:val="auto"/>
          <w:sz w:val="22"/>
          <w:szCs w:val="22"/>
          <w:lang w:val="en-GB"/>
        </w:rPr>
        <w:fldChar w:fldCharType="end"/>
      </w:r>
      <w:r w:rsidRPr="5937A937">
        <w:rPr>
          <w:color w:val="auto"/>
          <w:sz w:val="22"/>
          <w:szCs w:val="22"/>
          <w:lang w:val="en-GB"/>
        </w:rPr>
        <w:t>. The EGD was implemented through the announcement of the Fit for 55 Package in July 2021</w:t>
      </w:r>
      <w:r w:rsidR="00F82B1E">
        <w:rPr>
          <w:color w:val="auto"/>
          <w:sz w:val="22"/>
          <w:szCs w:val="22"/>
          <w:lang w:val="en-GB"/>
        </w:rPr>
        <w:t xml:space="preserve"> </w:t>
      </w:r>
      <w:r w:rsidR="00F82B1E">
        <w:rPr>
          <w:color w:val="auto"/>
          <w:sz w:val="22"/>
          <w:szCs w:val="22"/>
          <w:lang w:val="en-GB"/>
        </w:rPr>
        <w:fldChar w:fldCharType="begin" w:fldLock="1"/>
      </w:r>
      <w:r w:rsidR="006468A3">
        <w:rPr>
          <w:color w:val="auto"/>
          <w:sz w:val="22"/>
          <w:szCs w:val="22"/>
          <w:lang w:val="en-GB"/>
        </w:rPr>
        <w:instrText>ADDIN CSL_CITATION {"citationItems":[{"id":"ITEM-1","itemData":{"URL":"https://ec.europa.eu/commission/presscorner/detail/en/ip_21_3541","accessed":{"date-parts":[["2021","9","7"]]},"author":[{"dropping-particle":"","family":"European Commission","given":"","non-dropping-particle":"","parse-names":false,"suffix":""}],"id":"ITEM-1","issued":{"date-parts":[["2021"]]},"title":"European Green Deal: Commission proposes transformation of EU economy and society to meet climate ambitions","type":"webpage"},"uris":["http://www.mendeley.com/documents/?uuid=9e999a55-413c-4df5-966a-70beab3801f2"]}],"mendeley":{"formattedCitation":"(European Commission, 2021b)","plainTextFormattedCitation":"(European Commission, 2021b)","previouslyFormattedCitation":"(European Commission, 2021b)"},"properties":{"noteIndex":0},"schema":"https://github.com/citation-style-language/schema/raw/master/csl-citation.json"}</w:instrText>
      </w:r>
      <w:r w:rsidR="00F82B1E">
        <w:rPr>
          <w:color w:val="auto"/>
          <w:sz w:val="22"/>
          <w:szCs w:val="22"/>
          <w:lang w:val="en-GB"/>
        </w:rPr>
        <w:fldChar w:fldCharType="separate"/>
      </w:r>
      <w:r w:rsidR="00DE7A60" w:rsidRPr="00DE7A60">
        <w:rPr>
          <w:noProof/>
          <w:color w:val="auto"/>
          <w:sz w:val="22"/>
          <w:szCs w:val="22"/>
          <w:lang w:val="en-GB"/>
        </w:rPr>
        <w:t>(European Commission, 2021b)</w:t>
      </w:r>
      <w:r w:rsidR="00F82B1E">
        <w:rPr>
          <w:color w:val="auto"/>
          <w:sz w:val="22"/>
          <w:szCs w:val="22"/>
          <w:lang w:val="en-GB"/>
        </w:rPr>
        <w:fldChar w:fldCharType="end"/>
      </w:r>
      <w:r w:rsidRPr="5937A937">
        <w:rPr>
          <w:color w:val="auto"/>
          <w:sz w:val="22"/>
          <w:szCs w:val="22"/>
          <w:lang w:val="en-GB"/>
        </w:rPr>
        <w:t xml:space="preserve">. </w:t>
      </w:r>
    </w:p>
    <w:p w14:paraId="3E4721EA" w14:textId="3CF01666" w:rsidR="0011416A" w:rsidRPr="00FE37AF" w:rsidRDefault="08410017" w:rsidP="5937A937">
      <w:pPr>
        <w:spacing w:after="120" w:line="360" w:lineRule="auto"/>
        <w:ind w:firstLine="709"/>
        <w:rPr>
          <w:rFonts w:asciiTheme="majorHAnsi" w:hAnsiTheme="majorHAnsi" w:cstheme="majorBidi"/>
          <w:color w:val="auto"/>
          <w:sz w:val="22"/>
          <w:szCs w:val="22"/>
          <w:lang w:val="en-GB"/>
        </w:rPr>
      </w:pPr>
      <w:r w:rsidRPr="00FE37AF">
        <w:rPr>
          <w:rFonts w:asciiTheme="majorHAnsi" w:hAnsiTheme="majorHAnsi" w:cstheme="majorBidi"/>
          <w:color w:val="auto"/>
          <w:sz w:val="22"/>
          <w:szCs w:val="22"/>
          <w:lang w:val="en-GB"/>
        </w:rPr>
        <w:t xml:space="preserve">Fit for 55 is a comprehensive package of a dozen legislative proposals aiming </w:t>
      </w:r>
      <w:r w:rsidR="7AED624F" w:rsidRPr="00FE37AF">
        <w:rPr>
          <w:rFonts w:asciiTheme="majorHAnsi" w:hAnsiTheme="majorHAnsi" w:cstheme="majorBidi"/>
          <w:color w:val="auto"/>
          <w:sz w:val="22"/>
          <w:szCs w:val="22"/>
          <w:lang w:val="en-GB"/>
        </w:rPr>
        <w:t>for</w:t>
      </w:r>
      <w:r w:rsidR="172E5CF3" w:rsidRPr="00FE37AF">
        <w:rPr>
          <w:rFonts w:asciiTheme="majorHAnsi" w:hAnsiTheme="majorHAnsi" w:cstheme="majorBidi"/>
          <w:color w:val="auto"/>
          <w:sz w:val="22"/>
          <w:szCs w:val="22"/>
          <w:lang w:val="en-GB"/>
        </w:rPr>
        <w:t xml:space="preserve"> 55</w:t>
      </w:r>
      <w:r w:rsidR="005D0FC1" w:rsidRPr="00FE37AF">
        <w:rPr>
          <w:rFonts w:asciiTheme="majorHAnsi" w:hAnsiTheme="majorHAnsi" w:cstheme="majorBidi"/>
          <w:color w:val="auto"/>
          <w:sz w:val="22"/>
          <w:szCs w:val="22"/>
          <w:lang w:val="en-GB"/>
        </w:rPr>
        <w:t xml:space="preserve"> </w:t>
      </w:r>
      <w:r w:rsidR="172E5CF3" w:rsidRPr="00FE37AF">
        <w:rPr>
          <w:rFonts w:asciiTheme="majorHAnsi" w:hAnsiTheme="majorHAnsi" w:cstheme="majorBidi"/>
          <w:color w:val="auto"/>
          <w:sz w:val="22"/>
          <w:szCs w:val="22"/>
          <w:lang w:val="en-GB"/>
        </w:rPr>
        <w:t>%</w:t>
      </w:r>
      <w:r w:rsidR="3BE9C60B" w:rsidRPr="00FE37AF">
        <w:rPr>
          <w:rFonts w:asciiTheme="majorHAnsi" w:hAnsiTheme="majorHAnsi" w:cstheme="majorBidi"/>
          <w:color w:val="auto"/>
          <w:sz w:val="22"/>
          <w:szCs w:val="22"/>
          <w:lang w:val="en-GB"/>
        </w:rPr>
        <w:t xml:space="preserve"> </w:t>
      </w:r>
      <w:r w:rsidRPr="00FE37AF">
        <w:rPr>
          <w:rFonts w:asciiTheme="majorHAnsi" w:hAnsiTheme="majorHAnsi" w:cstheme="majorBidi"/>
          <w:color w:val="auto"/>
          <w:sz w:val="22"/>
          <w:szCs w:val="22"/>
          <w:lang w:val="en-GB"/>
        </w:rPr>
        <w:t>reduction</w:t>
      </w:r>
      <w:r w:rsidR="320CFBAF" w:rsidRPr="00FE37AF">
        <w:rPr>
          <w:rFonts w:asciiTheme="majorHAnsi" w:hAnsiTheme="majorHAnsi" w:cstheme="majorBidi"/>
          <w:color w:val="auto"/>
          <w:sz w:val="22"/>
          <w:szCs w:val="22"/>
          <w:lang w:val="en-GB"/>
        </w:rPr>
        <w:t xml:space="preserve"> in emissions</w:t>
      </w:r>
      <w:r w:rsidRPr="00FE37AF">
        <w:rPr>
          <w:rFonts w:asciiTheme="majorHAnsi" w:hAnsiTheme="majorHAnsi" w:cstheme="majorBidi"/>
          <w:color w:val="auto"/>
          <w:sz w:val="22"/>
          <w:szCs w:val="22"/>
          <w:lang w:val="en-GB"/>
        </w:rPr>
        <w:t xml:space="preserve"> </w:t>
      </w:r>
      <w:r w:rsidR="413EFBAB" w:rsidRPr="00FE37AF">
        <w:rPr>
          <w:rFonts w:asciiTheme="majorHAnsi" w:hAnsiTheme="majorHAnsi" w:cstheme="majorBidi"/>
          <w:color w:val="auto"/>
          <w:sz w:val="22"/>
          <w:szCs w:val="22"/>
          <w:lang w:val="en-GB"/>
        </w:rPr>
        <w:t>in diverse</w:t>
      </w:r>
      <w:r w:rsidRPr="00FE37AF">
        <w:rPr>
          <w:rFonts w:asciiTheme="majorHAnsi" w:hAnsiTheme="majorHAnsi" w:cstheme="majorBidi"/>
          <w:color w:val="auto"/>
          <w:sz w:val="22"/>
          <w:szCs w:val="22"/>
          <w:lang w:val="en-GB"/>
        </w:rPr>
        <w:t xml:space="preserve"> sectors by 2030</w:t>
      </w:r>
      <w:r w:rsidR="1E3603CD" w:rsidRPr="00FE37AF">
        <w:rPr>
          <w:rFonts w:asciiTheme="majorHAnsi" w:hAnsiTheme="majorHAnsi" w:cstheme="majorBidi"/>
          <w:color w:val="auto"/>
          <w:sz w:val="22"/>
          <w:szCs w:val="22"/>
          <w:lang w:val="en-GB"/>
        </w:rPr>
        <w:t>,</w:t>
      </w:r>
      <w:r w:rsidRPr="00FE37AF">
        <w:rPr>
          <w:rFonts w:asciiTheme="majorHAnsi" w:hAnsiTheme="majorHAnsi" w:cstheme="majorBidi"/>
          <w:color w:val="auto"/>
          <w:sz w:val="22"/>
          <w:szCs w:val="22"/>
          <w:lang w:val="en-GB"/>
        </w:rPr>
        <w:t xml:space="preserve"> compared to 1990 levels. </w:t>
      </w:r>
      <w:r w:rsidR="00FE37AF">
        <w:rPr>
          <w:rFonts w:asciiTheme="majorHAnsi" w:hAnsiTheme="majorHAnsi" w:cstheme="majorBidi"/>
          <w:color w:val="auto"/>
          <w:sz w:val="22"/>
          <w:szCs w:val="22"/>
          <w:lang w:val="en-GB"/>
        </w:rPr>
        <w:t>T</w:t>
      </w:r>
      <w:r w:rsidR="00A369AF" w:rsidRPr="00FE37AF">
        <w:rPr>
          <w:rFonts w:asciiTheme="majorHAnsi" w:hAnsiTheme="majorHAnsi" w:cstheme="majorBidi"/>
          <w:color w:val="auto"/>
          <w:sz w:val="22"/>
          <w:szCs w:val="22"/>
          <w:lang w:val="en-GB"/>
        </w:rPr>
        <w:t>he</w:t>
      </w:r>
      <w:r w:rsidRPr="00FE37AF">
        <w:rPr>
          <w:rFonts w:asciiTheme="majorHAnsi" w:hAnsiTheme="majorHAnsi" w:cstheme="majorBidi"/>
          <w:color w:val="auto"/>
          <w:sz w:val="22"/>
          <w:szCs w:val="22"/>
          <w:lang w:val="en-GB"/>
        </w:rPr>
        <w:t xml:space="preserve"> shipping industry was included</w:t>
      </w:r>
      <w:r w:rsidR="0044535B">
        <w:rPr>
          <w:rFonts w:asciiTheme="majorHAnsi" w:hAnsiTheme="majorHAnsi" w:cstheme="majorBidi"/>
          <w:color w:val="auto"/>
          <w:sz w:val="22"/>
          <w:szCs w:val="22"/>
          <w:lang w:val="en-GB"/>
        </w:rPr>
        <w:t xml:space="preserve"> in the scope </w:t>
      </w:r>
      <w:r w:rsidR="00000A29">
        <w:rPr>
          <w:rFonts w:asciiTheme="majorHAnsi" w:hAnsiTheme="majorHAnsi" w:cstheme="majorBidi"/>
          <w:color w:val="auto"/>
          <w:sz w:val="22"/>
          <w:szCs w:val="22"/>
          <w:lang w:val="en-GB"/>
        </w:rPr>
        <w:t>of this comprehensive package proposals</w:t>
      </w:r>
      <w:r w:rsidR="00E804E9">
        <w:rPr>
          <w:rFonts w:asciiTheme="majorHAnsi" w:hAnsiTheme="majorHAnsi" w:cstheme="majorBidi"/>
          <w:color w:val="auto"/>
          <w:sz w:val="22"/>
          <w:szCs w:val="22"/>
          <w:lang w:val="en-GB"/>
        </w:rPr>
        <w:t xml:space="preserve">, mainly via the following </w:t>
      </w:r>
      <w:r w:rsidR="001E0EAB" w:rsidRPr="00FE37AF">
        <w:rPr>
          <w:rFonts w:asciiTheme="majorHAnsi" w:hAnsiTheme="majorHAnsi" w:cstheme="majorBidi"/>
          <w:color w:val="auto"/>
          <w:sz w:val="22"/>
          <w:szCs w:val="22"/>
          <w:lang w:val="en-GB"/>
        </w:rPr>
        <w:t>policies:</w:t>
      </w:r>
    </w:p>
    <w:p w14:paraId="06582617" w14:textId="77777777" w:rsidR="0011416A" w:rsidRPr="00DD2540"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DD2540">
        <w:rPr>
          <w:rFonts w:asciiTheme="majorHAnsi" w:hAnsiTheme="majorHAnsi" w:cstheme="majorHAnsi"/>
          <w:b/>
          <w:bCs/>
          <w:color w:val="auto"/>
          <w:sz w:val="22"/>
          <w:szCs w:val="22"/>
        </w:rPr>
        <w:t>The revision of the Renewable Energy Directive II</w:t>
      </w:r>
    </w:p>
    <w:p w14:paraId="7EB9F1A8" w14:textId="13D5D59E" w:rsidR="0011416A" w:rsidRPr="008E61C2" w:rsidRDefault="00E11705" w:rsidP="5937A937">
      <w:pPr>
        <w:pStyle w:val="ListParagraph"/>
        <w:spacing w:after="120" w:line="360" w:lineRule="auto"/>
        <w:ind w:left="0" w:firstLine="540"/>
        <w:rPr>
          <w:rFonts w:asciiTheme="majorHAnsi" w:hAnsiTheme="majorHAnsi" w:cstheme="majorBidi"/>
          <w:color w:val="auto"/>
          <w:sz w:val="22"/>
          <w:szCs w:val="22"/>
        </w:rPr>
      </w:pPr>
      <w:r>
        <w:rPr>
          <w:rFonts w:asciiTheme="majorHAnsi" w:hAnsiTheme="majorHAnsi" w:cstheme="majorBidi"/>
          <w:color w:val="auto"/>
          <w:sz w:val="22"/>
          <w:szCs w:val="22"/>
        </w:rPr>
        <w:t>It aims a</w:t>
      </w:r>
      <w:r w:rsidR="00811AD7">
        <w:rPr>
          <w:rFonts w:asciiTheme="majorHAnsi" w:hAnsiTheme="majorHAnsi" w:cstheme="majorBidi"/>
          <w:color w:val="auto"/>
          <w:sz w:val="22"/>
          <w:szCs w:val="22"/>
        </w:rPr>
        <w:t>t</w:t>
      </w:r>
      <w:r w:rsidR="5E1087A3" w:rsidRPr="5937A937">
        <w:rPr>
          <w:rFonts w:asciiTheme="majorHAnsi" w:hAnsiTheme="majorHAnsi" w:cstheme="majorBidi"/>
          <w:color w:val="auto"/>
          <w:sz w:val="22"/>
          <w:szCs w:val="22"/>
        </w:rPr>
        <w:t xml:space="preserve"> </w:t>
      </w:r>
      <w:r w:rsidR="08410017" w:rsidRPr="5937A937">
        <w:rPr>
          <w:rFonts w:asciiTheme="majorHAnsi" w:hAnsiTheme="majorHAnsi" w:cstheme="majorBidi"/>
          <w:color w:val="auto"/>
          <w:sz w:val="22"/>
          <w:szCs w:val="22"/>
        </w:rPr>
        <w:t>continuous</w:t>
      </w:r>
      <w:r w:rsidR="00811AD7">
        <w:rPr>
          <w:rFonts w:asciiTheme="majorHAnsi" w:hAnsiTheme="majorHAnsi" w:cstheme="majorBidi"/>
          <w:color w:val="auto"/>
          <w:sz w:val="22"/>
          <w:szCs w:val="22"/>
        </w:rPr>
        <w:t>ly</w:t>
      </w:r>
      <w:r w:rsidR="08410017" w:rsidRPr="5937A937">
        <w:rPr>
          <w:rFonts w:asciiTheme="majorHAnsi" w:hAnsiTheme="majorHAnsi" w:cstheme="majorBidi"/>
          <w:color w:val="auto"/>
          <w:sz w:val="22"/>
          <w:szCs w:val="22"/>
        </w:rPr>
        <w:t xml:space="preserve"> scaling up</w:t>
      </w:r>
      <w:r w:rsidR="76BCCF23" w:rsidRPr="5937A937">
        <w:rPr>
          <w:rFonts w:asciiTheme="majorHAnsi" w:hAnsiTheme="majorHAnsi" w:cstheme="majorBidi"/>
          <w:color w:val="auto"/>
          <w:sz w:val="22"/>
          <w:szCs w:val="22"/>
        </w:rPr>
        <w:t xml:space="preserve"> </w:t>
      </w:r>
      <w:r w:rsidR="08410017" w:rsidRPr="5937A937">
        <w:rPr>
          <w:rFonts w:asciiTheme="majorHAnsi" w:hAnsiTheme="majorHAnsi" w:cstheme="majorBidi"/>
          <w:color w:val="auto"/>
          <w:sz w:val="22"/>
          <w:szCs w:val="22"/>
        </w:rPr>
        <w:t>the usage of renewable and low carbon fuels in the EU. </w:t>
      </w:r>
      <w:r w:rsidR="00C1103C">
        <w:rPr>
          <w:rFonts w:asciiTheme="majorHAnsi" w:hAnsiTheme="majorHAnsi" w:cstheme="majorBidi"/>
          <w:color w:val="auto"/>
          <w:sz w:val="22"/>
          <w:szCs w:val="22"/>
        </w:rPr>
        <w:t xml:space="preserve">The above mentioned 14% share of renewable energy for transport and the sub-target of 3.5% </w:t>
      </w:r>
      <w:r w:rsidR="08410017" w:rsidRPr="5937A937">
        <w:rPr>
          <w:rFonts w:asciiTheme="majorHAnsi" w:hAnsiTheme="majorHAnsi" w:cstheme="majorBidi"/>
          <w:color w:val="auto"/>
          <w:sz w:val="22"/>
          <w:szCs w:val="22"/>
        </w:rPr>
        <w:t>for advanced biofuels</w:t>
      </w:r>
      <w:r w:rsidR="00C1103C">
        <w:rPr>
          <w:rFonts w:asciiTheme="majorHAnsi" w:hAnsiTheme="majorHAnsi" w:cstheme="majorBidi"/>
          <w:color w:val="auto"/>
          <w:sz w:val="22"/>
          <w:szCs w:val="22"/>
        </w:rPr>
        <w:t xml:space="preserve"> (which </w:t>
      </w:r>
      <w:r w:rsidR="0026511E">
        <w:rPr>
          <w:rFonts w:asciiTheme="majorHAnsi" w:hAnsiTheme="majorHAnsi" w:cstheme="majorBidi"/>
          <w:color w:val="auto"/>
          <w:sz w:val="22"/>
          <w:szCs w:val="22"/>
        </w:rPr>
        <w:t>are</w:t>
      </w:r>
      <w:r w:rsidR="00C1103C">
        <w:rPr>
          <w:rFonts w:asciiTheme="majorHAnsi" w:hAnsiTheme="majorHAnsi" w:cstheme="majorBidi"/>
          <w:color w:val="auto"/>
          <w:sz w:val="22"/>
          <w:szCs w:val="22"/>
        </w:rPr>
        <w:t xml:space="preserve"> subject to double counting) are replaced by a 13% GHG intensity reduction target for transport with a sub-target of 2.2% for advanced biofuels in 2030. The principle of double-counting</w:t>
      </w:r>
      <w:r w:rsidR="08410017" w:rsidRPr="5937A937">
        <w:rPr>
          <w:rFonts w:asciiTheme="majorHAnsi" w:hAnsiTheme="majorHAnsi" w:cstheme="majorBidi"/>
          <w:color w:val="auto"/>
          <w:sz w:val="22"/>
          <w:szCs w:val="22"/>
        </w:rPr>
        <w:t xml:space="preserve"> will no longer apply. </w:t>
      </w:r>
      <w:r w:rsidR="00DE7A60">
        <w:rPr>
          <w:rFonts w:asciiTheme="majorHAnsi" w:hAnsiTheme="majorHAnsi" w:cstheme="majorBidi"/>
          <w:color w:val="auto"/>
          <w:sz w:val="22"/>
          <w:szCs w:val="22"/>
        </w:rPr>
        <w:fldChar w:fldCharType="begin" w:fldLock="1"/>
      </w:r>
      <w:r w:rsidR="006468A3">
        <w:rPr>
          <w:rFonts w:asciiTheme="majorHAnsi" w:hAnsiTheme="majorHAnsi" w:cstheme="majorBidi"/>
          <w:color w:val="auto"/>
          <w:sz w:val="22"/>
          <w:szCs w:val="22"/>
        </w:rPr>
        <w:instrText>ADDIN CSL_CITATION {"citationItems":[{"id":"ITEM-1","itemData":{"author":[{"dropping-particle":"","family":"European Commission","given":"","non-dropping-particle":"","parse-names":false,"suffix":""}],"id":"ITEM-1","issued":{"date-parts":[["2021"]]},"title":"Amending Directive (EU) 2018/2001 of the European Parliament regards the promotion of energy from renewable sources, and repealing Council Directive (EU) 2015/65","type":"article","volume":"0218"},"uris":["http://www.mendeley.com/documents/?uuid=f920e565-0e5d-4f4e-adc1-9c06af495384"]}],"mendeley":{"formattedCitation":"(European Commission, 2021a)","plainTextFormattedCitation":"(European Commission, 2021a)","previouslyFormattedCitation":"(European Commission, 2021a)"},"properties":{"noteIndex":0},"schema":"https://github.com/citation-style-language/schema/raw/master/csl-citation.json"}</w:instrText>
      </w:r>
      <w:r w:rsidR="00DE7A60">
        <w:rPr>
          <w:rFonts w:asciiTheme="majorHAnsi" w:hAnsiTheme="majorHAnsi" w:cstheme="majorBidi"/>
          <w:color w:val="auto"/>
          <w:sz w:val="22"/>
          <w:szCs w:val="22"/>
        </w:rPr>
        <w:fldChar w:fldCharType="separate"/>
      </w:r>
      <w:r w:rsidR="00DE7A60" w:rsidRPr="00DE7A60">
        <w:rPr>
          <w:rFonts w:asciiTheme="majorHAnsi" w:hAnsiTheme="majorHAnsi" w:cstheme="majorBidi"/>
          <w:noProof/>
          <w:color w:val="auto"/>
          <w:sz w:val="22"/>
          <w:szCs w:val="22"/>
        </w:rPr>
        <w:t>(European Commission, 2021a)</w:t>
      </w:r>
      <w:r w:rsidR="00DE7A60">
        <w:rPr>
          <w:rFonts w:asciiTheme="majorHAnsi" w:hAnsiTheme="majorHAnsi" w:cstheme="majorBidi"/>
          <w:color w:val="auto"/>
          <w:sz w:val="22"/>
          <w:szCs w:val="22"/>
        </w:rPr>
        <w:fldChar w:fldCharType="end"/>
      </w:r>
      <w:r w:rsidR="08410017" w:rsidRPr="5937A937">
        <w:rPr>
          <w:rFonts w:asciiTheme="majorHAnsi" w:hAnsiTheme="majorHAnsi" w:cstheme="majorBidi"/>
          <w:color w:val="auto"/>
          <w:sz w:val="22"/>
          <w:szCs w:val="22"/>
        </w:rPr>
        <w:t xml:space="preserve">. </w:t>
      </w:r>
    </w:p>
    <w:p w14:paraId="13308EB1" w14:textId="2F357C04" w:rsidR="007F0302" w:rsidRDefault="08410017" w:rsidP="00553C3C">
      <w:pPr>
        <w:spacing w:after="120" w:line="360" w:lineRule="auto"/>
        <w:ind w:firstLine="360"/>
        <w:rPr>
          <w:sz w:val="22"/>
          <w:szCs w:val="22"/>
          <w:lang w:val="en-GB"/>
        </w:rPr>
      </w:pPr>
      <w:r w:rsidRPr="5937A937">
        <w:rPr>
          <w:rFonts w:asciiTheme="majorHAnsi" w:hAnsiTheme="majorHAnsi" w:cstheme="majorBidi"/>
          <w:color w:val="auto"/>
          <w:sz w:val="22"/>
          <w:szCs w:val="22"/>
        </w:rPr>
        <w:t xml:space="preserve">Sustainability </w:t>
      </w:r>
      <w:r w:rsidR="1B6A26BD" w:rsidRPr="5937A937">
        <w:rPr>
          <w:rFonts w:asciiTheme="majorHAnsi" w:hAnsiTheme="majorHAnsi" w:cstheme="majorBidi"/>
          <w:color w:val="auto"/>
          <w:sz w:val="22"/>
          <w:szCs w:val="22"/>
        </w:rPr>
        <w:t>criteria</w:t>
      </w:r>
      <w:r w:rsidR="00B916C4">
        <w:rPr>
          <w:rFonts w:asciiTheme="majorHAnsi" w:hAnsiTheme="majorHAnsi" w:cstheme="majorBidi"/>
          <w:color w:val="auto"/>
          <w:sz w:val="22"/>
          <w:szCs w:val="22"/>
        </w:rPr>
        <w:t xml:space="preserve"> and stand</w:t>
      </w:r>
      <w:r w:rsidR="003055BB">
        <w:rPr>
          <w:rFonts w:asciiTheme="majorHAnsi" w:hAnsiTheme="majorHAnsi" w:cstheme="majorBidi"/>
          <w:color w:val="auto"/>
          <w:sz w:val="22"/>
          <w:szCs w:val="22"/>
        </w:rPr>
        <w:t xml:space="preserve">ards for reliability, </w:t>
      </w:r>
      <w:r w:rsidR="1B6A26BD" w:rsidRPr="5937A937">
        <w:rPr>
          <w:rFonts w:asciiTheme="majorHAnsi" w:hAnsiTheme="majorHAnsi" w:cstheme="majorBidi"/>
          <w:color w:val="auto"/>
          <w:sz w:val="22"/>
          <w:szCs w:val="22"/>
        </w:rPr>
        <w:t>transparency</w:t>
      </w:r>
      <w:r w:rsidRPr="5937A937">
        <w:rPr>
          <w:rFonts w:asciiTheme="majorHAnsi" w:hAnsiTheme="majorHAnsi" w:cstheme="majorBidi"/>
          <w:color w:val="auto"/>
          <w:sz w:val="22"/>
          <w:szCs w:val="22"/>
        </w:rPr>
        <w:t>, certification and verification will most likely not change.  For the case of IDEALFUEL</w:t>
      </w:r>
      <w:r w:rsidR="4D89188B" w:rsidRPr="5937A937">
        <w:rPr>
          <w:rFonts w:asciiTheme="majorHAnsi" w:hAnsiTheme="majorHAnsi" w:cstheme="majorBidi"/>
          <w:color w:val="auto"/>
          <w:sz w:val="22"/>
          <w:szCs w:val="22"/>
        </w:rPr>
        <w:t>,</w:t>
      </w:r>
      <w:r w:rsidRPr="5937A937">
        <w:rPr>
          <w:rFonts w:asciiTheme="majorHAnsi" w:hAnsiTheme="majorHAnsi" w:cstheme="majorBidi"/>
          <w:color w:val="auto"/>
          <w:sz w:val="22"/>
          <w:szCs w:val="22"/>
        </w:rPr>
        <w:t xml:space="preserve"> certification of the fuel will play a key role for its use. </w:t>
      </w:r>
      <w:r>
        <w:t xml:space="preserve">The mayor impact will most likely be related to the feedstock from which advanced biofuels can be produced. </w:t>
      </w:r>
      <w:r w:rsidR="009D0C05">
        <w:t>Annex IX is under revision</w:t>
      </w:r>
      <w:r w:rsidR="00F81E10">
        <w:t xml:space="preserve">, with the aim to improve the feedstock list, </w:t>
      </w:r>
      <w:r w:rsidR="00553C3C">
        <w:t>trough the clarification of</w:t>
      </w:r>
      <w:r w:rsidR="00F81E10">
        <w:t xml:space="preserve"> the feedstocks and </w:t>
      </w:r>
      <w:r w:rsidR="007F0302">
        <w:t xml:space="preserve">the possible inclusion of new </w:t>
      </w:r>
      <w:r w:rsidR="00C73A24">
        <w:t>materials</w:t>
      </w:r>
      <w:r w:rsidR="007F0302">
        <w:t xml:space="preserve">. </w:t>
      </w:r>
      <w:r>
        <w:t>For lignocellulosic feedstock</w:t>
      </w:r>
      <w:r w:rsidR="2985B001">
        <w:t>,</w:t>
      </w:r>
      <w:r>
        <w:t xml:space="preserve"> a “cascading principle” is being considered, </w:t>
      </w:r>
      <w:r w:rsidR="443C7BAF">
        <w:t>i.e.,</w:t>
      </w:r>
      <w:r>
        <w:t xml:space="preserve"> if the feedstock </w:t>
      </w:r>
      <w:r w:rsidR="75DD768E">
        <w:t>is potentially useful</w:t>
      </w:r>
      <w:r>
        <w:t xml:space="preserve"> </w:t>
      </w:r>
      <w:r w:rsidR="7D348C34">
        <w:t>for purposes other than</w:t>
      </w:r>
      <w:r>
        <w:t xml:space="preserve"> </w:t>
      </w:r>
      <w:r w:rsidR="002C591F">
        <w:t>energy</w:t>
      </w:r>
      <w:r>
        <w:t xml:space="preserve"> applications, then</w:t>
      </w:r>
      <w:r w:rsidR="76CBBD7B">
        <w:t>,</w:t>
      </w:r>
      <w:r>
        <w:t xml:space="preserve"> </w:t>
      </w:r>
      <w:r w:rsidR="002C591F">
        <w:t xml:space="preserve">it might </w:t>
      </w:r>
      <w:r>
        <w:t xml:space="preserve">no longer </w:t>
      </w:r>
      <w:r w:rsidR="009A00E0">
        <w:t xml:space="preserve">be </w:t>
      </w:r>
      <w:r>
        <w:t xml:space="preserve">considered a residue.  Therefore, it is suggested </w:t>
      </w:r>
      <w:r w:rsidR="5C94100D">
        <w:t>a careful assessment</w:t>
      </w:r>
      <w:r>
        <w:t xml:space="preserve"> </w:t>
      </w:r>
      <w:r w:rsidR="12B55FAD">
        <w:t>of the</w:t>
      </w:r>
      <w:r>
        <w:t xml:space="preserve"> production processes</w:t>
      </w:r>
      <w:r w:rsidR="5D593E96">
        <w:t xml:space="preserve"> to </w:t>
      </w:r>
      <w:r w:rsidR="12175F18">
        <w:t>address this point.</w:t>
      </w:r>
      <w:r w:rsidR="009875C6">
        <w:t xml:space="preserve"> </w:t>
      </w:r>
      <w:r w:rsidR="007F0302">
        <w:rPr>
          <w:sz w:val="22"/>
          <w:szCs w:val="22"/>
          <w:lang w:val="en-GB"/>
        </w:rPr>
        <w:t>It is expected that by the end of th</w:t>
      </w:r>
      <w:r w:rsidR="009A00E0">
        <w:rPr>
          <w:sz w:val="22"/>
          <w:szCs w:val="22"/>
          <w:lang w:val="en-GB"/>
        </w:rPr>
        <w:t>is</w:t>
      </w:r>
      <w:r w:rsidR="007F0302">
        <w:rPr>
          <w:sz w:val="22"/>
          <w:szCs w:val="22"/>
          <w:lang w:val="en-GB"/>
        </w:rPr>
        <w:t xml:space="preserve"> year th</w:t>
      </w:r>
      <w:r w:rsidR="009A00E0">
        <w:rPr>
          <w:sz w:val="22"/>
          <w:szCs w:val="22"/>
          <w:lang w:val="en-GB"/>
        </w:rPr>
        <w:t>e revi</w:t>
      </w:r>
      <w:r w:rsidR="004E47B6">
        <w:rPr>
          <w:sz w:val="22"/>
          <w:szCs w:val="22"/>
          <w:lang w:val="en-GB"/>
        </w:rPr>
        <w:t>ewing</w:t>
      </w:r>
      <w:r w:rsidR="007F0302">
        <w:rPr>
          <w:sz w:val="22"/>
          <w:szCs w:val="22"/>
          <w:lang w:val="en-GB"/>
        </w:rPr>
        <w:t xml:space="preserve"> process </w:t>
      </w:r>
      <w:r w:rsidR="004E47B6">
        <w:rPr>
          <w:sz w:val="22"/>
          <w:szCs w:val="22"/>
          <w:lang w:val="en-GB"/>
        </w:rPr>
        <w:t>will be</w:t>
      </w:r>
      <w:r w:rsidR="007F0302">
        <w:rPr>
          <w:sz w:val="22"/>
          <w:szCs w:val="22"/>
          <w:lang w:val="en-GB"/>
        </w:rPr>
        <w:t xml:space="preserve"> finalised</w:t>
      </w:r>
      <w:r w:rsidR="00477468">
        <w:rPr>
          <w:sz w:val="22"/>
          <w:szCs w:val="22"/>
          <w:lang w:val="en-GB"/>
        </w:rPr>
        <w:t>,</w:t>
      </w:r>
    </w:p>
    <w:p w14:paraId="35CA415C" w14:textId="77777777" w:rsidR="0011416A" w:rsidRPr="005847E0"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847E0">
        <w:rPr>
          <w:rFonts w:asciiTheme="majorHAnsi" w:hAnsiTheme="majorHAnsi" w:cstheme="majorHAnsi"/>
          <w:b/>
          <w:bCs/>
          <w:color w:val="auto"/>
          <w:sz w:val="22"/>
          <w:szCs w:val="22"/>
        </w:rPr>
        <w:t xml:space="preserve">The </w:t>
      </w:r>
      <w:r>
        <w:rPr>
          <w:rFonts w:asciiTheme="majorHAnsi" w:hAnsiTheme="majorHAnsi" w:cstheme="majorHAnsi"/>
          <w:b/>
          <w:bCs/>
          <w:color w:val="auto"/>
          <w:sz w:val="22"/>
          <w:szCs w:val="22"/>
        </w:rPr>
        <w:t xml:space="preserve">introduction of the </w:t>
      </w:r>
      <w:r w:rsidRPr="005847E0">
        <w:rPr>
          <w:rFonts w:asciiTheme="majorHAnsi" w:hAnsiTheme="majorHAnsi" w:cstheme="majorHAnsi"/>
          <w:b/>
          <w:bCs/>
          <w:color w:val="auto"/>
          <w:sz w:val="22"/>
          <w:szCs w:val="22"/>
        </w:rPr>
        <w:t>Fuel EU Maritime Initiative</w:t>
      </w:r>
    </w:p>
    <w:p w14:paraId="2B3A30C1" w14:textId="4CF3B31D" w:rsidR="0011416A" w:rsidRDefault="08410017" w:rsidP="5937A937">
      <w:pPr>
        <w:spacing w:after="120" w:line="360" w:lineRule="auto"/>
        <w:ind w:firstLine="540"/>
        <w:rPr>
          <w:rFonts w:asciiTheme="majorHAnsi" w:hAnsiTheme="majorHAnsi" w:cstheme="majorBidi"/>
          <w:color w:val="auto"/>
          <w:sz w:val="22"/>
          <w:szCs w:val="22"/>
        </w:rPr>
      </w:pPr>
      <w:r w:rsidRPr="59587566">
        <w:rPr>
          <w:rFonts w:asciiTheme="majorHAnsi" w:hAnsiTheme="majorHAnsi" w:cstheme="majorBidi"/>
          <w:color w:val="auto"/>
          <w:sz w:val="22"/>
          <w:szCs w:val="22"/>
        </w:rPr>
        <w:t>It aims to decarbonize the shipping industry by ramping up the use and production of renewable and low carbon maritime fuels</w:t>
      </w:r>
      <w:r w:rsidR="000F4A5B">
        <w:rPr>
          <w:rFonts w:asciiTheme="majorHAnsi" w:hAnsiTheme="majorHAnsi" w:cstheme="majorBidi"/>
          <w:color w:val="auto"/>
          <w:sz w:val="22"/>
          <w:szCs w:val="22"/>
        </w:rPr>
        <w:t xml:space="preserve"> </w:t>
      </w:r>
      <w:r w:rsidR="009B4880" w:rsidRPr="009B4880">
        <w:rPr>
          <w:rFonts w:asciiTheme="majorHAnsi" w:hAnsiTheme="majorHAnsi" w:cstheme="majorBidi"/>
          <w:color w:val="auto"/>
          <w:sz w:val="22"/>
          <w:szCs w:val="22"/>
        </w:rPr>
        <w:t>through successively increasing GHG intensity reduction targets for ships. GHG emission factors of renewable biofuels meeting the sustainability and GHG saving criteria of RED II shall be determined according to the methodologies set out in RED II, whereas biofuels which do</w:t>
      </w:r>
      <w:r w:rsidR="009B4880">
        <w:rPr>
          <w:rFonts w:asciiTheme="majorHAnsi" w:hAnsiTheme="majorHAnsi" w:cstheme="majorBidi"/>
          <w:color w:val="auto"/>
          <w:sz w:val="22"/>
          <w:szCs w:val="22"/>
        </w:rPr>
        <w:t xml:space="preserve"> no</w:t>
      </w:r>
      <w:r w:rsidR="009B4880" w:rsidRPr="009B4880">
        <w:rPr>
          <w:rFonts w:asciiTheme="majorHAnsi" w:hAnsiTheme="majorHAnsi" w:cstheme="majorBidi"/>
          <w:color w:val="auto"/>
          <w:sz w:val="22"/>
          <w:szCs w:val="22"/>
        </w:rPr>
        <w:t xml:space="preserve">t meet those criteria shall be considered to have the same emission factors as the least </w:t>
      </w:r>
      <w:r w:rsidR="00800CAC" w:rsidRPr="009B4880">
        <w:rPr>
          <w:rFonts w:asciiTheme="majorHAnsi" w:hAnsiTheme="majorHAnsi" w:cstheme="majorBidi"/>
          <w:color w:val="auto"/>
          <w:sz w:val="22"/>
          <w:szCs w:val="22"/>
        </w:rPr>
        <w:t>favorable</w:t>
      </w:r>
      <w:r w:rsidR="009B4880" w:rsidRPr="009B4880">
        <w:rPr>
          <w:rFonts w:asciiTheme="majorHAnsi" w:hAnsiTheme="majorHAnsi" w:cstheme="majorBidi"/>
          <w:color w:val="auto"/>
          <w:sz w:val="22"/>
          <w:szCs w:val="22"/>
        </w:rPr>
        <w:t xml:space="preserve"> fossil fuel pathway for this type of fuel</w:t>
      </w:r>
      <w:r w:rsidRPr="59587566">
        <w:rPr>
          <w:rFonts w:asciiTheme="majorHAnsi" w:hAnsiTheme="majorHAnsi" w:cstheme="majorBidi"/>
          <w:color w:val="auto"/>
          <w:sz w:val="22"/>
          <w:szCs w:val="22"/>
        </w:rPr>
        <w:t xml:space="preserve">. </w:t>
      </w:r>
      <w:r w:rsidR="006569ED">
        <w:rPr>
          <w:rStyle w:val="normaltextrun"/>
          <w:rFonts w:cs="Calibri"/>
          <w:color w:val="000000"/>
          <w:sz w:val="22"/>
          <w:szCs w:val="22"/>
          <w:shd w:val="clear" w:color="auto" w:fill="FFFFFF"/>
        </w:rPr>
        <w:t>The target group of this initiative are ship owners (&gt;5000 gross tonnage). It has a pool compliance approach, in other words, the reduction is not expected for every ship, but for the fleet.</w:t>
      </w:r>
      <w:r w:rsidRPr="59587566">
        <w:rPr>
          <w:rFonts w:asciiTheme="majorHAnsi" w:hAnsiTheme="majorHAnsi" w:cstheme="majorBidi"/>
          <w:color w:val="auto"/>
          <w:sz w:val="22"/>
          <w:szCs w:val="22"/>
        </w:rPr>
        <w:t xml:space="preserve"> It </w:t>
      </w:r>
      <w:r w:rsidR="076B8AF6" w:rsidRPr="59587566">
        <w:rPr>
          <w:rFonts w:asciiTheme="majorHAnsi" w:hAnsiTheme="majorHAnsi" w:cstheme="majorBidi"/>
          <w:color w:val="auto"/>
          <w:sz w:val="22"/>
          <w:szCs w:val="22"/>
        </w:rPr>
        <w:t xml:space="preserve">promotes a progressive reduction in GHG emissions, </w:t>
      </w:r>
      <w:r w:rsidRPr="59587566">
        <w:rPr>
          <w:rFonts w:asciiTheme="majorHAnsi" w:hAnsiTheme="majorHAnsi" w:cstheme="majorBidi"/>
          <w:color w:val="auto"/>
          <w:sz w:val="22"/>
          <w:szCs w:val="22"/>
        </w:rPr>
        <w:t>starting with 2</w:t>
      </w:r>
      <w:r w:rsidR="622025F2" w:rsidRPr="59587566">
        <w:rPr>
          <w:rFonts w:asciiTheme="majorHAnsi" w:hAnsiTheme="majorHAnsi" w:cstheme="majorBidi"/>
          <w:color w:val="auto"/>
          <w:sz w:val="22"/>
          <w:szCs w:val="22"/>
        </w:rPr>
        <w:t xml:space="preserve"> </w:t>
      </w:r>
      <w:r w:rsidRPr="59587566">
        <w:rPr>
          <w:rFonts w:asciiTheme="majorHAnsi" w:hAnsiTheme="majorHAnsi" w:cstheme="majorBidi"/>
          <w:color w:val="auto"/>
          <w:sz w:val="22"/>
          <w:szCs w:val="22"/>
        </w:rPr>
        <w:t xml:space="preserve">% </w:t>
      </w:r>
      <w:r w:rsidR="02DAC64A" w:rsidRPr="59587566">
        <w:rPr>
          <w:rFonts w:asciiTheme="majorHAnsi" w:hAnsiTheme="majorHAnsi" w:cstheme="majorBidi"/>
          <w:color w:val="auto"/>
          <w:sz w:val="22"/>
          <w:szCs w:val="22"/>
        </w:rPr>
        <w:t>by</w:t>
      </w:r>
      <w:r w:rsidRPr="59587566">
        <w:rPr>
          <w:rFonts w:asciiTheme="majorHAnsi" w:hAnsiTheme="majorHAnsi" w:cstheme="majorBidi"/>
          <w:color w:val="auto"/>
          <w:sz w:val="22"/>
          <w:szCs w:val="22"/>
        </w:rPr>
        <w:t xml:space="preserve"> 2025, </w:t>
      </w:r>
      <w:r w:rsidR="34B410FD" w:rsidRPr="59587566">
        <w:rPr>
          <w:rFonts w:asciiTheme="majorHAnsi" w:hAnsiTheme="majorHAnsi" w:cstheme="majorBidi"/>
          <w:color w:val="auto"/>
          <w:sz w:val="22"/>
          <w:szCs w:val="22"/>
        </w:rPr>
        <w:t>increasing to</w:t>
      </w:r>
      <w:r w:rsidRPr="59587566">
        <w:rPr>
          <w:rFonts w:asciiTheme="majorHAnsi" w:hAnsiTheme="majorHAnsi" w:cstheme="majorBidi"/>
          <w:color w:val="auto"/>
          <w:sz w:val="22"/>
          <w:szCs w:val="22"/>
        </w:rPr>
        <w:t xml:space="preserve"> 75</w:t>
      </w:r>
      <w:r w:rsidR="1D5DAB88" w:rsidRPr="59587566">
        <w:rPr>
          <w:rFonts w:asciiTheme="majorHAnsi" w:hAnsiTheme="majorHAnsi" w:cstheme="majorBidi"/>
          <w:color w:val="auto"/>
          <w:sz w:val="22"/>
          <w:szCs w:val="22"/>
        </w:rPr>
        <w:t xml:space="preserve"> % by</w:t>
      </w:r>
      <w:r w:rsidRPr="59587566">
        <w:rPr>
          <w:rFonts w:asciiTheme="majorHAnsi" w:hAnsiTheme="majorHAnsi" w:cstheme="majorBidi"/>
          <w:color w:val="auto"/>
          <w:sz w:val="22"/>
          <w:szCs w:val="22"/>
        </w:rPr>
        <w:t xml:space="preserve"> 2050. </w:t>
      </w:r>
    </w:p>
    <w:p w14:paraId="39EA4B82" w14:textId="0B411ADD" w:rsidR="0011416A" w:rsidRDefault="08410017" w:rsidP="002C591F">
      <w:pPr>
        <w:spacing w:after="120" w:line="360" w:lineRule="auto"/>
        <w:ind w:firstLine="540"/>
        <w:rPr>
          <w:rFonts w:asciiTheme="majorHAnsi" w:hAnsiTheme="majorHAnsi" w:cstheme="majorBidi"/>
          <w:color w:val="auto"/>
          <w:sz w:val="22"/>
          <w:szCs w:val="22"/>
        </w:rPr>
      </w:pPr>
      <w:r w:rsidRPr="5937A937">
        <w:rPr>
          <w:rFonts w:asciiTheme="majorHAnsi" w:hAnsiTheme="majorHAnsi" w:cstheme="majorBidi"/>
          <w:color w:val="auto"/>
          <w:sz w:val="22"/>
          <w:szCs w:val="22"/>
        </w:rPr>
        <w:t xml:space="preserve">In order to comply with this </w:t>
      </w:r>
      <w:r w:rsidR="263E6C24" w:rsidRPr="5937A937">
        <w:rPr>
          <w:rFonts w:asciiTheme="majorHAnsi" w:hAnsiTheme="majorHAnsi" w:cstheme="majorBidi"/>
          <w:color w:val="auto"/>
          <w:sz w:val="22"/>
          <w:szCs w:val="22"/>
        </w:rPr>
        <w:t>regulation,</w:t>
      </w:r>
      <w:r w:rsidRPr="5937A937">
        <w:rPr>
          <w:rFonts w:asciiTheme="majorHAnsi" w:hAnsiTheme="majorHAnsi" w:cstheme="majorBidi"/>
          <w:color w:val="auto"/>
          <w:sz w:val="22"/>
          <w:szCs w:val="22"/>
        </w:rPr>
        <w:t xml:space="preserve"> the Bio-HFO from IDEALFUEL will have to be certified according to the Directive (EU) 2018/2001.</w:t>
      </w:r>
      <w:r w:rsidR="001E71C5">
        <w:rPr>
          <w:rFonts w:asciiTheme="majorHAnsi" w:hAnsiTheme="majorHAnsi" w:cstheme="majorBidi"/>
          <w:color w:val="auto"/>
          <w:sz w:val="22"/>
          <w:szCs w:val="22"/>
        </w:rPr>
        <w:t xml:space="preserve"> </w:t>
      </w:r>
      <w:r w:rsidR="00F84AA8">
        <w:rPr>
          <w:rFonts w:asciiTheme="majorHAnsi" w:hAnsiTheme="majorHAnsi" w:cstheme="majorBidi"/>
          <w:color w:val="auto"/>
          <w:sz w:val="22"/>
          <w:szCs w:val="22"/>
        </w:rPr>
        <w:t xml:space="preserve"> </w:t>
      </w:r>
      <w:r w:rsidR="0039418C">
        <w:rPr>
          <w:rFonts w:asciiTheme="majorHAnsi" w:hAnsiTheme="majorHAnsi" w:cstheme="majorBidi"/>
          <w:color w:val="auto"/>
          <w:sz w:val="22"/>
          <w:szCs w:val="22"/>
        </w:rPr>
        <w:t xml:space="preserve">GHG emission reduction are the main focus to consider in this case; however, this is coupled with the </w:t>
      </w:r>
      <w:r w:rsidR="00F979B0">
        <w:rPr>
          <w:rFonts w:asciiTheme="majorHAnsi" w:hAnsiTheme="majorHAnsi" w:cstheme="majorBidi"/>
          <w:color w:val="auto"/>
          <w:sz w:val="22"/>
          <w:szCs w:val="22"/>
        </w:rPr>
        <w:t>capacity for blending of the Bio-HFO.</w:t>
      </w:r>
      <w:r w:rsidR="0039418C">
        <w:rPr>
          <w:rFonts w:asciiTheme="majorHAnsi" w:hAnsiTheme="majorHAnsi" w:cstheme="majorBidi"/>
          <w:color w:val="auto"/>
          <w:sz w:val="22"/>
          <w:szCs w:val="22"/>
        </w:rPr>
        <w:t xml:space="preserve"> </w:t>
      </w:r>
    </w:p>
    <w:p w14:paraId="5E0FD91C" w14:textId="77777777" w:rsidR="0011416A" w:rsidRPr="005752AC"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752AC">
        <w:rPr>
          <w:rFonts w:asciiTheme="majorHAnsi" w:hAnsiTheme="majorHAnsi" w:cstheme="majorHAnsi"/>
          <w:b/>
          <w:bCs/>
          <w:color w:val="auto"/>
          <w:sz w:val="22"/>
          <w:szCs w:val="22"/>
        </w:rPr>
        <w:t xml:space="preserve">The revision of the Alternative Fuels Infrastructure Directive </w:t>
      </w:r>
    </w:p>
    <w:p w14:paraId="2108FB17" w14:textId="2B0FD4F0" w:rsidR="0011416A" w:rsidRDefault="08410017" w:rsidP="004216E0">
      <w:pPr>
        <w:spacing w:after="120" w:line="360" w:lineRule="auto"/>
        <w:ind w:firstLine="540"/>
        <w:rPr>
          <w:rFonts w:asciiTheme="majorHAnsi" w:hAnsiTheme="majorHAnsi" w:cstheme="majorBidi"/>
          <w:color w:val="auto"/>
          <w:sz w:val="22"/>
          <w:szCs w:val="22"/>
        </w:rPr>
      </w:pPr>
      <w:r w:rsidRPr="5937A937">
        <w:rPr>
          <w:rFonts w:asciiTheme="majorHAnsi" w:hAnsiTheme="majorHAnsi" w:cstheme="majorBidi"/>
          <w:color w:val="auto"/>
          <w:sz w:val="22"/>
          <w:szCs w:val="22"/>
        </w:rPr>
        <w:lastRenderedPageBreak/>
        <w:t>It aims to improve the development of</w:t>
      </w:r>
      <w:r w:rsidR="1B0F8561" w:rsidRPr="5937A937">
        <w:rPr>
          <w:rFonts w:asciiTheme="majorHAnsi" w:hAnsiTheme="majorHAnsi" w:cstheme="majorBidi"/>
          <w:color w:val="auto"/>
          <w:sz w:val="22"/>
          <w:szCs w:val="22"/>
        </w:rPr>
        <w:t xml:space="preserve"> the</w:t>
      </w:r>
      <w:r w:rsidRPr="5937A937">
        <w:rPr>
          <w:rFonts w:asciiTheme="majorHAnsi" w:hAnsiTheme="majorHAnsi" w:cstheme="majorBidi"/>
          <w:color w:val="auto"/>
          <w:sz w:val="22"/>
          <w:szCs w:val="22"/>
        </w:rPr>
        <w:t xml:space="preserve"> infrastructure </w:t>
      </w:r>
      <w:r w:rsidR="6EC566DF" w:rsidRPr="5937A937">
        <w:rPr>
          <w:rFonts w:asciiTheme="majorHAnsi" w:hAnsiTheme="majorHAnsi" w:cstheme="majorBidi"/>
          <w:color w:val="auto"/>
          <w:sz w:val="22"/>
          <w:szCs w:val="22"/>
        </w:rPr>
        <w:t>needed for</w:t>
      </w:r>
      <w:r w:rsidRPr="5937A937">
        <w:rPr>
          <w:rFonts w:asciiTheme="majorHAnsi" w:hAnsiTheme="majorHAnsi" w:cstheme="majorBidi"/>
          <w:color w:val="auto"/>
          <w:sz w:val="22"/>
          <w:szCs w:val="22"/>
        </w:rPr>
        <w:t xml:space="preserve"> renewable and low carbon fuels. It is necessary to review what developments are</w:t>
      </w:r>
      <w:r w:rsidR="00AD3902">
        <w:rPr>
          <w:rFonts w:asciiTheme="majorHAnsi" w:hAnsiTheme="majorHAnsi" w:cstheme="majorBidi"/>
          <w:color w:val="auto"/>
          <w:sz w:val="22"/>
          <w:szCs w:val="22"/>
        </w:rPr>
        <w:t xml:space="preserve"> </w:t>
      </w:r>
      <w:r w:rsidR="004216E0">
        <w:rPr>
          <w:rFonts w:asciiTheme="majorHAnsi" w:hAnsiTheme="majorHAnsi" w:cstheme="majorBidi"/>
          <w:color w:val="auto"/>
          <w:sz w:val="22"/>
          <w:szCs w:val="22"/>
        </w:rPr>
        <w:t>being</w:t>
      </w:r>
      <w:r w:rsidRPr="5937A937">
        <w:rPr>
          <w:rFonts w:asciiTheme="majorHAnsi" w:hAnsiTheme="majorHAnsi" w:cstheme="majorBidi"/>
          <w:color w:val="auto"/>
          <w:sz w:val="22"/>
          <w:szCs w:val="22"/>
        </w:rPr>
        <w:t xml:space="preserve"> considered and how they can be applied for IDEALFUEL’s Bio-HFO infrastructure</w:t>
      </w:r>
      <w:r w:rsidR="004216E0">
        <w:rPr>
          <w:rFonts w:asciiTheme="majorHAnsi" w:hAnsiTheme="majorHAnsi" w:cstheme="majorBidi"/>
          <w:color w:val="auto"/>
          <w:sz w:val="22"/>
          <w:szCs w:val="22"/>
        </w:rPr>
        <w:t xml:space="preserve"> needs</w:t>
      </w:r>
      <w:r w:rsidRPr="5937A937">
        <w:rPr>
          <w:rFonts w:asciiTheme="majorHAnsi" w:hAnsiTheme="majorHAnsi" w:cstheme="majorBidi"/>
          <w:color w:val="auto"/>
          <w:sz w:val="22"/>
          <w:szCs w:val="22"/>
        </w:rPr>
        <w:t>.</w:t>
      </w:r>
    </w:p>
    <w:p w14:paraId="709554C1" w14:textId="77777777" w:rsidR="0011416A" w:rsidRPr="005752AC"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752AC">
        <w:rPr>
          <w:rFonts w:asciiTheme="majorHAnsi" w:hAnsiTheme="majorHAnsi" w:cstheme="majorHAnsi"/>
          <w:b/>
          <w:bCs/>
          <w:color w:val="auto"/>
          <w:sz w:val="22"/>
          <w:szCs w:val="22"/>
        </w:rPr>
        <w:t>The gradual inclusion into the EU Emissions Trading System</w:t>
      </w:r>
    </w:p>
    <w:p w14:paraId="2BE1612E" w14:textId="6F7D2C46" w:rsidR="0011416A" w:rsidRDefault="08410017" w:rsidP="5937A937">
      <w:pPr>
        <w:pStyle w:val="ListParagraph"/>
        <w:spacing w:after="120" w:line="360" w:lineRule="auto"/>
        <w:ind w:left="0" w:firstLine="540"/>
        <w:rPr>
          <w:color w:val="auto"/>
          <w:sz w:val="22"/>
          <w:szCs w:val="22"/>
          <w:lang w:val="en-GB"/>
        </w:rPr>
      </w:pPr>
      <w:r w:rsidRPr="59587566">
        <w:rPr>
          <w:sz w:val="22"/>
          <w:szCs w:val="22"/>
          <w:lang w:val="en-GB"/>
        </w:rPr>
        <w:t xml:space="preserve">The EU Emission Trading System (EU-ETS) is a policy instrument used to make the reduction of GHG emissions cost-effective. Nowadays, it is implemented in all </w:t>
      </w:r>
      <w:r w:rsidRPr="59587566">
        <w:rPr>
          <w:color w:val="auto"/>
          <w:sz w:val="22"/>
          <w:szCs w:val="22"/>
          <w:lang w:val="en-GB"/>
        </w:rPr>
        <w:t xml:space="preserve">EU countries </w:t>
      </w:r>
      <w:r w:rsidR="7CBE4B49" w:rsidRPr="59587566">
        <w:rPr>
          <w:color w:val="auto"/>
          <w:sz w:val="22"/>
          <w:szCs w:val="22"/>
          <w:lang w:val="en-GB"/>
        </w:rPr>
        <w:t>and EEA</w:t>
      </w:r>
      <w:r w:rsidRPr="59587566">
        <w:rPr>
          <w:color w:val="auto"/>
          <w:sz w:val="22"/>
          <w:szCs w:val="22"/>
          <w:lang w:val="en-GB"/>
        </w:rPr>
        <w:t>-EFTA states (Iceland, Liechtenstein and Norway)</w:t>
      </w:r>
      <w:r w:rsidR="55FCE5DF" w:rsidRPr="59587566">
        <w:rPr>
          <w:color w:val="auto"/>
          <w:sz w:val="22"/>
          <w:szCs w:val="22"/>
          <w:lang w:val="en-GB"/>
        </w:rPr>
        <w:t>, covering</w:t>
      </w:r>
      <w:r w:rsidRPr="59587566">
        <w:rPr>
          <w:color w:val="auto"/>
          <w:sz w:val="22"/>
          <w:szCs w:val="22"/>
          <w:lang w:val="en-GB"/>
        </w:rPr>
        <w:t xml:space="preserve"> around 40% of EU GHG emissions </w:t>
      </w:r>
      <w:r w:rsidR="0011416A" w:rsidRPr="59587566">
        <w:rPr>
          <w:color w:val="auto"/>
          <w:sz w:val="22"/>
          <w:szCs w:val="22"/>
          <w:lang w:val="en-GB"/>
        </w:rPr>
        <w:fldChar w:fldCharType="begin" w:fldLock="1"/>
      </w:r>
      <w:r w:rsidR="0011416A" w:rsidRPr="59587566">
        <w:rPr>
          <w:color w:val="auto"/>
          <w:sz w:val="22"/>
          <w:szCs w:val="22"/>
          <w:lang w:val="en-GB"/>
        </w:rPr>
        <w:instrText>ADDIN CSL_CITATION {"citationItems":[{"id":"ITEM-1","itemData":{"URL":"https://ec.europa.eu/clima/policies/ets_en","accessed":{"date-parts":[["2021","9","13"]]},"author":[{"dropping-particle":"","family":"European Commission","given":"","non-dropping-particle":"","parse-names":false,"suffix":""}],"id":"ITEM-1","issued":{"date-parts":[["0"]]},"title":"EU Emissions Trading System (EU ETS)","type":"webpage"},"uris":["http://www.mendeley.com/documents/?uuid=d2fe12c7-6eb6-4fc8-a119-d5d66d715bb4"]}],"mendeley":{"formattedCitation":"(European Commission, n.d.)","plainTextFormattedCitation":"(European Commission, n.d.)","previouslyFormattedCitation":"(European Commission, n.d.)"},"properties":{"noteIndex":0},"schema":"https://github.com/citation-style-language/schema/raw/master/csl-citation.json"}</w:instrText>
      </w:r>
      <w:r w:rsidR="0011416A" w:rsidRPr="59587566">
        <w:rPr>
          <w:color w:val="auto"/>
          <w:sz w:val="22"/>
          <w:szCs w:val="22"/>
          <w:lang w:val="en-GB"/>
        </w:rPr>
        <w:fldChar w:fldCharType="separate"/>
      </w:r>
      <w:r w:rsidRPr="59587566">
        <w:rPr>
          <w:noProof/>
          <w:color w:val="auto"/>
          <w:sz w:val="22"/>
          <w:szCs w:val="22"/>
          <w:lang w:val="en-GB"/>
        </w:rPr>
        <w:t>(European Commission, n.d.)</w:t>
      </w:r>
      <w:r w:rsidR="0011416A" w:rsidRPr="59587566">
        <w:rPr>
          <w:color w:val="auto"/>
          <w:sz w:val="22"/>
          <w:szCs w:val="22"/>
          <w:lang w:val="en-GB"/>
        </w:rPr>
        <w:fldChar w:fldCharType="end"/>
      </w:r>
      <w:r w:rsidRPr="59587566">
        <w:rPr>
          <w:color w:val="auto"/>
          <w:sz w:val="22"/>
          <w:szCs w:val="22"/>
          <w:lang w:val="en-GB"/>
        </w:rPr>
        <w:t xml:space="preserve">. It creates financial incentives to reduce emissions trough a “cap and trade” system. The cap establishes a limit to the total amount of </w:t>
      </w:r>
      <w:r w:rsidR="0018643C">
        <w:rPr>
          <w:color w:val="auto"/>
          <w:sz w:val="22"/>
          <w:szCs w:val="22"/>
          <w:lang w:val="en-GB"/>
        </w:rPr>
        <w:t>c</w:t>
      </w:r>
      <w:r w:rsidRPr="59587566">
        <w:rPr>
          <w:color w:val="auto"/>
          <w:sz w:val="22"/>
          <w:szCs w:val="22"/>
          <w:lang w:val="en-GB"/>
        </w:rPr>
        <w:t>arbon Dioxide (CO</w:t>
      </w:r>
      <w:r w:rsidRPr="59587566">
        <w:rPr>
          <w:color w:val="auto"/>
          <w:sz w:val="22"/>
          <w:szCs w:val="22"/>
          <w:vertAlign w:val="subscript"/>
          <w:lang w:val="en-GB"/>
        </w:rPr>
        <w:t>2</w:t>
      </w:r>
      <w:r w:rsidRPr="59587566">
        <w:rPr>
          <w:color w:val="auto"/>
          <w:sz w:val="22"/>
          <w:szCs w:val="22"/>
          <w:lang w:val="en-GB"/>
        </w:rPr>
        <w:t xml:space="preserve">), </w:t>
      </w:r>
      <w:r w:rsidR="00FB486E">
        <w:rPr>
          <w:color w:val="auto"/>
          <w:sz w:val="22"/>
          <w:szCs w:val="22"/>
          <w:lang w:val="en-GB"/>
        </w:rPr>
        <w:t>n</w:t>
      </w:r>
      <w:r w:rsidRPr="59587566">
        <w:rPr>
          <w:color w:val="auto"/>
          <w:sz w:val="22"/>
          <w:szCs w:val="22"/>
          <w:lang w:val="en-GB"/>
        </w:rPr>
        <w:t xml:space="preserve">itrous </w:t>
      </w:r>
      <w:r w:rsidR="00FB486E">
        <w:rPr>
          <w:color w:val="auto"/>
          <w:sz w:val="22"/>
          <w:szCs w:val="22"/>
          <w:lang w:val="en-GB"/>
        </w:rPr>
        <w:t>o</w:t>
      </w:r>
      <w:r w:rsidRPr="59587566">
        <w:rPr>
          <w:color w:val="auto"/>
          <w:sz w:val="22"/>
          <w:szCs w:val="22"/>
          <w:lang w:val="en-GB"/>
        </w:rPr>
        <w:t>xide (N</w:t>
      </w:r>
      <w:r w:rsidRPr="59587566">
        <w:rPr>
          <w:color w:val="auto"/>
          <w:sz w:val="22"/>
          <w:szCs w:val="22"/>
          <w:vertAlign w:val="subscript"/>
          <w:lang w:val="en-GB"/>
        </w:rPr>
        <w:t>2</w:t>
      </w:r>
      <w:r w:rsidRPr="59587566">
        <w:rPr>
          <w:color w:val="auto"/>
          <w:sz w:val="22"/>
          <w:szCs w:val="22"/>
          <w:lang w:val="en-GB"/>
        </w:rPr>
        <w:t xml:space="preserve">O) and </w:t>
      </w:r>
      <w:r w:rsidR="00FB486E">
        <w:rPr>
          <w:color w:val="auto"/>
          <w:sz w:val="22"/>
          <w:szCs w:val="22"/>
          <w:lang w:val="en-GB"/>
        </w:rPr>
        <w:t>p</w:t>
      </w:r>
      <w:r w:rsidRPr="59587566">
        <w:rPr>
          <w:color w:val="auto"/>
          <w:sz w:val="22"/>
          <w:szCs w:val="22"/>
          <w:lang w:val="en-GB"/>
        </w:rPr>
        <w:t xml:space="preserve">erfluorocarbons (PFCs) that can be emitted. Over time this cap is </w:t>
      </w:r>
      <w:r w:rsidR="009C14CE">
        <w:rPr>
          <w:color w:val="auto"/>
          <w:sz w:val="22"/>
          <w:szCs w:val="22"/>
          <w:lang w:val="en-GB"/>
        </w:rPr>
        <w:t xml:space="preserve">going to be </w:t>
      </w:r>
      <w:r w:rsidRPr="59587566">
        <w:rPr>
          <w:color w:val="auto"/>
          <w:sz w:val="22"/>
          <w:szCs w:val="22"/>
          <w:lang w:val="en-GB"/>
        </w:rPr>
        <w:t>reduced</w:t>
      </w:r>
      <w:r w:rsidR="009C14CE">
        <w:rPr>
          <w:color w:val="auto"/>
          <w:sz w:val="22"/>
          <w:szCs w:val="22"/>
          <w:lang w:val="en-GB"/>
        </w:rPr>
        <w:t xml:space="preserve"> </w:t>
      </w:r>
      <w:r w:rsidR="0011416A" w:rsidRPr="59587566">
        <w:rPr>
          <w:color w:val="auto"/>
          <w:sz w:val="22"/>
          <w:szCs w:val="22"/>
          <w:lang w:val="en-GB"/>
        </w:rPr>
        <w:fldChar w:fldCharType="begin" w:fldLock="1"/>
      </w:r>
      <w:r w:rsidR="0011416A" w:rsidRPr="59587566">
        <w:rPr>
          <w:color w:val="auto"/>
          <w:sz w:val="22"/>
          <w:szCs w:val="22"/>
          <w:lang w:val="en-GB"/>
        </w:rPr>
        <w:instrText>ADDIN CSL_CITATION {"citationItems":[{"id":"ITEM-1","itemData":{"URL":"https://ec.europa.eu/clima/policies/ets_en","accessed":{"date-parts":[["2021","9","13"]]},"author":[{"dropping-particle":"","family":"European Commission","given":"","non-dropping-particle":"","parse-names":false,"suffix":""}],"id":"ITEM-1","issued":{"date-parts":[["0"]]},"title":"EU Emissions Trading System (EU ETS)","type":"webpage"},"uris":["http://www.mendeley.com/documents/?uuid=d2fe12c7-6eb6-4fc8-a119-d5d66d715bb4"]}],"mendeley":{"formattedCitation":"(European Commission, n.d.)","plainTextFormattedCitation":"(European Commission, n.d.)","previouslyFormattedCitation":"(European Commission, n.d.)"},"properties":{"noteIndex":0},"schema":"https://github.com/citation-style-language/schema/raw/master/csl-citation.json"}</w:instrText>
      </w:r>
      <w:r w:rsidR="0011416A" w:rsidRPr="59587566">
        <w:rPr>
          <w:color w:val="auto"/>
          <w:sz w:val="22"/>
          <w:szCs w:val="22"/>
          <w:lang w:val="en-GB"/>
        </w:rPr>
        <w:fldChar w:fldCharType="separate"/>
      </w:r>
      <w:r w:rsidRPr="59587566">
        <w:rPr>
          <w:noProof/>
          <w:color w:val="auto"/>
          <w:sz w:val="22"/>
          <w:szCs w:val="22"/>
          <w:lang w:val="en-GB"/>
        </w:rPr>
        <w:t>(European Commission, n.d.)</w:t>
      </w:r>
      <w:r w:rsidR="0011416A" w:rsidRPr="59587566">
        <w:rPr>
          <w:color w:val="auto"/>
          <w:sz w:val="22"/>
          <w:szCs w:val="22"/>
          <w:lang w:val="en-GB"/>
        </w:rPr>
        <w:fldChar w:fldCharType="end"/>
      </w:r>
      <w:r w:rsidRPr="59587566">
        <w:rPr>
          <w:color w:val="auto"/>
          <w:sz w:val="22"/>
          <w:szCs w:val="22"/>
          <w:lang w:val="en-GB"/>
        </w:rPr>
        <w:t xml:space="preserve">. </w:t>
      </w:r>
    </w:p>
    <w:p w14:paraId="17A3DB6E" w14:textId="5D01A209" w:rsidR="0011416A" w:rsidRPr="00F96F13" w:rsidRDefault="08410017" w:rsidP="5937A937">
      <w:pPr>
        <w:pStyle w:val="ListParagraph"/>
        <w:spacing w:after="120" w:line="360" w:lineRule="auto"/>
        <w:ind w:left="0" w:firstLine="540"/>
        <w:rPr>
          <w:rFonts w:asciiTheme="majorHAnsi" w:hAnsiTheme="majorHAnsi" w:cstheme="majorBidi"/>
          <w:color w:val="auto"/>
          <w:sz w:val="22"/>
          <w:szCs w:val="22"/>
        </w:rPr>
      </w:pPr>
      <w:r w:rsidRPr="5937A937">
        <w:rPr>
          <w:color w:val="auto"/>
          <w:sz w:val="22"/>
          <w:szCs w:val="22"/>
          <w:lang w:val="en-GB"/>
        </w:rPr>
        <w:t xml:space="preserve">Fit for 55 foresees the gradual inclusion of the maritime sector into the EU-ETS starting in 2023. </w:t>
      </w:r>
      <w:r w:rsidRPr="5937A937">
        <w:rPr>
          <w:rFonts w:asciiTheme="majorHAnsi" w:hAnsiTheme="majorHAnsi" w:cstheme="majorBidi"/>
          <w:color w:val="auto"/>
          <w:sz w:val="22"/>
          <w:szCs w:val="22"/>
        </w:rPr>
        <w:t>A cap will be set to the maritime GHG emissions.</w:t>
      </w:r>
      <w:r>
        <w:t xml:space="preserve"> </w:t>
      </w:r>
      <w:r w:rsidR="28D2D249">
        <w:t>The i</w:t>
      </w:r>
      <w:r w:rsidRPr="5937A937">
        <w:rPr>
          <w:rFonts w:asciiTheme="majorHAnsi" w:hAnsiTheme="majorHAnsi" w:cstheme="majorBidi"/>
          <w:color w:val="auto"/>
          <w:sz w:val="22"/>
          <w:szCs w:val="22"/>
        </w:rPr>
        <w:t>nclu</w:t>
      </w:r>
      <w:r w:rsidR="18534EB9" w:rsidRPr="5937A937">
        <w:rPr>
          <w:rFonts w:asciiTheme="majorHAnsi" w:hAnsiTheme="majorHAnsi" w:cstheme="majorBidi"/>
          <w:color w:val="auto"/>
          <w:sz w:val="22"/>
          <w:szCs w:val="22"/>
        </w:rPr>
        <w:t>sion</w:t>
      </w:r>
      <w:r w:rsidRPr="5937A937">
        <w:rPr>
          <w:rFonts w:asciiTheme="majorHAnsi" w:hAnsiTheme="majorHAnsi" w:cstheme="majorBidi"/>
          <w:color w:val="auto"/>
          <w:sz w:val="22"/>
          <w:szCs w:val="22"/>
        </w:rPr>
        <w:t xml:space="preserve"> </w:t>
      </w:r>
      <w:r w:rsidR="70C15238" w:rsidRPr="5937A937">
        <w:rPr>
          <w:rFonts w:asciiTheme="majorHAnsi" w:hAnsiTheme="majorHAnsi" w:cstheme="majorBidi"/>
          <w:color w:val="auto"/>
          <w:sz w:val="22"/>
          <w:szCs w:val="22"/>
        </w:rPr>
        <w:t xml:space="preserve">of </w:t>
      </w:r>
      <w:r w:rsidRPr="5937A937">
        <w:rPr>
          <w:rFonts w:asciiTheme="majorHAnsi" w:hAnsiTheme="majorHAnsi" w:cstheme="majorBidi"/>
          <w:color w:val="auto"/>
          <w:sz w:val="22"/>
          <w:szCs w:val="22"/>
        </w:rPr>
        <w:t xml:space="preserve">maritime sector in the ETS </w:t>
      </w:r>
      <w:r w:rsidR="076BDFA5" w:rsidRPr="5937A937">
        <w:rPr>
          <w:rFonts w:asciiTheme="majorHAnsi" w:hAnsiTheme="majorHAnsi" w:cstheme="majorBidi"/>
          <w:color w:val="auto"/>
          <w:sz w:val="22"/>
          <w:szCs w:val="22"/>
        </w:rPr>
        <w:t>means</w:t>
      </w:r>
      <w:r w:rsidRPr="5937A937">
        <w:rPr>
          <w:rFonts w:asciiTheme="majorHAnsi" w:hAnsiTheme="majorHAnsi" w:cstheme="majorBidi"/>
          <w:color w:val="auto"/>
          <w:sz w:val="22"/>
          <w:szCs w:val="22"/>
        </w:rPr>
        <w:t xml:space="preserve"> that</w:t>
      </w:r>
      <w:r w:rsidR="1401CB7D" w:rsidRPr="5937A937">
        <w:rPr>
          <w:rFonts w:asciiTheme="majorHAnsi" w:hAnsiTheme="majorHAnsi" w:cstheme="majorBidi"/>
          <w:color w:val="auto"/>
          <w:sz w:val="22"/>
          <w:szCs w:val="22"/>
        </w:rPr>
        <w:t xml:space="preserve"> the sector</w:t>
      </w:r>
      <w:r w:rsidRPr="5937A937">
        <w:rPr>
          <w:rFonts w:asciiTheme="majorHAnsi" w:hAnsiTheme="majorHAnsi" w:cstheme="majorBidi"/>
          <w:color w:val="auto"/>
          <w:sz w:val="22"/>
          <w:szCs w:val="22"/>
        </w:rPr>
        <w:t xml:space="preserve"> has to reduce the</w:t>
      </w:r>
      <w:r w:rsidR="6ECBB9A1" w:rsidRPr="5937A937">
        <w:rPr>
          <w:rFonts w:asciiTheme="majorHAnsi" w:hAnsiTheme="majorHAnsi" w:cstheme="majorBidi"/>
          <w:color w:val="auto"/>
          <w:sz w:val="22"/>
          <w:szCs w:val="22"/>
        </w:rPr>
        <w:t xml:space="preserve"> </w:t>
      </w:r>
      <w:r w:rsidRPr="5937A937">
        <w:rPr>
          <w:rFonts w:asciiTheme="majorHAnsi" w:hAnsiTheme="majorHAnsi" w:cstheme="majorBidi"/>
          <w:color w:val="auto"/>
          <w:sz w:val="22"/>
          <w:szCs w:val="22"/>
        </w:rPr>
        <w:t>CO</w:t>
      </w:r>
      <w:r w:rsidRPr="002F7E75">
        <w:rPr>
          <w:rFonts w:asciiTheme="majorHAnsi" w:hAnsiTheme="majorHAnsi" w:cstheme="majorBidi"/>
          <w:color w:val="auto"/>
          <w:sz w:val="22"/>
          <w:szCs w:val="22"/>
          <w:vertAlign w:val="subscript"/>
        </w:rPr>
        <w:t>2</w:t>
      </w:r>
      <w:r w:rsidRPr="5937A937">
        <w:rPr>
          <w:rFonts w:asciiTheme="majorHAnsi" w:hAnsiTheme="majorHAnsi" w:cstheme="majorBidi"/>
          <w:color w:val="auto"/>
          <w:sz w:val="22"/>
          <w:szCs w:val="22"/>
        </w:rPr>
        <w:t xml:space="preserve"> emissions in 61% by 2030, compared to 2005 levels.  Th</w:t>
      </w:r>
      <w:r w:rsidR="6B5D821A" w:rsidRPr="5937A937">
        <w:rPr>
          <w:rFonts w:asciiTheme="majorHAnsi" w:hAnsiTheme="majorHAnsi" w:cstheme="majorBidi"/>
          <w:color w:val="auto"/>
          <w:sz w:val="22"/>
          <w:szCs w:val="22"/>
        </w:rPr>
        <w:t>e</w:t>
      </w:r>
      <w:r w:rsidRPr="5937A937">
        <w:rPr>
          <w:rFonts w:asciiTheme="majorHAnsi" w:hAnsiTheme="majorHAnsi" w:cstheme="majorBidi"/>
          <w:color w:val="auto"/>
          <w:sz w:val="22"/>
          <w:szCs w:val="22"/>
        </w:rPr>
        <w:t xml:space="preserve"> reduction is planned to be implemented gradually, 4.2% per year, and it will apply for ships above 5,000 gross </w:t>
      </w:r>
      <w:r w:rsidR="3BFB6245" w:rsidRPr="5937A937">
        <w:rPr>
          <w:rFonts w:asciiTheme="majorHAnsi" w:hAnsiTheme="majorHAnsi" w:cstheme="majorBidi"/>
          <w:color w:val="auto"/>
          <w:sz w:val="22"/>
          <w:szCs w:val="22"/>
        </w:rPr>
        <w:t>tonnages</w:t>
      </w:r>
      <w:r w:rsidRPr="5937A937">
        <w:rPr>
          <w:rFonts w:asciiTheme="majorHAnsi" w:hAnsiTheme="majorHAnsi" w:cstheme="majorBidi"/>
          <w:color w:val="auto"/>
          <w:sz w:val="22"/>
          <w:szCs w:val="22"/>
        </w:rPr>
        <w:t xml:space="preserve"> of any flag. </w:t>
      </w:r>
      <w:r w:rsidRPr="5937A937">
        <w:rPr>
          <w:rFonts w:asciiTheme="minorHAnsi" w:hAnsiTheme="minorHAnsi" w:cstheme="minorBidi"/>
          <w:sz w:val="22"/>
          <w:szCs w:val="22"/>
          <w:lang w:val="en-GB"/>
        </w:rPr>
        <w:t>The cap will apply 100% for ships that travel within EU ports (intra-EU), and 50% for those whose travels start or end outside the EU (extra-EU). With this market-based measures in place</w:t>
      </w:r>
      <w:r w:rsidR="73FA030E" w:rsidRPr="5937A937">
        <w:rPr>
          <w:rFonts w:asciiTheme="minorHAnsi" w:hAnsiTheme="minorHAnsi" w:cstheme="minorBidi"/>
          <w:sz w:val="22"/>
          <w:szCs w:val="22"/>
          <w:lang w:val="en-GB"/>
        </w:rPr>
        <w:t>,</w:t>
      </w:r>
      <w:r w:rsidRPr="5937A937">
        <w:rPr>
          <w:rFonts w:asciiTheme="minorHAnsi" w:hAnsiTheme="minorHAnsi" w:cstheme="minorBidi"/>
          <w:sz w:val="22"/>
          <w:szCs w:val="22"/>
          <w:lang w:val="en-GB"/>
        </w:rPr>
        <w:t xml:space="preserve"> the shipping companies will have an obligation to purchase and surrender ETS emission allowances for their reported CO</w:t>
      </w:r>
      <w:r w:rsidRPr="5937A937">
        <w:rPr>
          <w:rFonts w:asciiTheme="minorHAnsi" w:hAnsiTheme="minorHAnsi" w:cstheme="minorBidi"/>
          <w:sz w:val="22"/>
          <w:szCs w:val="22"/>
          <w:vertAlign w:val="subscript"/>
          <w:lang w:val="en-GB"/>
        </w:rPr>
        <w:t>2</w:t>
      </w:r>
      <w:r w:rsidRPr="5937A937">
        <w:rPr>
          <w:rFonts w:asciiTheme="minorHAnsi" w:hAnsiTheme="minorHAnsi" w:cstheme="minorBidi"/>
          <w:sz w:val="22"/>
          <w:szCs w:val="22"/>
          <w:lang w:val="en-GB"/>
        </w:rPr>
        <w:t xml:space="preserve"> emissions. The trading will be </w:t>
      </w:r>
      <w:r w:rsidR="236D8147" w:rsidRPr="5937A937">
        <w:rPr>
          <w:rFonts w:asciiTheme="minorHAnsi" w:hAnsiTheme="minorHAnsi" w:cstheme="minorBidi"/>
          <w:sz w:val="22"/>
          <w:szCs w:val="22"/>
          <w:lang w:val="en-GB"/>
        </w:rPr>
        <w:t>administered</w:t>
      </w:r>
      <w:r w:rsidRPr="5937A937">
        <w:rPr>
          <w:rFonts w:asciiTheme="minorHAnsi" w:hAnsiTheme="minorHAnsi" w:cstheme="minorBidi"/>
          <w:sz w:val="22"/>
          <w:szCs w:val="22"/>
          <w:lang w:val="en-GB"/>
        </w:rPr>
        <w:t xml:space="preserve"> by a member state </w:t>
      </w:r>
      <w:r w:rsidR="0011416A" w:rsidRPr="5937A937">
        <w:rPr>
          <w:rFonts w:asciiTheme="minorHAnsi" w:hAnsiTheme="minorHAnsi" w:cstheme="minorBidi"/>
          <w:sz w:val="22"/>
          <w:szCs w:val="22"/>
          <w:lang w:val="en-GB"/>
        </w:rPr>
        <w:fldChar w:fldCharType="begin" w:fldLock="1"/>
      </w:r>
      <w:r w:rsidR="0011416A" w:rsidRPr="5937A937">
        <w:rPr>
          <w:rFonts w:asciiTheme="minorHAnsi" w:hAnsiTheme="minorHAnsi" w:cstheme="minorBidi"/>
          <w:sz w:val="22"/>
          <w:szCs w:val="22"/>
          <w:lang w:val="en-GB"/>
        </w:rPr>
        <w:instrText>ADDIN CSL_CITATION {"citationItems":[{"id":"ITEM-1","itemData":{"URL":"https://ec.europa.eu/commission/presscorner/detail/en/qanda_21_3542","accessed":{"date-parts":[["2021","9","14"]]},"author":[{"dropping-particle":"","family":"McPhie","given":"Tim","non-dropping-particle":"","parse-names":false,"suffix":""},{"dropping-particle":"","family":"Rietdorf","given":"Lynn","non-dropping-particle":"","parse-names":false,"suffix":""}],"id":"ITEM-1","issued":{"date-parts":[["2021"]]},"title":"Questions and Answers - Emissions Trading – Putting a Price on carbon*","type":"webpage"},"uris":["http://www.mendeley.com/documents/?uuid=f68871e1-ab1f-4f98-bda5-036aa28750e6"]}],"mendeley":{"formattedCitation":"(McPhie &amp; Rietdorf, 2021)","plainTextFormattedCitation":"(McPhie &amp; Rietdorf, 2021)","previouslyFormattedCitation":"(McPhie &amp; Rietdorf, 2021)"},"properties":{"noteIndex":0},"schema":"https://github.com/citation-style-language/schema/raw/master/csl-citation.json"}</w:instrText>
      </w:r>
      <w:r w:rsidR="0011416A" w:rsidRPr="5937A937">
        <w:rPr>
          <w:rFonts w:asciiTheme="minorHAnsi" w:hAnsiTheme="minorHAnsi" w:cstheme="minorBidi"/>
          <w:sz w:val="22"/>
          <w:szCs w:val="22"/>
          <w:lang w:val="en-GB"/>
        </w:rPr>
        <w:fldChar w:fldCharType="separate"/>
      </w:r>
      <w:r w:rsidRPr="5937A937">
        <w:rPr>
          <w:rFonts w:asciiTheme="minorHAnsi" w:hAnsiTheme="minorHAnsi" w:cstheme="minorBidi"/>
          <w:noProof/>
          <w:sz w:val="22"/>
          <w:szCs w:val="22"/>
          <w:lang w:val="en-GB"/>
        </w:rPr>
        <w:t>(McPhie &amp; Rietdorf, 2021)</w:t>
      </w:r>
      <w:r w:rsidR="0011416A" w:rsidRPr="5937A937">
        <w:rPr>
          <w:rFonts w:asciiTheme="minorHAnsi" w:hAnsiTheme="minorHAnsi" w:cstheme="minorBidi"/>
          <w:sz w:val="22"/>
          <w:szCs w:val="22"/>
          <w:lang w:val="en-GB"/>
        </w:rPr>
        <w:fldChar w:fldCharType="end"/>
      </w:r>
      <w:r w:rsidRPr="5937A937">
        <w:rPr>
          <w:rFonts w:asciiTheme="minorHAnsi" w:hAnsiTheme="minorHAnsi" w:cstheme="minorBidi"/>
          <w:sz w:val="22"/>
          <w:szCs w:val="22"/>
          <w:lang w:val="en-GB"/>
        </w:rPr>
        <w:t xml:space="preserve"> .</w:t>
      </w:r>
    </w:p>
    <w:p w14:paraId="55CD9644" w14:textId="11070E71" w:rsidR="5937A937" w:rsidRDefault="5937A937" w:rsidP="5937A937">
      <w:pPr>
        <w:pStyle w:val="ListParagraph"/>
        <w:spacing w:after="120" w:line="360" w:lineRule="auto"/>
        <w:ind w:left="1440"/>
        <w:rPr>
          <w:szCs w:val="21"/>
          <w:lang w:val="en-GB"/>
        </w:rPr>
      </w:pPr>
    </w:p>
    <w:p w14:paraId="3A9405DC" w14:textId="77777777" w:rsidR="0011416A" w:rsidRPr="005752AC" w:rsidRDefault="0011416A" w:rsidP="009E3D26">
      <w:pPr>
        <w:pStyle w:val="ListParagraph"/>
        <w:numPr>
          <w:ilvl w:val="0"/>
          <w:numId w:val="14"/>
        </w:numPr>
        <w:spacing w:after="120" w:line="360" w:lineRule="auto"/>
        <w:jc w:val="left"/>
        <w:rPr>
          <w:rFonts w:asciiTheme="majorHAnsi" w:hAnsiTheme="majorHAnsi" w:cstheme="majorHAnsi"/>
          <w:b/>
          <w:bCs/>
          <w:color w:val="auto"/>
          <w:sz w:val="22"/>
          <w:szCs w:val="22"/>
        </w:rPr>
      </w:pPr>
      <w:r w:rsidRPr="005752AC">
        <w:rPr>
          <w:rFonts w:asciiTheme="majorHAnsi" w:hAnsiTheme="majorHAnsi" w:cstheme="majorHAnsi"/>
          <w:b/>
          <w:bCs/>
          <w:color w:val="auto"/>
          <w:sz w:val="22"/>
          <w:szCs w:val="22"/>
        </w:rPr>
        <w:t> The revision of the Energy Tax Directive</w:t>
      </w:r>
    </w:p>
    <w:p w14:paraId="5BB1A776" w14:textId="72232C05" w:rsidR="0011416A" w:rsidRDefault="08410017" w:rsidP="5937A937">
      <w:pPr>
        <w:spacing w:after="120" w:line="360" w:lineRule="auto"/>
        <w:ind w:firstLine="540"/>
        <w:rPr>
          <w:rFonts w:asciiTheme="majorHAnsi" w:hAnsiTheme="majorHAnsi" w:cstheme="majorBidi"/>
          <w:color w:val="auto"/>
          <w:sz w:val="22"/>
          <w:szCs w:val="22"/>
          <w:lang w:val="en-GB"/>
        </w:rPr>
      </w:pPr>
      <w:r w:rsidRPr="5937A937">
        <w:rPr>
          <w:rFonts w:asciiTheme="majorHAnsi" w:hAnsiTheme="majorHAnsi" w:cstheme="majorBidi"/>
          <w:color w:val="auto"/>
          <w:sz w:val="22"/>
          <w:szCs w:val="22"/>
        </w:rPr>
        <w:t xml:space="preserve">Tax exemptions for conventional fossil fuels used in intra-EU shipping will be revised. </w:t>
      </w:r>
      <w:r w:rsidR="37F2E79D" w:rsidRPr="5937A937">
        <w:rPr>
          <w:rFonts w:asciiTheme="majorHAnsi" w:hAnsiTheme="majorHAnsi" w:cstheme="majorBidi"/>
          <w:color w:val="auto"/>
          <w:sz w:val="22"/>
          <w:szCs w:val="22"/>
        </w:rPr>
        <w:t>T</w:t>
      </w:r>
      <w:r w:rsidRPr="5937A937">
        <w:rPr>
          <w:rFonts w:asciiTheme="majorHAnsi" w:hAnsiTheme="majorHAnsi" w:cstheme="majorBidi"/>
          <w:color w:val="auto"/>
          <w:sz w:val="22"/>
          <w:szCs w:val="22"/>
        </w:rPr>
        <w:t xml:space="preserve">his can </w:t>
      </w:r>
      <w:r w:rsidR="754D36C4" w:rsidRPr="5937A937">
        <w:rPr>
          <w:rFonts w:asciiTheme="majorHAnsi" w:hAnsiTheme="majorHAnsi" w:cstheme="majorBidi"/>
          <w:color w:val="auto"/>
          <w:sz w:val="22"/>
          <w:szCs w:val="22"/>
        </w:rPr>
        <w:t>indirectly</w:t>
      </w:r>
      <w:r w:rsidRPr="5937A937">
        <w:rPr>
          <w:rFonts w:asciiTheme="majorHAnsi" w:hAnsiTheme="majorHAnsi" w:cstheme="majorBidi"/>
          <w:color w:val="auto"/>
          <w:sz w:val="22"/>
          <w:szCs w:val="22"/>
        </w:rPr>
        <w:t xml:space="preserve"> affect the market position of IDEALFUEL’s Bio-HFO. </w:t>
      </w:r>
      <w:r w:rsidR="0068583B">
        <w:rPr>
          <w:rFonts w:asciiTheme="majorHAnsi" w:hAnsiTheme="majorHAnsi" w:cstheme="majorBidi"/>
          <w:color w:val="auto"/>
          <w:sz w:val="22"/>
          <w:szCs w:val="22"/>
        </w:rPr>
        <w:t xml:space="preserve">The introduction of </w:t>
      </w:r>
      <w:r w:rsidRPr="5937A937">
        <w:rPr>
          <w:rFonts w:asciiTheme="majorHAnsi" w:hAnsiTheme="majorHAnsi" w:cstheme="majorBidi"/>
          <w:color w:val="auto"/>
          <w:sz w:val="22"/>
          <w:szCs w:val="22"/>
          <w:lang w:val="en-GB"/>
        </w:rPr>
        <w:t xml:space="preserve"> carbon taxes </w:t>
      </w:r>
      <w:r w:rsidR="0068583B">
        <w:rPr>
          <w:rFonts w:asciiTheme="majorHAnsi" w:hAnsiTheme="majorHAnsi" w:cstheme="majorBidi"/>
          <w:color w:val="auto"/>
          <w:sz w:val="22"/>
          <w:szCs w:val="22"/>
          <w:lang w:val="en-GB"/>
        </w:rPr>
        <w:t xml:space="preserve">and a minimum tax level on fossil fuels </w:t>
      </w:r>
      <w:r w:rsidR="00200B2B">
        <w:rPr>
          <w:rFonts w:asciiTheme="majorHAnsi" w:hAnsiTheme="majorHAnsi" w:cstheme="majorBidi"/>
          <w:color w:val="auto"/>
          <w:sz w:val="22"/>
          <w:szCs w:val="22"/>
          <w:lang w:val="en-GB"/>
        </w:rPr>
        <w:t>in</w:t>
      </w:r>
      <w:r w:rsidR="0068583B">
        <w:rPr>
          <w:rFonts w:asciiTheme="majorHAnsi" w:hAnsiTheme="majorHAnsi" w:cstheme="majorBidi"/>
          <w:color w:val="auto"/>
          <w:sz w:val="22"/>
          <w:szCs w:val="22"/>
          <w:lang w:val="en-GB"/>
        </w:rPr>
        <w:t xml:space="preserve"> all EU countries </w:t>
      </w:r>
      <w:r w:rsidRPr="5937A937">
        <w:rPr>
          <w:rFonts w:asciiTheme="majorHAnsi" w:hAnsiTheme="majorHAnsi" w:cstheme="majorBidi"/>
          <w:color w:val="auto"/>
          <w:sz w:val="22"/>
          <w:szCs w:val="22"/>
          <w:lang w:val="en-GB"/>
        </w:rPr>
        <w:t>will  be beneficial to</w:t>
      </w:r>
      <w:r w:rsidR="002165E2">
        <w:rPr>
          <w:rFonts w:asciiTheme="majorHAnsi" w:hAnsiTheme="majorHAnsi" w:cstheme="majorBidi"/>
          <w:color w:val="auto"/>
          <w:sz w:val="22"/>
          <w:szCs w:val="22"/>
          <w:lang w:val="en-GB"/>
        </w:rPr>
        <w:t xml:space="preserve"> any</w:t>
      </w:r>
      <w:r w:rsidRPr="5937A937">
        <w:rPr>
          <w:rFonts w:asciiTheme="majorHAnsi" w:hAnsiTheme="majorHAnsi" w:cstheme="majorBidi"/>
          <w:color w:val="auto"/>
          <w:sz w:val="22"/>
          <w:szCs w:val="22"/>
          <w:lang w:val="en-GB"/>
        </w:rPr>
        <w:t xml:space="preserve"> advanced biofuel, especially for those that can offer high</w:t>
      </w:r>
      <w:r w:rsidR="67C7C525" w:rsidRPr="5937A937">
        <w:rPr>
          <w:rFonts w:asciiTheme="majorHAnsi" w:hAnsiTheme="majorHAnsi" w:cstheme="majorBidi"/>
          <w:color w:val="auto"/>
          <w:sz w:val="22"/>
          <w:szCs w:val="22"/>
          <w:lang w:val="en-GB"/>
        </w:rPr>
        <w:t>er</w:t>
      </w:r>
      <w:r w:rsidRPr="5937A937">
        <w:rPr>
          <w:rFonts w:asciiTheme="majorHAnsi" w:hAnsiTheme="majorHAnsi" w:cstheme="majorBidi"/>
          <w:color w:val="auto"/>
          <w:sz w:val="22"/>
          <w:szCs w:val="22"/>
          <w:lang w:val="en-GB"/>
        </w:rPr>
        <w:t xml:space="preserve"> CO</w:t>
      </w:r>
      <w:r w:rsidRPr="5937A937">
        <w:rPr>
          <w:rFonts w:asciiTheme="majorHAnsi" w:hAnsiTheme="majorHAnsi" w:cstheme="majorBidi"/>
          <w:color w:val="auto"/>
          <w:sz w:val="22"/>
          <w:szCs w:val="22"/>
          <w:vertAlign w:val="subscript"/>
          <w:lang w:val="en-GB"/>
        </w:rPr>
        <w:t>2</w:t>
      </w:r>
      <w:r w:rsidRPr="5937A937">
        <w:rPr>
          <w:rFonts w:asciiTheme="majorHAnsi" w:hAnsiTheme="majorHAnsi" w:cstheme="majorBidi"/>
          <w:color w:val="auto"/>
          <w:sz w:val="22"/>
          <w:szCs w:val="22"/>
          <w:lang w:val="en-GB"/>
        </w:rPr>
        <w:t xml:space="preserve"> </w:t>
      </w:r>
      <w:r w:rsidR="20AFBFD8" w:rsidRPr="5937A937">
        <w:rPr>
          <w:rFonts w:asciiTheme="majorHAnsi" w:hAnsiTheme="majorHAnsi" w:cstheme="majorBidi"/>
          <w:color w:val="auto"/>
          <w:sz w:val="22"/>
          <w:szCs w:val="22"/>
          <w:lang w:val="en-GB"/>
        </w:rPr>
        <w:t>mitigation</w:t>
      </w:r>
      <w:r w:rsidRPr="5937A937">
        <w:rPr>
          <w:rFonts w:asciiTheme="majorHAnsi" w:hAnsiTheme="majorHAnsi" w:cstheme="majorBidi"/>
          <w:color w:val="auto"/>
          <w:sz w:val="22"/>
          <w:szCs w:val="22"/>
          <w:lang w:val="en-GB"/>
        </w:rPr>
        <w:t xml:space="preserve"> at a competitive price </w:t>
      </w:r>
      <w:r w:rsidR="0011416A" w:rsidRPr="5937A937">
        <w:rPr>
          <w:rFonts w:asciiTheme="majorHAnsi" w:hAnsiTheme="majorHAnsi" w:cstheme="majorBidi"/>
          <w:color w:val="auto"/>
          <w:sz w:val="22"/>
          <w:szCs w:val="22"/>
          <w:lang w:val="en-GB"/>
        </w:rPr>
        <w:fldChar w:fldCharType="begin" w:fldLock="1"/>
      </w:r>
      <w:r w:rsidR="0011416A" w:rsidRPr="5937A937">
        <w:rPr>
          <w:rFonts w:asciiTheme="majorHAnsi" w:hAnsiTheme="majorHAnsi" w:cstheme="majorBidi"/>
          <w:color w:val="auto"/>
          <w:sz w:val="22"/>
          <w:szCs w:val="22"/>
          <w:lang w:val="en-GB"/>
        </w:rPr>
        <w:instrText>ADDIN CSL_CITATION {"citationItems":[{"id":"ITEM-1","itemData":{"URL":"https://ec.europa.eu/commission/presscorner/detail/en/qanda_21_3542","accessed":{"date-parts":[["2021","9","14"]]},"author":[{"dropping-particle":"","family":"McPhie","given":"Tim","non-dropping-particle":"","parse-names":false,"suffix":""},{"dropping-particle":"","family":"Rietdorf","given":"Lynn","non-dropping-particle":"","parse-names":false,"suffix":""}],"id":"ITEM-1","issued":{"date-parts":[["2021"]]},"title":"Questions and Answers - Emissions Trading – Putting a Price on carbon*","type":"webpage"},"uris":["http://www.mendeley.com/documents/?uuid=f68871e1-ab1f-4f98-bda5-036aa28750e6"]}],"mendeley":{"formattedCitation":"(McPhie &amp; Rietdorf, 2021)","plainTextFormattedCitation":"(McPhie &amp; Rietdorf, 2021)","previouslyFormattedCitation":"(McPhie &amp; Rietdorf, 2021)"},"properties":{"noteIndex":0},"schema":"https://github.com/citation-style-language/schema/raw/master/csl-citation.json"}</w:instrText>
      </w:r>
      <w:r w:rsidR="0011416A" w:rsidRPr="5937A937">
        <w:rPr>
          <w:rFonts w:asciiTheme="majorHAnsi" w:hAnsiTheme="majorHAnsi" w:cstheme="majorBidi"/>
          <w:color w:val="auto"/>
          <w:sz w:val="22"/>
          <w:szCs w:val="22"/>
          <w:lang w:val="en-GB"/>
        </w:rPr>
        <w:fldChar w:fldCharType="separate"/>
      </w:r>
      <w:r w:rsidRPr="5937A937">
        <w:rPr>
          <w:rFonts w:asciiTheme="majorHAnsi" w:hAnsiTheme="majorHAnsi" w:cstheme="majorBidi"/>
          <w:noProof/>
          <w:color w:val="auto"/>
          <w:sz w:val="22"/>
          <w:szCs w:val="22"/>
          <w:lang w:val="en-GB"/>
        </w:rPr>
        <w:t>(McPhie &amp; Rietdorf, 2021)</w:t>
      </w:r>
      <w:r w:rsidR="0011416A" w:rsidRPr="5937A937">
        <w:rPr>
          <w:rFonts w:asciiTheme="majorHAnsi" w:hAnsiTheme="majorHAnsi" w:cstheme="majorBidi"/>
          <w:color w:val="auto"/>
          <w:sz w:val="22"/>
          <w:szCs w:val="22"/>
          <w:lang w:val="en-GB"/>
        </w:rPr>
        <w:fldChar w:fldCharType="end"/>
      </w:r>
      <w:r w:rsidRPr="5937A937">
        <w:rPr>
          <w:rFonts w:asciiTheme="majorHAnsi" w:hAnsiTheme="majorHAnsi" w:cstheme="majorBidi"/>
          <w:color w:val="auto"/>
          <w:sz w:val="22"/>
          <w:szCs w:val="22"/>
          <w:lang w:val="en-GB"/>
        </w:rPr>
        <w:t xml:space="preserve">. </w:t>
      </w:r>
    </w:p>
    <w:p w14:paraId="24297E4E" w14:textId="08DBB9BD" w:rsidR="00F616D7" w:rsidRDefault="1FDFEFED" w:rsidP="5937A937">
      <w:pPr>
        <w:spacing w:after="120" w:line="360" w:lineRule="auto"/>
        <w:ind w:firstLine="540"/>
        <w:rPr>
          <w:rFonts w:asciiTheme="majorHAnsi" w:hAnsiTheme="majorHAnsi" w:cstheme="majorBidi"/>
          <w:color w:val="auto"/>
          <w:sz w:val="22"/>
          <w:szCs w:val="22"/>
          <w:lang w:val="en-GB"/>
        </w:rPr>
      </w:pPr>
      <w:r w:rsidRPr="5937A937">
        <w:rPr>
          <w:rFonts w:asciiTheme="majorHAnsi" w:hAnsiTheme="majorHAnsi" w:cstheme="majorBidi"/>
          <w:color w:val="auto"/>
          <w:sz w:val="22"/>
          <w:szCs w:val="22"/>
          <w:lang w:val="en-GB"/>
        </w:rPr>
        <w:t>P</w:t>
      </w:r>
      <w:r w:rsidR="2FBC2321" w:rsidRPr="5937A937">
        <w:rPr>
          <w:rFonts w:asciiTheme="majorHAnsi" w:hAnsiTheme="majorHAnsi" w:cstheme="majorBidi"/>
          <w:color w:val="auto"/>
          <w:sz w:val="22"/>
          <w:szCs w:val="22"/>
          <w:lang w:val="en-GB"/>
        </w:rPr>
        <w:t xml:space="preserve">roposals </w:t>
      </w:r>
      <w:r w:rsidR="30963F7C" w:rsidRPr="5937A937">
        <w:rPr>
          <w:rFonts w:asciiTheme="majorHAnsi" w:hAnsiTheme="majorHAnsi" w:cstheme="majorBidi"/>
          <w:color w:val="auto"/>
          <w:sz w:val="22"/>
          <w:szCs w:val="22"/>
          <w:lang w:val="en-GB"/>
        </w:rPr>
        <w:t xml:space="preserve">from the aviation </w:t>
      </w:r>
      <w:r w:rsidR="2FBC2321" w:rsidRPr="5937A937">
        <w:rPr>
          <w:rFonts w:asciiTheme="majorHAnsi" w:hAnsiTheme="majorHAnsi" w:cstheme="majorBidi"/>
          <w:color w:val="auto"/>
          <w:sz w:val="22"/>
          <w:szCs w:val="22"/>
          <w:lang w:val="en-GB"/>
        </w:rPr>
        <w:t>m</w:t>
      </w:r>
      <w:r w:rsidR="44048467" w:rsidRPr="5937A937">
        <w:rPr>
          <w:rFonts w:asciiTheme="majorHAnsi" w:hAnsiTheme="majorHAnsi" w:cstheme="majorBidi"/>
          <w:color w:val="auto"/>
          <w:sz w:val="22"/>
          <w:szCs w:val="22"/>
          <w:lang w:val="en-GB"/>
        </w:rPr>
        <w:t>ight</w:t>
      </w:r>
      <w:r w:rsidR="2FBC2321" w:rsidRPr="5937A937">
        <w:rPr>
          <w:rFonts w:asciiTheme="majorHAnsi" w:hAnsiTheme="majorHAnsi" w:cstheme="majorBidi"/>
          <w:color w:val="auto"/>
          <w:sz w:val="22"/>
          <w:szCs w:val="22"/>
          <w:lang w:val="en-GB"/>
        </w:rPr>
        <w:t xml:space="preserve"> impact the shipping sector</w:t>
      </w:r>
      <w:r w:rsidR="1CEB8464" w:rsidRPr="5937A937">
        <w:rPr>
          <w:rFonts w:asciiTheme="majorHAnsi" w:hAnsiTheme="majorHAnsi" w:cstheme="majorBidi"/>
          <w:color w:val="auto"/>
          <w:sz w:val="22"/>
          <w:szCs w:val="22"/>
          <w:lang w:val="en-GB"/>
        </w:rPr>
        <w:t xml:space="preserve">, </w:t>
      </w:r>
      <w:r w:rsidR="2FBC2321" w:rsidRPr="5937A937">
        <w:rPr>
          <w:rFonts w:asciiTheme="majorHAnsi" w:hAnsiTheme="majorHAnsi" w:cstheme="majorBidi"/>
          <w:color w:val="auto"/>
          <w:sz w:val="22"/>
          <w:szCs w:val="22"/>
          <w:lang w:val="en-GB"/>
        </w:rPr>
        <w:t>especially feedstocks</w:t>
      </w:r>
      <w:r w:rsidR="4C883130" w:rsidRPr="5937A937">
        <w:rPr>
          <w:rFonts w:asciiTheme="majorHAnsi" w:hAnsiTheme="majorHAnsi" w:cstheme="majorBidi"/>
          <w:color w:val="auto"/>
          <w:sz w:val="22"/>
          <w:szCs w:val="22"/>
          <w:lang w:val="en-GB"/>
        </w:rPr>
        <w:t xml:space="preserve"> availability due to competitive use for fuel production</w:t>
      </w:r>
      <w:r w:rsidR="10DCD163" w:rsidRPr="5937A937">
        <w:rPr>
          <w:rFonts w:asciiTheme="majorHAnsi" w:hAnsiTheme="majorHAnsi" w:cstheme="majorBidi"/>
          <w:color w:val="auto"/>
          <w:sz w:val="22"/>
          <w:szCs w:val="22"/>
          <w:lang w:val="en-GB"/>
        </w:rPr>
        <w:t>. Examples of such proposals are</w:t>
      </w:r>
      <w:r w:rsidR="2FBC2321" w:rsidRPr="5937A937">
        <w:rPr>
          <w:rFonts w:asciiTheme="majorHAnsi" w:hAnsiTheme="majorHAnsi" w:cstheme="majorBidi"/>
          <w:color w:val="auto"/>
          <w:sz w:val="22"/>
          <w:szCs w:val="22"/>
          <w:lang w:val="en-GB"/>
        </w:rPr>
        <w:t xml:space="preserve"> ETS for </w:t>
      </w:r>
      <w:r w:rsidR="1237965F" w:rsidRPr="5937A937">
        <w:rPr>
          <w:rFonts w:asciiTheme="majorHAnsi" w:hAnsiTheme="majorHAnsi" w:cstheme="majorBidi"/>
          <w:color w:val="auto"/>
          <w:sz w:val="22"/>
          <w:szCs w:val="22"/>
          <w:lang w:val="en-GB"/>
        </w:rPr>
        <w:t>aviation, ETD</w:t>
      </w:r>
      <w:r w:rsidR="2FBC2321" w:rsidRPr="5937A937">
        <w:rPr>
          <w:rFonts w:asciiTheme="majorHAnsi" w:hAnsiTheme="majorHAnsi" w:cstheme="majorBidi"/>
          <w:color w:val="auto"/>
          <w:sz w:val="22"/>
          <w:szCs w:val="22"/>
          <w:lang w:val="en-GB"/>
        </w:rPr>
        <w:t xml:space="preserve"> tax rates for aviation and </w:t>
      </w:r>
      <w:proofErr w:type="spellStart"/>
      <w:r w:rsidR="2FBC2321" w:rsidRPr="5937A937">
        <w:rPr>
          <w:rFonts w:asciiTheme="majorHAnsi" w:hAnsiTheme="majorHAnsi" w:cstheme="majorBidi"/>
          <w:color w:val="auto"/>
          <w:sz w:val="22"/>
          <w:szCs w:val="22"/>
          <w:lang w:val="en-GB"/>
        </w:rPr>
        <w:t>ReFuelEU</w:t>
      </w:r>
      <w:proofErr w:type="spellEnd"/>
      <w:r w:rsidR="2FBC2321" w:rsidRPr="5937A937">
        <w:rPr>
          <w:rFonts w:asciiTheme="majorHAnsi" w:hAnsiTheme="majorHAnsi" w:cstheme="majorBidi"/>
          <w:color w:val="auto"/>
          <w:sz w:val="22"/>
          <w:szCs w:val="22"/>
          <w:lang w:val="en-GB"/>
        </w:rPr>
        <w:t xml:space="preserve"> Aviation</w:t>
      </w:r>
      <w:r w:rsidR="00D413C0">
        <w:rPr>
          <w:rFonts w:asciiTheme="majorHAnsi" w:hAnsiTheme="majorHAnsi" w:cstheme="majorBidi"/>
          <w:color w:val="auto"/>
          <w:sz w:val="22"/>
          <w:szCs w:val="22"/>
          <w:lang w:val="en-GB"/>
        </w:rPr>
        <w:t xml:space="preserve"> </w:t>
      </w:r>
      <w:r w:rsidR="2FBC2321" w:rsidRPr="5937A937">
        <w:rPr>
          <w:rFonts w:asciiTheme="majorHAnsi" w:hAnsiTheme="majorHAnsi" w:cstheme="majorBidi"/>
          <w:color w:val="auto"/>
          <w:sz w:val="22"/>
          <w:szCs w:val="22"/>
          <w:lang w:val="en-GB"/>
        </w:rPr>
        <w:t xml:space="preserve"> (European Co</w:t>
      </w:r>
      <w:r w:rsidR="0068583B">
        <w:rPr>
          <w:rFonts w:asciiTheme="majorHAnsi" w:hAnsiTheme="majorHAnsi" w:cstheme="majorBidi"/>
          <w:color w:val="auto"/>
          <w:sz w:val="22"/>
          <w:szCs w:val="22"/>
          <w:lang w:val="en-GB"/>
        </w:rPr>
        <w:t>m</w:t>
      </w:r>
      <w:r w:rsidR="2FBC2321" w:rsidRPr="5937A937">
        <w:rPr>
          <w:rFonts w:asciiTheme="majorHAnsi" w:hAnsiTheme="majorHAnsi" w:cstheme="majorBidi"/>
          <w:color w:val="auto"/>
          <w:sz w:val="22"/>
          <w:szCs w:val="22"/>
          <w:lang w:val="en-GB"/>
        </w:rPr>
        <w:t>mission, 2021; European Commission, 2021)</w:t>
      </w:r>
    </w:p>
    <w:p w14:paraId="23A007D5" w14:textId="77777777" w:rsidR="002165E2" w:rsidRDefault="002165E2" w:rsidP="009E3D26">
      <w:pPr>
        <w:spacing w:after="120" w:line="360" w:lineRule="auto"/>
        <w:jc w:val="left"/>
        <w:rPr>
          <w:sz w:val="22"/>
        </w:rPr>
        <w:sectPr w:rsidR="002165E2" w:rsidSect="00095ECB">
          <w:pgSz w:w="11906" w:h="16838"/>
          <w:pgMar w:top="1418" w:right="1134" w:bottom="1418" w:left="1134" w:header="709" w:footer="709" w:gutter="0"/>
          <w:pgNumType w:start="1"/>
          <w:cols w:space="708"/>
          <w:titlePg/>
          <w:docGrid w:linePitch="360"/>
        </w:sectPr>
      </w:pPr>
    </w:p>
    <w:p w14:paraId="66D9372A" w14:textId="239E219D" w:rsidR="00017D36" w:rsidRPr="0045629F" w:rsidRDefault="728E5A26" w:rsidP="005D6854">
      <w:pPr>
        <w:pStyle w:val="Heading1"/>
      </w:pPr>
      <w:bookmarkStart w:id="18" w:name="_Toc84019450"/>
      <w:r>
        <w:lastRenderedPageBreak/>
        <w:t>Fuels</w:t>
      </w:r>
      <w:r w:rsidR="0034319B">
        <w:t xml:space="preserve"> in the </w:t>
      </w:r>
      <w:r w:rsidR="007E58F0">
        <w:t>Shipping sector</w:t>
      </w:r>
      <w:bookmarkEnd w:id="18"/>
    </w:p>
    <w:p w14:paraId="3340F79F" w14:textId="67083905" w:rsidR="59587566" w:rsidRDefault="59587566" w:rsidP="59587566">
      <w:pPr>
        <w:rPr>
          <w:szCs w:val="21"/>
        </w:rPr>
      </w:pPr>
    </w:p>
    <w:p w14:paraId="34976043" w14:textId="77777777" w:rsidR="0011532E" w:rsidRDefault="0011532E" w:rsidP="002433E0">
      <w:pPr>
        <w:spacing w:after="120" w:line="360" w:lineRule="auto"/>
        <w:ind w:left="302" w:firstLine="418"/>
        <w:rPr>
          <w:rFonts w:asciiTheme="majorHAnsi" w:hAnsiTheme="majorHAnsi" w:cstheme="majorHAnsi"/>
          <w:color w:val="auto"/>
          <w:sz w:val="22"/>
          <w:szCs w:val="22"/>
          <w:lang w:val="en-GB"/>
        </w:rPr>
      </w:pPr>
      <w:r w:rsidRPr="002433E0">
        <w:rPr>
          <w:rFonts w:asciiTheme="majorHAnsi" w:hAnsiTheme="majorHAnsi" w:cstheme="majorHAnsi"/>
          <w:color w:val="auto"/>
          <w:sz w:val="22"/>
          <w:szCs w:val="22"/>
          <w:lang w:val="en-GB"/>
        </w:rPr>
        <w:t>In addition to the legal arguments, already discussed in the previous section, the promising evolution of alternative fuels coping with marine necessities will also influence the future market size.</w:t>
      </w:r>
      <w:r>
        <w:rPr>
          <w:rFonts w:asciiTheme="majorHAnsi" w:hAnsiTheme="majorHAnsi" w:cstheme="majorHAnsi"/>
          <w:color w:val="auto"/>
          <w:sz w:val="22"/>
          <w:szCs w:val="22"/>
          <w:lang w:val="en-GB"/>
        </w:rPr>
        <w:t xml:space="preserve"> </w:t>
      </w:r>
    </w:p>
    <w:p w14:paraId="52006577" w14:textId="362AAF4A" w:rsidR="00260E94" w:rsidRDefault="2F189532" w:rsidP="5937A937">
      <w:pPr>
        <w:spacing w:after="120" w:line="360" w:lineRule="auto"/>
        <w:ind w:left="302" w:firstLine="418"/>
        <w:rPr>
          <w:rFonts w:asciiTheme="majorHAnsi" w:hAnsiTheme="majorHAnsi" w:cstheme="majorBidi"/>
          <w:color w:val="auto"/>
          <w:sz w:val="22"/>
          <w:szCs w:val="22"/>
          <w:lang w:val="en-GB"/>
        </w:rPr>
      </w:pPr>
      <w:r w:rsidRPr="5937A937">
        <w:rPr>
          <w:rFonts w:asciiTheme="majorHAnsi" w:hAnsiTheme="majorHAnsi" w:cstheme="majorBidi"/>
          <w:color w:val="auto"/>
          <w:sz w:val="22"/>
          <w:szCs w:val="22"/>
          <w:lang w:val="en-GB"/>
        </w:rPr>
        <w:t>H</w:t>
      </w:r>
      <w:r w:rsidR="353DB55A" w:rsidRPr="5937A937">
        <w:rPr>
          <w:rFonts w:asciiTheme="majorHAnsi" w:hAnsiTheme="majorHAnsi" w:cstheme="majorBidi"/>
          <w:color w:val="auto"/>
          <w:sz w:val="22"/>
          <w:szCs w:val="22"/>
          <w:lang w:val="en-GB"/>
        </w:rPr>
        <w:t xml:space="preserve">eavy fuel oil (HFO) accounts for the </w:t>
      </w:r>
      <w:r w:rsidR="002C591F">
        <w:rPr>
          <w:rFonts w:asciiTheme="majorHAnsi" w:hAnsiTheme="majorHAnsi" w:cstheme="majorBidi"/>
          <w:color w:val="auto"/>
          <w:sz w:val="22"/>
          <w:szCs w:val="22"/>
          <w:lang w:val="en-GB"/>
        </w:rPr>
        <w:t>major</w:t>
      </w:r>
      <w:r w:rsidR="353DB55A" w:rsidRPr="5937A937">
        <w:rPr>
          <w:rFonts w:asciiTheme="majorHAnsi" w:hAnsiTheme="majorHAnsi" w:cstheme="majorBidi"/>
          <w:color w:val="auto"/>
          <w:sz w:val="22"/>
          <w:szCs w:val="22"/>
          <w:lang w:val="en-GB"/>
        </w:rPr>
        <w:t xml:space="preserve"> share of marine bunkering</w:t>
      </w:r>
      <w:r w:rsidR="5E69806A" w:rsidRPr="5937A937">
        <w:rPr>
          <w:rFonts w:asciiTheme="majorHAnsi" w:hAnsiTheme="majorHAnsi" w:cstheme="majorBidi"/>
          <w:color w:val="auto"/>
          <w:sz w:val="22"/>
          <w:szCs w:val="22"/>
          <w:lang w:val="en-GB"/>
        </w:rPr>
        <w:t xml:space="preserve"> fuels</w:t>
      </w:r>
      <w:r w:rsidR="007152E6" w:rsidRPr="5937A937">
        <w:rPr>
          <w:rFonts w:asciiTheme="majorHAnsi" w:hAnsiTheme="majorHAnsi" w:cstheme="majorBidi"/>
          <w:color w:val="auto"/>
          <w:sz w:val="22"/>
          <w:szCs w:val="22"/>
          <w:lang w:val="en-GB"/>
        </w:rPr>
        <w:t>. Figure 2 depicts the volume of bunker sales from the Port of Rotterdam</w:t>
      </w:r>
      <w:r w:rsidR="002C591F">
        <w:rPr>
          <w:rFonts w:asciiTheme="majorHAnsi" w:hAnsiTheme="majorHAnsi" w:cstheme="majorBidi"/>
          <w:color w:val="auto"/>
          <w:sz w:val="22"/>
          <w:szCs w:val="22"/>
          <w:lang w:val="en-GB"/>
        </w:rPr>
        <w:t xml:space="preserve">. Although </w:t>
      </w:r>
      <w:r w:rsidR="007152E6">
        <w:rPr>
          <w:rFonts w:asciiTheme="majorHAnsi" w:hAnsiTheme="majorHAnsi" w:cstheme="majorBidi"/>
          <w:color w:val="auto"/>
          <w:sz w:val="22"/>
          <w:szCs w:val="22"/>
          <w:lang w:val="en-GB"/>
        </w:rPr>
        <w:t xml:space="preserve">HFO </w:t>
      </w:r>
      <w:r w:rsidR="002C591F">
        <w:rPr>
          <w:rFonts w:asciiTheme="majorHAnsi" w:hAnsiTheme="majorHAnsi" w:cstheme="majorBidi"/>
          <w:color w:val="auto"/>
          <w:sz w:val="22"/>
          <w:szCs w:val="22"/>
          <w:lang w:val="en-GB"/>
        </w:rPr>
        <w:t>represents the higher share of sales, it is expected a</w:t>
      </w:r>
      <w:r w:rsidR="5570C20D" w:rsidRPr="5937A937">
        <w:rPr>
          <w:rFonts w:asciiTheme="majorHAnsi" w:hAnsiTheme="majorHAnsi" w:cstheme="majorBidi"/>
          <w:color w:val="auto"/>
          <w:sz w:val="22"/>
          <w:szCs w:val="22"/>
          <w:lang w:val="en-GB"/>
        </w:rPr>
        <w:t xml:space="preserve"> gradual </w:t>
      </w:r>
      <w:r w:rsidR="002C591F">
        <w:rPr>
          <w:rFonts w:asciiTheme="majorHAnsi" w:hAnsiTheme="majorHAnsi" w:cstheme="majorBidi"/>
          <w:color w:val="auto"/>
          <w:sz w:val="22"/>
          <w:szCs w:val="22"/>
          <w:lang w:val="en-GB"/>
        </w:rPr>
        <w:t>reduction of HFO participation in</w:t>
      </w:r>
      <w:r w:rsidR="5E69806A" w:rsidRPr="5937A937">
        <w:rPr>
          <w:rFonts w:asciiTheme="majorHAnsi" w:hAnsiTheme="majorHAnsi" w:cstheme="majorBidi"/>
          <w:color w:val="auto"/>
          <w:sz w:val="22"/>
          <w:szCs w:val="22"/>
          <w:lang w:val="en-GB"/>
        </w:rPr>
        <w:t xml:space="preserve"> fuel bunkering</w:t>
      </w:r>
      <w:r w:rsidR="00260E94">
        <w:rPr>
          <w:rFonts w:asciiTheme="majorHAnsi" w:hAnsiTheme="majorHAnsi" w:cstheme="majorBidi"/>
          <w:color w:val="auto"/>
          <w:sz w:val="22"/>
          <w:szCs w:val="22"/>
          <w:lang w:val="en-GB"/>
        </w:rPr>
        <w:t xml:space="preserve"> </w:t>
      </w:r>
      <w:r w:rsidR="00260E94">
        <w:rPr>
          <w:rFonts w:asciiTheme="majorHAnsi" w:hAnsiTheme="majorHAnsi" w:cstheme="majorBidi"/>
          <w:color w:val="auto"/>
          <w:sz w:val="22"/>
          <w:szCs w:val="22"/>
          <w:lang w:val="en-GB"/>
        </w:rPr>
        <w:fldChar w:fldCharType="begin" w:fldLock="1"/>
      </w:r>
      <w:r w:rsidR="00643BE2">
        <w:rPr>
          <w:rFonts w:asciiTheme="majorHAnsi" w:hAnsiTheme="majorHAnsi" w:cstheme="majorBidi"/>
          <w:color w:val="auto"/>
          <w:sz w:val="22"/>
          <w:szCs w:val="22"/>
          <w:lang w:val="en-GB"/>
        </w:rPr>
        <w:instrText>ADDIN CSL_CITATION {"citationItems":[{"id":"ITEM-1","itemData":{"URL":"https://www.portofrotterdam.com/sites/default/files/2021-08/bunker-sales-2018-2021.pdf","accessed":{"date-parts":[["2021","9","10"]]},"author":[{"dropping-particle":"","family":"Port of Rotterdam","given":"","non-dropping-particle":"","parse-names":false,"suffix":""}],"id":"ITEM-1","issued":{"date-parts":[["2021"]]},"title":"Port of Rotterdam Bunker Sales","type":"webpage"},"uris":["http://www.mendeley.com/documents/?uuid=c6679f6a-9a45-495c-bee3-96e875ed63dd"]}],"mendeley":{"formattedCitation":"(Port of Rotterdam, 2021)","plainTextFormattedCitation":"(Port of Rotterdam, 2021)","previouslyFormattedCitation":"(Port of Rotterdam, 2021)"},"properties":{"noteIndex":0},"schema":"https://github.com/citation-style-language/schema/raw/master/csl-citation.json"}</w:instrText>
      </w:r>
      <w:r w:rsidR="00260E94">
        <w:rPr>
          <w:rFonts w:asciiTheme="majorHAnsi" w:hAnsiTheme="majorHAnsi" w:cstheme="majorBidi"/>
          <w:color w:val="auto"/>
          <w:sz w:val="22"/>
          <w:szCs w:val="22"/>
          <w:lang w:val="en-GB"/>
        </w:rPr>
        <w:fldChar w:fldCharType="separate"/>
      </w:r>
      <w:r w:rsidR="00260E94" w:rsidRPr="00260E94">
        <w:rPr>
          <w:rFonts w:asciiTheme="majorHAnsi" w:hAnsiTheme="majorHAnsi" w:cstheme="majorBidi"/>
          <w:noProof/>
          <w:color w:val="auto"/>
          <w:sz w:val="22"/>
          <w:szCs w:val="22"/>
          <w:lang w:val="en-GB"/>
        </w:rPr>
        <w:t>(Port of Rotterdam, 2021)</w:t>
      </w:r>
      <w:r w:rsidR="00260E94">
        <w:rPr>
          <w:rFonts w:asciiTheme="majorHAnsi" w:hAnsiTheme="majorHAnsi" w:cstheme="majorBidi"/>
          <w:color w:val="auto"/>
          <w:sz w:val="22"/>
          <w:szCs w:val="22"/>
          <w:lang w:val="en-GB"/>
        </w:rPr>
        <w:fldChar w:fldCharType="end"/>
      </w:r>
      <w:r w:rsidR="00260E94">
        <w:rPr>
          <w:rFonts w:asciiTheme="majorHAnsi" w:hAnsiTheme="majorHAnsi" w:cstheme="majorBidi"/>
          <w:color w:val="auto"/>
          <w:sz w:val="22"/>
          <w:szCs w:val="22"/>
          <w:lang w:val="en-GB"/>
        </w:rPr>
        <w:t>.</w:t>
      </w:r>
    </w:p>
    <w:p w14:paraId="221117D2" w14:textId="7EB07188" w:rsidR="00944A6A" w:rsidRPr="002433E0" w:rsidRDefault="39268EC6" w:rsidP="5937A937">
      <w:pPr>
        <w:spacing w:after="120" w:line="360" w:lineRule="auto"/>
        <w:ind w:left="302" w:firstLine="418"/>
        <w:rPr>
          <w:rFonts w:asciiTheme="majorHAnsi" w:hAnsiTheme="majorHAnsi" w:cstheme="majorBidi"/>
          <w:color w:val="auto"/>
          <w:sz w:val="22"/>
          <w:szCs w:val="22"/>
          <w:lang w:val="en-GB"/>
        </w:rPr>
      </w:pPr>
      <w:r w:rsidRPr="5937A937">
        <w:rPr>
          <w:rFonts w:asciiTheme="majorHAnsi" w:hAnsiTheme="majorHAnsi" w:cstheme="majorBidi"/>
          <w:color w:val="auto"/>
          <w:sz w:val="22"/>
          <w:szCs w:val="22"/>
          <w:lang w:val="en-GB"/>
        </w:rPr>
        <w:t xml:space="preserve"> </w:t>
      </w:r>
    </w:p>
    <w:p w14:paraId="1D7160E9" w14:textId="77777777" w:rsidR="00613CE3" w:rsidRDefault="2A2B9DA1" w:rsidP="5937A937">
      <w:pPr>
        <w:keepNext/>
        <w:spacing w:line="360" w:lineRule="auto"/>
        <w:ind w:firstLine="64"/>
        <w:jc w:val="center"/>
      </w:pPr>
      <w:r>
        <w:rPr>
          <w:noProof/>
        </w:rPr>
        <w:drawing>
          <wp:inline distT="0" distB="0" distL="0" distR="0" wp14:anchorId="224CB413" wp14:editId="6FFB5BB5">
            <wp:extent cx="4337913" cy="2186882"/>
            <wp:effectExtent l="0" t="0" r="0" b="444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7913" cy="2186882"/>
                    </a:xfrm>
                    <a:prstGeom prst="rect">
                      <a:avLst/>
                    </a:prstGeom>
                  </pic:spPr>
                </pic:pic>
              </a:graphicData>
            </a:graphic>
          </wp:inline>
        </w:drawing>
      </w:r>
    </w:p>
    <w:p w14:paraId="06901E49" w14:textId="0F2BDC05" w:rsidR="00613CE3" w:rsidRDefault="00613CE3" w:rsidP="00613CE3">
      <w:pPr>
        <w:pStyle w:val="Caption"/>
        <w:jc w:val="center"/>
        <w:rPr>
          <w:rFonts w:ascii="Times New Roman" w:hAnsi="Times New Roman"/>
          <w:sz w:val="22"/>
        </w:rPr>
      </w:pPr>
      <w:bookmarkStart w:id="19" w:name="_Toc84018237"/>
      <w:r>
        <w:t xml:space="preserve">Figure </w:t>
      </w:r>
      <w:fldSimple w:instr=" SEQ Figure \* ARABIC ">
        <w:r w:rsidR="00945B67">
          <w:rPr>
            <w:noProof/>
          </w:rPr>
          <w:t>2</w:t>
        </w:r>
      </w:fldSimple>
      <w:r>
        <w:t xml:space="preserve">. </w:t>
      </w:r>
      <w:r w:rsidRPr="00E56525">
        <w:t>Port</w:t>
      </w:r>
      <w:r w:rsidR="009275AC">
        <w:t xml:space="preserve"> of </w:t>
      </w:r>
      <w:r w:rsidR="009275AC" w:rsidRPr="00E56525">
        <w:t>Rotterdam</w:t>
      </w:r>
      <w:r w:rsidRPr="00E56525">
        <w:t xml:space="preserve"> Bunker Sales</w:t>
      </w:r>
      <w:r w:rsidR="005A7931">
        <w:t xml:space="preserve"> 2018-2021</w:t>
      </w:r>
      <w:r w:rsidR="00AB7E5D">
        <w:t xml:space="preserve"> (source:</w:t>
      </w:r>
      <w:r w:rsidR="00106F23">
        <w:t xml:space="preserve"> Port of Rotterdam</w:t>
      </w:r>
      <w:r w:rsidR="005A7931">
        <w:t>, 2021)</w:t>
      </w:r>
      <w:bookmarkEnd w:id="19"/>
    </w:p>
    <w:p w14:paraId="0B15CF30" w14:textId="0D801AC8" w:rsidR="00D8002E" w:rsidRPr="00EA5EF1" w:rsidRDefault="00096512" w:rsidP="00613CE3">
      <w:pPr>
        <w:spacing w:line="360" w:lineRule="auto"/>
        <w:ind w:left="296" w:firstLine="424"/>
        <w:rPr>
          <w:rFonts w:ascii="Times New Roman" w:hAnsi="Times New Roman"/>
          <w:sz w:val="22"/>
          <w:szCs w:val="22"/>
          <w:lang w:val="en-GB"/>
        </w:rPr>
      </w:pPr>
      <w:r w:rsidRPr="00EA5EF1">
        <w:rPr>
          <w:rFonts w:ascii="Times New Roman" w:hAnsi="Times New Roman"/>
          <w:sz w:val="22"/>
          <w:szCs w:val="22"/>
          <w:lang w:val="en-GB"/>
        </w:rPr>
        <w:t xml:space="preserve"> </w:t>
      </w:r>
    </w:p>
    <w:p w14:paraId="0317D426" w14:textId="1369960E" w:rsidR="00AF68FD" w:rsidRDefault="00ED7115" w:rsidP="009275AC">
      <w:pPr>
        <w:spacing w:after="120" w:line="360" w:lineRule="auto"/>
        <w:ind w:left="302" w:firstLine="418"/>
        <w:rPr>
          <w:rFonts w:asciiTheme="majorHAnsi" w:hAnsiTheme="majorHAnsi" w:cstheme="majorHAnsi"/>
          <w:sz w:val="22"/>
          <w:szCs w:val="22"/>
          <w:lang w:val="en-GB"/>
        </w:rPr>
      </w:pPr>
      <w:r>
        <w:rPr>
          <w:rFonts w:asciiTheme="majorHAnsi" w:hAnsiTheme="majorHAnsi" w:cstheme="majorHAnsi"/>
          <w:sz w:val="22"/>
          <w:szCs w:val="22"/>
          <w:lang w:val="en-GB"/>
        </w:rPr>
        <w:t>T</w:t>
      </w:r>
      <w:r w:rsidR="0003492A" w:rsidRPr="009275AC">
        <w:rPr>
          <w:rFonts w:asciiTheme="majorHAnsi" w:hAnsiTheme="majorHAnsi" w:cstheme="majorHAnsi"/>
          <w:sz w:val="22"/>
          <w:szCs w:val="22"/>
          <w:lang w:val="en-GB"/>
        </w:rPr>
        <w:t xml:space="preserve">he </w:t>
      </w:r>
      <w:r w:rsidR="00EC4E10" w:rsidRPr="009275AC">
        <w:rPr>
          <w:rFonts w:asciiTheme="majorHAnsi" w:hAnsiTheme="majorHAnsi" w:cstheme="majorHAnsi"/>
          <w:sz w:val="22"/>
          <w:szCs w:val="22"/>
          <w:lang w:val="en-GB"/>
        </w:rPr>
        <w:t xml:space="preserve">preference of a particular fuel will </w:t>
      </w:r>
      <w:r w:rsidR="006E0704" w:rsidRPr="009275AC">
        <w:rPr>
          <w:rFonts w:asciiTheme="majorHAnsi" w:hAnsiTheme="majorHAnsi" w:cstheme="majorHAnsi"/>
          <w:sz w:val="22"/>
          <w:szCs w:val="22"/>
          <w:lang w:val="en-GB"/>
        </w:rPr>
        <w:t>be influenced by three aspects, namely</w:t>
      </w:r>
      <w:r w:rsidR="001542BF" w:rsidRPr="009275AC">
        <w:rPr>
          <w:rFonts w:asciiTheme="majorHAnsi" w:hAnsiTheme="majorHAnsi" w:cstheme="majorHAnsi"/>
          <w:sz w:val="22"/>
          <w:szCs w:val="22"/>
          <w:lang w:val="en-GB"/>
        </w:rPr>
        <w:t xml:space="preserve">: </w:t>
      </w:r>
      <w:proofErr w:type="spellStart"/>
      <w:r w:rsidR="001542BF" w:rsidRPr="009275AC">
        <w:rPr>
          <w:rFonts w:asciiTheme="majorHAnsi" w:hAnsiTheme="majorHAnsi" w:cstheme="majorHAnsi"/>
          <w:sz w:val="22"/>
          <w:szCs w:val="22"/>
          <w:lang w:val="en-GB"/>
        </w:rPr>
        <w:t>i</w:t>
      </w:r>
      <w:proofErr w:type="spellEnd"/>
      <w:r w:rsidR="001542BF" w:rsidRPr="009275AC">
        <w:rPr>
          <w:rFonts w:asciiTheme="majorHAnsi" w:hAnsiTheme="majorHAnsi" w:cstheme="majorHAnsi"/>
          <w:sz w:val="22"/>
          <w:szCs w:val="22"/>
          <w:lang w:val="en-GB"/>
        </w:rPr>
        <w:t>) fuel energy density; ii)</w:t>
      </w:r>
      <w:r w:rsidR="00D03016" w:rsidRPr="009275AC">
        <w:rPr>
          <w:rFonts w:asciiTheme="majorHAnsi" w:hAnsiTheme="majorHAnsi" w:cstheme="majorHAnsi"/>
          <w:sz w:val="22"/>
          <w:szCs w:val="22"/>
          <w:lang w:val="en-GB"/>
        </w:rPr>
        <w:t xml:space="preserve"> compatibility</w:t>
      </w:r>
      <w:r w:rsidR="0003492A" w:rsidRPr="009275AC">
        <w:rPr>
          <w:rFonts w:asciiTheme="majorHAnsi" w:hAnsiTheme="majorHAnsi" w:cstheme="majorHAnsi"/>
          <w:sz w:val="22"/>
          <w:szCs w:val="22"/>
          <w:lang w:val="en-GB"/>
        </w:rPr>
        <w:t xml:space="preserve"> </w:t>
      </w:r>
      <w:r w:rsidR="00D03016" w:rsidRPr="009275AC">
        <w:rPr>
          <w:rFonts w:asciiTheme="majorHAnsi" w:hAnsiTheme="majorHAnsi" w:cstheme="majorHAnsi"/>
          <w:sz w:val="22"/>
          <w:szCs w:val="22"/>
          <w:lang w:val="en-GB"/>
        </w:rPr>
        <w:t xml:space="preserve">with existing </w:t>
      </w:r>
      <w:r w:rsidR="00C24CC4" w:rsidRPr="009275AC">
        <w:rPr>
          <w:rFonts w:asciiTheme="majorHAnsi" w:hAnsiTheme="majorHAnsi" w:cstheme="majorHAnsi"/>
          <w:sz w:val="22"/>
          <w:szCs w:val="22"/>
          <w:lang w:val="en-GB"/>
        </w:rPr>
        <w:t>infrastructure</w:t>
      </w:r>
      <w:r w:rsidR="00D03016" w:rsidRPr="009275AC">
        <w:rPr>
          <w:rFonts w:asciiTheme="majorHAnsi" w:hAnsiTheme="majorHAnsi" w:cstheme="majorHAnsi"/>
          <w:sz w:val="22"/>
          <w:szCs w:val="22"/>
          <w:lang w:val="en-GB"/>
        </w:rPr>
        <w:t xml:space="preserve"> and properties; iii) </w:t>
      </w:r>
      <w:r w:rsidR="00BB55C7" w:rsidRPr="009275AC">
        <w:rPr>
          <w:rFonts w:asciiTheme="majorHAnsi" w:hAnsiTheme="majorHAnsi" w:cstheme="majorHAnsi"/>
          <w:sz w:val="22"/>
          <w:szCs w:val="22"/>
          <w:lang w:val="en-GB"/>
        </w:rPr>
        <w:t>external factors, e.g., price, availability,</w:t>
      </w:r>
      <w:r w:rsidR="00D153E6">
        <w:rPr>
          <w:rFonts w:asciiTheme="majorHAnsi" w:hAnsiTheme="majorHAnsi" w:cstheme="majorHAnsi"/>
          <w:sz w:val="22"/>
          <w:szCs w:val="22"/>
          <w:lang w:val="en-GB"/>
        </w:rPr>
        <w:t xml:space="preserve"> and</w:t>
      </w:r>
      <w:r w:rsidR="00BB55C7" w:rsidRPr="009275AC">
        <w:rPr>
          <w:rFonts w:asciiTheme="majorHAnsi" w:hAnsiTheme="majorHAnsi" w:cstheme="majorHAnsi"/>
          <w:sz w:val="22"/>
          <w:szCs w:val="22"/>
          <w:lang w:val="en-GB"/>
        </w:rPr>
        <w:t xml:space="preserve"> </w:t>
      </w:r>
      <w:r w:rsidR="00BD56BD" w:rsidRPr="009275AC">
        <w:rPr>
          <w:rFonts w:asciiTheme="majorHAnsi" w:hAnsiTheme="majorHAnsi" w:cstheme="majorHAnsi"/>
          <w:sz w:val="22"/>
          <w:szCs w:val="22"/>
          <w:lang w:val="en-GB"/>
        </w:rPr>
        <w:t>storage</w:t>
      </w:r>
      <w:r w:rsidR="00AF68FD" w:rsidRPr="009275AC">
        <w:rPr>
          <w:rFonts w:asciiTheme="majorHAnsi" w:hAnsiTheme="majorHAnsi" w:cstheme="majorHAnsi"/>
          <w:sz w:val="22"/>
          <w:szCs w:val="22"/>
          <w:lang w:val="en-GB"/>
        </w:rPr>
        <w:t>.</w:t>
      </w:r>
      <w:r w:rsidR="0068794A" w:rsidRPr="009275AC">
        <w:rPr>
          <w:rFonts w:asciiTheme="majorHAnsi" w:hAnsiTheme="majorHAnsi" w:cstheme="majorHAnsi"/>
          <w:sz w:val="22"/>
          <w:szCs w:val="22"/>
          <w:lang w:val="en-GB"/>
        </w:rPr>
        <w:t xml:space="preserve"> Figure</w:t>
      </w:r>
      <w:r w:rsidR="002D1131">
        <w:rPr>
          <w:rFonts w:asciiTheme="majorHAnsi" w:hAnsiTheme="majorHAnsi" w:cstheme="majorHAnsi"/>
          <w:sz w:val="22"/>
          <w:szCs w:val="22"/>
          <w:lang w:val="en-GB"/>
        </w:rPr>
        <w:t xml:space="preserve"> 3</w:t>
      </w:r>
      <w:r w:rsidR="0068794A" w:rsidRPr="009275AC">
        <w:rPr>
          <w:rFonts w:asciiTheme="majorHAnsi" w:hAnsiTheme="majorHAnsi" w:cstheme="majorHAnsi"/>
          <w:sz w:val="22"/>
          <w:szCs w:val="22"/>
          <w:lang w:val="en-GB"/>
        </w:rPr>
        <w:t xml:space="preserve"> depicts the energy density of </w:t>
      </w:r>
      <w:r w:rsidR="001B3050" w:rsidRPr="009275AC">
        <w:rPr>
          <w:rFonts w:asciiTheme="majorHAnsi" w:hAnsiTheme="majorHAnsi" w:cstheme="majorHAnsi"/>
          <w:sz w:val="22"/>
          <w:szCs w:val="22"/>
          <w:lang w:val="en-GB"/>
        </w:rPr>
        <w:t xml:space="preserve">different </w:t>
      </w:r>
      <w:r w:rsidR="008F1FE8" w:rsidRPr="009275AC">
        <w:rPr>
          <w:rFonts w:asciiTheme="majorHAnsi" w:hAnsiTheme="majorHAnsi" w:cstheme="majorHAnsi"/>
          <w:sz w:val="22"/>
          <w:szCs w:val="22"/>
          <w:lang w:val="en-GB"/>
        </w:rPr>
        <w:t xml:space="preserve">fuels for marine application, considering the tank weight </w:t>
      </w:r>
      <w:r w:rsidR="008903DA" w:rsidRPr="009275AC">
        <w:rPr>
          <w:rFonts w:asciiTheme="majorHAnsi" w:hAnsiTheme="majorHAnsi" w:cstheme="majorHAnsi"/>
          <w:sz w:val="22"/>
          <w:szCs w:val="22"/>
          <w:lang w:val="en-GB"/>
        </w:rPr>
        <w:t>needed</w:t>
      </w:r>
      <w:r w:rsidR="001B3050" w:rsidRPr="009275AC">
        <w:rPr>
          <w:rFonts w:asciiTheme="majorHAnsi" w:hAnsiTheme="majorHAnsi" w:cstheme="majorHAnsi"/>
          <w:sz w:val="22"/>
          <w:szCs w:val="22"/>
          <w:lang w:val="en-GB"/>
        </w:rPr>
        <w:t>.</w:t>
      </w:r>
      <w:r w:rsidR="006F3560">
        <w:rPr>
          <w:rFonts w:asciiTheme="majorHAnsi" w:hAnsiTheme="majorHAnsi" w:cstheme="majorHAnsi"/>
          <w:sz w:val="22"/>
          <w:szCs w:val="22"/>
          <w:lang w:val="en-GB"/>
        </w:rPr>
        <w:t xml:space="preserve"> </w:t>
      </w:r>
      <w:r w:rsidR="004B1348">
        <w:rPr>
          <w:rFonts w:asciiTheme="majorHAnsi" w:hAnsiTheme="majorHAnsi" w:cstheme="majorHAnsi"/>
          <w:sz w:val="22"/>
          <w:szCs w:val="22"/>
          <w:lang w:val="en-GB"/>
        </w:rPr>
        <w:t xml:space="preserve">High energy </w:t>
      </w:r>
      <w:r w:rsidR="001A05CB">
        <w:rPr>
          <w:rFonts w:asciiTheme="majorHAnsi" w:hAnsiTheme="majorHAnsi" w:cstheme="majorHAnsi"/>
          <w:sz w:val="22"/>
          <w:szCs w:val="22"/>
          <w:lang w:val="en-GB"/>
        </w:rPr>
        <w:t xml:space="preserve">density implies that the fuel requires less space, which </w:t>
      </w:r>
      <w:r w:rsidR="00B12768">
        <w:rPr>
          <w:rFonts w:asciiTheme="majorHAnsi" w:hAnsiTheme="majorHAnsi" w:cstheme="majorHAnsi"/>
          <w:sz w:val="22"/>
          <w:szCs w:val="22"/>
          <w:lang w:val="en-GB"/>
        </w:rPr>
        <w:t>allows better use of onboard space</w:t>
      </w:r>
      <w:r w:rsidR="004B5E01">
        <w:rPr>
          <w:rFonts w:asciiTheme="majorHAnsi" w:hAnsiTheme="majorHAnsi" w:cstheme="majorHAnsi"/>
          <w:sz w:val="22"/>
          <w:szCs w:val="22"/>
          <w:lang w:val="en-GB"/>
        </w:rPr>
        <w:t xml:space="preserve">. The energy density also determines </w:t>
      </w:r>
      <w:r w:rsidR="00ED3426">
        <w:rPr>
          <w:rFonts w:asciiTheme="majorHAnsi" w:hAnsiTheme="majorHAnsi" w:cstheme="majorHAnsi"/>
          <w:sz w:val="22"/>
          <w:szCs w:val="22"/>
          <w:lang w:val="en-GB"/>
        </w:rPr>
        <w:t xml:space="preserve">whether a fuel can be used in certain ship </w:t>
      </w:r>
      <w:r w:rsidR="00B6331F">
        <w:rPr>
          <w:rFonts w:asciiTheme="majorHAnsi" w:hAnsiTheme="majorHAnsi" w:cstheme="majorHAnsi"/>
          <w:sz w:val="22"/>
          <w:szCs w:val="22"/>
          <w:lang w:val="en-GB"/>
        </w:rPr>
        <w:t xml:space="preserve">and ship operation. As can be observed </w:t>
      </w:r>
      <w:r w:rsidR="00400C75">
        <w:rPr>
          <w:rFonts w:asciiTheme="majorHAnsi" w:hAnsiTheme="majorHAnsi" w:cstheme="majorHAnsi"/>
          <w:sz w:val="22"/>
          <w:szCs w:val="22"/>
          <w:lang w:val="en-GB"/>
        </w:rPr>
        <w:t xml:space="preserve">some </w:t>
      </w:r>
      <w:r w:rsidR="007A48C3">
        <w:rPr>
          <w:rFonts w:asciiTheme="majorHAnsi" w:hAnsiTheme="majorHAnsi" w:cstheme="majorHAnsi"/>
          <w:sz w:val="22"/>
          <w:szCs w:val="22"/>
          <w:lang w:val="en-GB"/>
        </w:rPr>
        <w:t xml:space="preserve">biofuels such as FAME, </w:t>
      </w:r>
      <w:r w:rsidR="00037058">
        <w:rPr>
          <w:rFonts w:asciiTheme="majorHAnsi" w:hAnsiTheme="majorHAnsi" w:cstheme="majorHAnsi"/>
          <w:sz w:val="22"/>
          <w:szCs w:val="22"/>
          <w:lang w:val="en-GB"/>
        </w:rPr>
        <w:t>have lower energy density</w:t>
      </w:r>
      <w:r w:rsidR="00BA21C3">
        <w:rPr>
          <w:rFonts w:asciiTheme="majorHAnsi" w:hAnsiTheme="majorHAnsi" w:cstheme="majorHAnsi"/>
          <w:sz w:val="22"/>
          <w:szCs w:val="22"/>
          <w:lang w:val="en-GB"/>
        </w:rPr>
        <w:t xml:space="preserve"> than HFO. </w:t>
      </w:r>
      <w:r w:rsidR="00C9297A">
        <w:rPr>
          <w:rFonts w:asciiTheme="majorHAnsi" w:hAnsiTheme="majorHAnsi" w:cstheme="majorHAnsi"/>
          <w:sz w:val="22"/>
          <w:szCs w:val="22"/>
          <w:lang w:val="en-GB"/>
        </w:rPr>
        <w:t xml:space="preserve">Moreover, fuels like Ammonia or Hydrogen </w:t>
      </w:r>
      <w:r w:rsidR="00C659F1">
        <w:rPr>
          <w:rFonts w:asciiTheme="majorHAnsi" w:hAnsiTheme="majorHAnsi" w:cstheme="majorHAnsi"/>
          <w:sz w:val="22"/>
          <w:szCs w:val="22"/>
          <w:lang w:val="en-GB"/>
        </w:rPr>
        <w:t xml:space="preserve">require special storage. The energy density </w:t>
      </w:r>
      <w:r w:rsidR="003226E3">
        <w:rPr>
          <w:rFonts w:asciiTheme="majorHAnsi" w:hAnsiTheme="majorHAnsi" w:cstheme="majorHAnsi"/>
          <w:sz w:val="22"/>
          <w:szCs w:val="22"/>
          <w:lang w:val="en-GB"/>
        </w:rPr>
        <w:t>and the storage system will</w:t>
      </w:r>
      <w:r w:rsidR="00400C75">
        <w:rPr>
          <w:rFonts w:asciiTheme="majorHAnsi" w:hAnsiTheme="majorHAnsi" w:cstheme="majorHAnsi"/>
          <w:sz w:val="22"/>
          <w:szCs w:val="22"/>
          <w:lang w:val="en-GB"/>
        </w:rPr>
        <w:t xml:space="preserve"> also</w:t>
      </w:r>
      <w:r w:rsidR="003226E3">
        <w:rPr>
          <w:rFonts w:asciiTheme="majorHAnsi" w:hAnsiTheme="majorHAnsi" w:cstheme="majorHAnsi"/>
          <w:sz w:val="22"/>
          <w:szCs w:val="22"/>
          <w:lang w:val="en-GB"/>
        </w:rPr>
        <w:t xml:space="preserve"> </w:t>
      </w:r>
      <w:r w:rsidR="00BA669D">
        <w:rPr>
          <w:rFonts w:asciiTheme="majorHAnsi" w:hAnsiTheme="majorHAnsi" w:cstheme="majorHAnsi"/>
          <w:sz w:val="22"/>
          <w:szCs w:val="22"/>
          <w:lang w:val="en-GB"/>
        </w:rPr>
        <w:t>impact</w:t>
      </w:r>
      <w:r w:rsidR="003226E3">
        <w:rPr>
          <w:rFonts w:asciiTheme="majorHAnsi" w:hAnsiTheme="majorHAnsi" w:cstheme="majorHAnsi"/>
          <w:sz w:val="22"/>
          <w:szCs w:val="22"/>
          <w:lang w:val="en-GB"/>
        </w:rPr>
        <w:t xml:space="preserve"> the bunker frequency</w:t>
      </w:r>
      <w:r w:rsidR="00BA669D">
        <w:rPr>
          <w:rFonts w:asciiTheme="majorHAnsi" w:hAnsiTheme="majorHAnsi" w:cstheme="majorHAnsi"/>
          <w:sz w:val="22"/>
          <w:szCs w:val="22"/>
          <w:lang w:val="en-GB"/>
        </w:rPr>
        <w:t xml:space="preserve"> </w:t>
      </w:r>
      <w:r w:rsidR="00E42C76">
        <w:rPr>
          <w:rFonts w:asciiTheme="majorHAnsi" w:hAnsiTheme="majorHAnsi" w:cstheme="majorHAnsi"/>
          <w:sz w:val="22"/>
          <w:szCs w:val="22"/>
          <w:lang w:val="en-GB"/>
        </w:rPr>
        <w:fldChar w:fldCharType="begin" w:fldLock="1"/>
      </w:r>
      <w:r w:rsidR="009A0677">
        <w:rPr>
          <w:rFonts w:asciiTheme="majorHAnsi" w:hAnsiTheme="majorHAnsi" w:cstheme="majorHAns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E42C76">
        <w:rPr>
          <w:rFonts w:asciiTheme="majorHAnsi" w:hAnsiTheme="majorHAnsi" w:cstheme="majorHAnsi"/>
          <w:sz w:val="22"/>
          <w:szCs w:val="22"/>
          <w:lang w:val="en-GB"/>
        </w:rPr>
        <w:fldChar w:fldCharType="separate"/>
      </w:r>
      <w:r w:rsidR="00E42C76" w:rsidRPr="00E42C76">
        <w:rPr>
          <w:rFonts w:asciiTheme="majorHAnsi" w:hAnsiTheme="majorHAnsi" w:cstheme="majorHAnsi"/>
          <w:noProof/>
          <w:sz w:val="22"/>
          <w:szCs w:val="22"/>
          <w:lang w:val="en-GB"/>
        </w:rPr>
        <w:t>(DNV GL, 2019)</w:t>
      </w:r>
      <w:r w:rsidR="00E42C76">
        <w:rPr>
          <w:rFonts w:asciiTheme="majorHAnsi" w:hAnsiTheme="majorHAnsi" w:cstheme="majorHAnsi"/>
          <w:sz w:val="22"/>
          <w:szCs w:val="22"/>
          <w:lang w:val="en-GB"/>
        </w:rPr>
        <w:fldChar w:fldCharType="end"/>
      </w:r>
      <w:r w:rsidR="00BA669D">
        <w:rPr>
          <w:rFonts w:asciiTheme="majorHAnsi" w:hAnsiTheme="majorHAnsi" w:cstheme="majorHAnsi"/>
          <w:sz w:val="22"/>
          <w:szCs w:val="22"/>
          <w:lang w:val="en-GB"/>
        </w:rPr>
        <w:t xml:space="preserve">. </w:t>
      </w:r>
    </w:p>
    <w:p w14:paraId="3B11A2A2" w14:textId="77777777" w:rsidR="00D153E6" w:rsidRDefault="31B4E4AC" w:rsidP="5937A937">
      <w:pPr>
        <w:keepNext/>
        <w:spacing w:after="120" w:line="360" w:lineRule="auto"/>
        <w:ind w:hanging="32"/>
        <w:jc w:val="center"/>
      </w:pPr>
      <w:r>
        <w:rPr>
          <w:noProof/>
        </w:rPr>
        <w:lastRenderedPageBreak/>
        <w:drawing>
          <wp:inline distT="0" distB="0" distL="0" distR="0" wp14:anchorId="527CA9F3" wp14:editId="2A26F396">
            <wp:extent cx="3269775" cy="2934032"/>
            <wp:effectExtent l="0" t="0" r="6985"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4644" cy="2938401"/>
                    </a:xfrm>
                    <a:prstGeom prst="rect">
                      <a:avLst/>
                    </a:prstGeom>
                  </pic:spPr>
                </pic:pic>
              </a:graphicData>
            </a:graphic>
          </wp:inline>
        </w:drawing>
      </w:r>
    </w:p>
    <w:p w14:paraId="5DE97639" w14:textId="03DE808E" w:rsidR="00AF68FD" w:rsidRDefault="00D153E6" w:rsidP="002D1131">
      <w:pPr>
        <w:pStyle w:val="Caption"/>
        <w:jc w:val="center"/>
      </w:pPr>
      <w:bookmarkStart w:id="20" w:name="_Toc84018238"/>
      <w:r>
        <w:t xml:space="preserve">Figure </w:t>
      </w:r>
      <w:fldSimple w:instr=" SEQ Figure \* ARABIC ">
        <w:r w:rsidR="00945B67">
          <w:rPr>
            <w:noProof/>
          </w:rPr>
          <w:t>3</w:t>
        </w:r>
      </w:fldSimple>
      <w:r>
        <w:t>. Energy density of several fuels considering tank weights and the low heating value</w:t>
      </w:r>
      <w:r w:rsidR="00820B51">
        <w:t xml:space="preserve"> </w:t>
      </w:r>
      <w:r>
        <w:t>(</w:t>
      </w:r>
      <w:r w:rsidR="00AB7E5D">
        <w:t>source</w:t>
      </w:r>
      <w:r>
        <w:t>: The Royal Society 2019)</w:t>
      </w:r>
      <w:bookmarkEnd w:id="20"/>
      <w:r w:rsidR="002D1131">
        <w:t xml:space="preserve"> </w:t>
      </w:r>
      <w:r w:rsidR="00954A50">
        <w:t>*LNG value will be similar to LPG</w:t>
      </w:r>
    </w:p>
    <w:p w14:paraId="27369B06" w14:textId="77777777" w:rsidR="00D8002E" w:rsidRDefault="00D8002E" w:rsidP="00607FA0">
      <w:pPr>
        <w:rPr>
          <w:lang w:val="en-GB"/>
        </w:rPr>
      </w:pPr>
    </w:p>
    <w:p w14:paraId="5F0D119F" w14:textId="58FF9F57" w:rsidR="00C44342" w:rsidRPr="00E24E04" w:rsidRDefault="008903DA" w:rsidP="5937A937">
      <w:pPr>
        <w:spacing w:after="120" w:line="360" w:lineRule="auto"/>
        <w:ind w:left="302" w:firstLine="418"/>
        <w:rPr>
          <w:rFonts w:asciiTheme="majorHAnsi" w:hAnsiTheme="majorHAnsi" w:cstheme="majorBidi"/>
          <w:sz w:val="22"/>
          <w:szCs w:val="22"/>
          <w:lang w:val="en-GB"/>
        </w:rPr>
      </w:pPr>
      <w:r w:rsidRPr="00D0363C">
        <w:rPr>
          <w:rFonts w:ascii="Times New Roman" w:hAnsi="Times New Roman"/>
          <w:sz w:val="22"/>
          <w:szCs w:val="22"/>
          <w:lang w:val="en-GB"/>
        </w:rPr>
        <w:tab/>
      </w:r>
      <w:r w:rsidR="00963F36" w:rsidRPr="00963F36">
        <w:rPr>
          <w:rFonts w:asciiTheme="majorHAnsi" w:hAnsiTheme="majorHAnsi" w:cstheme="majorBidi"/>
          <w:sz w:val="22"/>
          <w:szCs w:val="22"/>
          <w:lang w:val="en-GB"/>
        </w:rPr>
        <w:t>Although the current infrastructure is mostly designed for liquid fuels</w:t>
      </w:r>
      <w:r w:rsidR="0068583B">
        <w:rPr>
          <w:rFonts w:asciiTheme="majorHAnsi" w:hAnsiTheme="majorHAnsi" w:cstheme="majorBidi"/>
          <w:sz w:val="22"/>
          <w:szCs w:val="22"/>
          <w:lang w:val="en-GB"/>
        </w:rPr>
        <w:t xml:space="preserve"> (at ambient temperatures)</w:t>
      </w:r>
      <w:r w:rsidR="00963F36" w:rsidRPr="00963F36">
        <w:rPr>
          <w:rFonts w:asciiTheme="majorHAnsi" w:hAnsiTheme="majorHAnsi" w:cstheme="majorBidi"/>
          <w:sz w:val="22"/>
          <w:szCs w:val="22"/>
          <w:lang w:val="en-GB"/>
        </w:rPr>
        <w:t xml:space="preserve">, there </w:t>
      </w:r>
      <w:r w:rsidR="007F0A29">
        <w:rPr>
          <w:rFonts w:asciiTheme="majorHAnsi" w:hAnsiTheme="majorHAnsi" w:cstheme="majorBidi"/>
          <w:sz w:val="22"/>
          <w:szCs w:val="22"/>
          <w:lang w:val="en-GB"/>
        </w:rPr>
        <w:t>are</w:t>
      </w:r>
      <w:r w:rsidR="00963F36" w:rsidRPr="00963F36">
        <w:rPr>
          <w:rFonts w:asciiTheme="majorHAnsi" w:hAnsiTheme="majorHAnsi" w:cstheme="majorBidi"/>
          <w:sz w:val="22"/>
          <w:szCs w:val="22"/>
          <w:lang w:val="en-GB"/>
        </w:rPr>
        <w:t xml:space="preserve"> growing efforts towards gaseous</w:t>
      </w:r>
      <w:r w:rsidR="0068583B">
        <w:rPr>
          <w:rFonts w:asciiTheme="majorHAnsi" w:hAnsiTheme="majorHAnsi" w:cstheme="majorBidi"/>
          <w:sz w:val="22"/>
          <w:szCs w:val="22"/>
          <w:lang w:val="en-GB"/>
        </w:rPr>
        <w:t xml:space="preserve"> (compressed or cooled) </w:t>
      </w:r>
      <w:r w:rsidR="00963F36" w:rsidRPr="00963F36">
        <w:rPr>
          <w:rFonts w:asciiTheme="majorHAnsi" w:hAnsiTheme="majorHAnsi" w:cstheme="majorBidi"/>
          <w:sz w:val="22"/>
          <w:szCs w:val="22"/>
          <w:lang w:val="en-GB"/>
        </w:rPr>
        <w:t>alternatives</w:t>
      </w:r>
      <w:r w:rsidR="778312A9" w:rsidRPr="5937A937">
        <w:rPr>
          <w:rFonts w:asciiTheme="majorHAnsi" w:hAnsiTheme="majorHAnsi" w:cstheme="majorBidi"/>
          <w:sz w:val="22"/>
          <w:szCs w:val="22"/>
          <w:lang w:val="en-GB"/>
        </w:rPr>
        <w:t xml:space="preserve">. </w:t>
      </w:r>
      <w:r w:rsidR="7FAAAC99" w:rsidRPr="5937A937">
        <w:rPr>
          <w:rFonts w:asciiTheme="majorHAnsi" w:hAnsiTheme="majorHAnsi" w:cstheme="majorBidi"/>
          <w:sz w:val="22"/>
          <w:szCs w:val="22"/>
          <w:lang w:val="en-GB"/>
        </w:rPr>
        <w:t xml:space="preserve">Fuelling ships with gaseous alternatives has been considered a promising alternative </w:t>
      </w:r>
      <w:r w:rsidR="5C090E13" w:rsidRPr="5937A937">
        <w:rPr>
          <w:rFonts w:asciiTheme="majorHAnsi" w:hAnsiTheme="majorHAnsi" w:cstheme="majorBidi"/>
          <w:sz w:val="22"/>
          <w:szCs w:val="22"/>
          <w:lang w:val="en-GB"/>
        </w:rPr>
        <w:t xml:space="preserve">by some, since </w:t>
      </w:r>
      <w:r w:rsidR="13ED244C" w:rsidRPr="5937A937">
        <w:rPr>
          <w:rFonts w:asciiTheme="majorHAnsi" w:hAnsiTheme="majorHAnsi" w:cstheme="majorBidi"/>
          <w:sz w:val="22"/>
          <w:szCs w:val="22"/>
          <w:lang w:val="en-GB"/>
        </w:rPr>
        <w:t xml:space="preserve">fossil-based </w:t>
      </w:r>
      <w:r w:rsidR="4C763A96" w:rsidRPr="5937A937">
        <w:rPr>
          <w:rFonts w:asciiTheme="majorHAnsi" w:hAnsiTheme="majorHAnsi" w:cstheme="majorBidi"/>
          <w:sz w:val="22"/>
          <w:szCs w:val="22"/>
          <w:lang w:val="en-GB"/>
        </w:rPr>
        <w:t>Liquified Nat</w:t>
      </w:r>
      <w:r w:rsidR="77319B9E" w:rsidRPr="5937A937">
        <w:rPr>
          <w:rFonts w:asciiTheme="majorHAnsi" w:hAnsiTheme="majorHAnsi" w:cstheme="majorBidi"/>
          <w:sz w:val="22"/>
          <w:szCs w:val="22"/>
          <w:lang w:val="en-GB"/>
        </w:rPr>
        <w:t xml:space="preserve">ural Gas (LNG) </w:t>
      </w:r>
      <w:r w:rsidR="5C6A7C8B" w:rsidRPr="5937A937">
        <w:rPr>
          <w:rFonts w:asciiTheme="majorHAnsi" w:hAnsiTheme="majorHAnsi" w:cstheme="majorBidi"/>
          <w:sz w:val="22"/>
          <w:szCs w:val="22"/>
          <w:lang w:val="en-GB"/>
        </w:rPr>
        <w:t>c</w:t>
      </w:r>
      <w:r w:rsidR="349B4BF4" w:rsidRPr="5937A937">
        <w:rPr>
          <w:rFonts w:asciiTheme="majorHAnsi" w:hAnsiTheme="majorHAnsi" w:cstheme="majorBidi"/>
          <w:sz w:val="22"/>
          <w:szCs w:val="22"/>
          <w:lang w:val="en-GB"/>
        </w:rPr>
        <w:t xml:space="preserve">ould be a readily </w:t>
      </w:r>
      <w:r w:rsidR="5C6A7C8B" w:rsidRPr="5937A937">
        <w:rPr>
          <w:rFonts w:asciiTheme="majorHAnsi" w:hAnsiTheme="majorHAnsi" w:cstheme="majorBidi"/>
          <w:sz w:val="22"/>
          <w:szCs w:val="22"/>
          <w:lang w:val="en-GB"/>
        </w:rPr>
        <w:t xml:space="preserve">cleaner </w:t>
      </w:r>
      <w:r w:rsidR="24969FBB" w:rsidRPr="5937A937">
        <w:rPr>
          <w:rFonts w:asciiTheme="majorHAnsi" w:hAnsiTheme="majorHAnsi" w:cstheme="majorBidi"/>
          <w:sz w:val="22"/>
          <w:szCs w:val="22"/>
          <w:lang w:val="en-GB"/>
        </w:rPr>
        <w:t>option</w:t>
      </w:r>
      <w:r w:rsidR="5C6A7C8B" w:rsidRPr="5937A937">
        <w:rPr>
          <w:rFonts w:asciiTheme="majorHAnsi" w:hAnsiTheme="majorHAnsi" w:cstheme="majorBidi"/>
          <w:sz w:val="22"/>
          <w:szCs w:val="22"/>
          <w:lang w:val="en-GB"/>
        </w:rPr>
        <w:t xml:space="preserve">, in terms of </w:t>
      </w:r>
      <w:proofErr w:type="spellStart"/>
      <w:r w:rsidR="5C6A7C8B" w:rsidRPr="5937A937">
        <w:rPr>
          <w:rFonts w:asciiTheme="majorHAnsi" w:hAnsiTheme="majorHAnsi" w:cstheme="majorBidi"/>
          <w:sz w:val="22"/>
          <w:szCs w:val="22"/>
          <w:lang w:val="en-GB"/>
        </w:rPr>
        <w:t>C</w:t>
      </w:r>
      <w:r w:rsidR="55A32D96" w:rsidRPr="5937A937">
        <w:rPr>
          <w:rFonts w:asciiTheme="majorHAnsi" w:hAnsiTheme="majorHAnsi" w:cstheme="majorBidi"/>
          <w:sz w:val="22"/>
          <w:szCs w:val="22"/>
          <w:lang w:val="en-GB"/>
        </w:rPr>
        <w:t>Ox</w:t>
      </w:r>
      <w:proofErr w:type="spellEnd"/>
      <w:r w:rsidR="55A32D96" w:rsidRPr="5937A937">
        <w:rPr>
          <w:rFonts w:asciiTheme="majorHAnsi" w:hAnsiTheme="majorHAnsi" w:cstheme="majorBidi"/>
          <w:sz w:val="22"/>
          <w:szCs w:val="22"/>
          <w:lang w:val="en-GB"/>
        </w:rPr>
        <w:t xml:space="preserve">, </w:t>
      </w:r>
      <w:proofErr w:type="spellStart"/>
      <w:r w:rsidR="55A32D96" w:rsidRPr="5937A937">
        <w:rPr>
          <w:rFonts w:asciiTheme="majorHAnsi" w:hAnsiTheme="majorHAnsi" w:cstheme="majorBidi"/>
          <w:sz w:val="22"/>
          <w:szCs w:val="22"/>
          <w:lang w:val="en-GB"/>
        </w:rPr>
        <w:t>SOx</w:t>
      </w:r>
      <w:proofErr w:type="spellEnd"/>
      <w:r w:rsidR="55A32D96" w:rsidRPr="5937A937">
        <w:rPr>
          <w:rFonts w:asciiTheme="majorHAnsi" w:hAnsiTheme="majorHAnsi" w:cstheme="majorBidi"/>
          <w:sz w:val="22"/>
          <w:szCs w:val="22"/>
          <w:lang w:val="en-GB"/>
        </w:rPr>
        <w:t xml:space="preserve"> and NOx</w:t>
      </w:r>
      <w:r w:rsidR="4023F31B" w:rsidRPr="5937A937">
        <w:rPr>
          <w:rFonts w:asciiTheme="majorHAnsi" w:hAnsiTheme="majorHAnsi" w:cstheme="majorBidi"/>
          <w:sz w:val="22"/>
          <w:szCs w:val="22"/>
          <w:lang w:val="en-GB"/>
        </w:rPr>
        <w:t xml:space="preserve"> emissions in comparison</w:t>
      </w:r>
      <w:r w:rsidR="349B4BF4" w:rsidRPr="5937A937">
        <w:rPr>
          <w:rFonts w:asciiTheme="majorHAnsi" w:hAnsiTheme="majorHAnsi" w:cstheme="majorBidi"/>
          <w:sz w:val="22"/>
          <w:szCs w:val="22"/>
          <w:lang w:val="en-GB"/>
        </w:rPr>
        <w:t xml:space="preserve"> to liquid </w:t>
      </w:r>
      <w:r w:rsidR="4023F31B" w:rsidRPr="5937A937">
        <w:rPr>
          <w:rFonts w:asciiTheme="majorHAnsi" w:hAnsiTheme="majorHAnsi" w:cstheme="majorBidi"/>
          <w:sz w:val="22"/>
          <w:szCs w:val="22"/>
          <w:lang w:val="en-GB"/>
        </w:rPr>
        <w:t xml:space="preserve">fossil </w:t>
      </w:r>
      <w:r w:rsidR="349B4BF4" w:rsidRPr="5937A937">
        <w:rPr>
          <w:rFonts w:asciiTheme="majorHAnsi" w:hAnsiTheme="majorHAnsi" w:cstheme="majorBidi"/>
          <w:sz w:val="22"/>
          <w:szCs w:val="22"/>
          <w:lang w:val="en-GB"/>
        </w:rPr>
        <w:t>fuels</w:t>
      </w:r>
      <w:r w:rsidR="00492572">
        <w:rPr>
          <w:rFonts w:asciiTheme="majorHAnsi" w:hAnsiTheme="majorHAnsi" w:cstheme="majorBidi"/>
          <w:sz w:val="22"/>
          <w:szCs w:val="22"/>
          <w:lang w:val="en-GB"/>
        </w:rPr>
        <w:t xml:space="preserve">. </w:t>
      </w:r>
      <w:r w:rsidR="00CD4923">
        <w:rPr>
          <w:rFonts w:asciiTheme="majorHAnsi" w:hAnsiTheme="majorHAnsi" w:cstheme="majorBidi"/>
          <w:sz w:val="22"/>
          <w:szCs w:val="22"/>
          <w:lang w:val="en-GB"/>
        </w:rPr>
        <w:t xml:space="preserve">However, it has been observed </w:t>
      </w:r>
      <w:r w:rsidR="00BF51FF">
        <w:rPr>
          <w:rFonts w:asciiTheme="majorHAnsi" w:hAnsiTheme="majorHAnsi" w:cstheme="majorBidi"/>
          <w:sz w:val="22"/>
          <w:szCs w:val="22"/>
          <w:lang w:val="en-GB"/>
        </w:rPr>
        <w:t xml:space="preserve">that </w:t>
      </w:r>
      <w:r w:rsidR="002A6960">
        <w:rPr>
          <w:rFonts w:asciiTheme="majorHAnsi" w:hAnsiTheme="majorHAnsi" w:cstheme="majorBidi"/>
          <w:sz w:val="22"/>
          <w:szCs w:val="22"/>
          <w:lang w:val="en-GB"/>
        </w:rPr>
        <w:t xml:space="preserve">tuning the combustion engines for LNG and to reduce </w:t>
      </w:r>
      <w:r w:rsidR="002A6960" w:rsidRPr="5937A937">
        <w:rPr>
          <w:rFonts w:asciiTheme="majorHAnsi" w:hAnsiTheme="majorHAnsi" w:cstheme="majorBidi"/>
          <w:sz w:val="22"/>
          <w:szCs w:val="22"/>
          <w:lang w:val="en-GB"/>
        </w:rPr>
        <w:t>NOx emissions</w:t>
      </w:r>
      <w:r w:rsidR="002A6960">
        <w:rPr>
          <w:rFonts w:asciiTheme="majorHAnsi" w:hAnsiTheme="majorHAnsi" w:cstheme="majorBidi"/>
          <w:sz w:val="22"/>
          <w:szCs w:val="22"/>
          <w:lang w:val="en-GB"/>
        </w:rPr>
        <w:t xml:space="preserve"> </w:t>
      </w:r>
      <w:r w:rsidR="0068583B">
        <w:rPr>
          <w:rFonts w:asciiTheme="majorHAnsi" w:hAnsiTheme="majorHAnsi" w:cstheme="majorBidi"/>
          <w:sz w:val="22"/>
          <w:szCs w:val="22"/>
          <w:lang w:val="en-GB"/>
        </w:rPr>
        <w:t xml:space="preserve">could </w:t>
      </w:r>
      <w:r w:rsidR="002A6960">
        <w:rPr>
          <w:rFonts w:asciiTheme="majorHAnsi" w:hAnsiTheme="majorHAnsi" w:cstheme="majorBidi"/>
          <w:sz w:val="22"/>
          <w:szCs w:val="22"/>
          <w:lang w:val="en-GB"/>
        </w:rPr>
        <w:t xml:space="preserve">lead to </w:t>
      </w:r>
      <w:r w:rsidR="00172BB8">
        <w:rPr>
          <w:rFonts w:asciiTheme="majorHAnsi" w:hAnsiTheme="majorHAnsi" w:cstheme="majorBidi"/>
          <w:sz w:val="22"/>
          <w:szCs w:val="22"/>
          <w:lang w:val="en-GB"/>
        </w:rPr>
        <w:t>methane slip</w:t>
      </w:r>
      <w:r w:rsidR="00C84065">
        <w:rPr>
          <w:rFonts w:asciiTheme="majorHAnsi" w:hAnsiTheme="majorHAnsi" w:cstheme="majorBidi"/>
          <w:sz w:val="22"/>
          <w:szCs w:val="22"/>
          <w:lang w:val="en-GB"/>
        </w:rPr>
        <w:t>.</w:t>
      </w:r>
      <w:r w:rsidR="00BD56C6">
        <w:rPr>
          <w:rFonts w:asciiTheme="majorHAnsi" w:hAnsiTheme="majorHAnsi" w:cstheme="majorBidi"/>
          <w:sz w:val="22"/>
          <w:szCs w:val="22"/>
          <w:lang w:val="en-GB"/>
        </w:rPr>
        <w:t xml:space="preserve">  Me</w:t>
      </w:r>
      <w:r w:rsidR="000B2E7F">
        <w:rPr>
          <w:rFonts w:asciiTheme="majorHAnsi" w:hAnsiTheme="majorHAnsi" w:cstheme="majorBidi"/>
          <w:sz w:val="22"/>
          <w:szCs w:val="22"/>
          <w:lang w:val="en-GB"/>
        </w:rPr>
        <w:t xml:space="preserve">thane slip </w:t>
      </w:r>
      <w:r w:rsidR="007B5BF4">
        <w:rPr>
          <w:rFonts w:asciiTheme="majorHAnsi" w:hAnsiTheme="majorHAnsi" w:cstheme="majorBidi"/>
          <w:sz w:val="22"/>
          <w:szCs w:val="22"/>
          <w:lang w:val="en-GB"/>
        </w:rPr>
        <w:t xml:space="preserve">refers to the </w:t>
      </w:r>
      <w:r w:rsidR="00E45BE0">
        <w:rPr>
          <w:rFonts w:asciiTheme="majorHAnsi" w:hAnsiTheme="majorHAnsi" w:cstheme="majorBidi"/>
          <w:sz w:val="22"/>
          <w:szCs w:val="22"/>
          <w:lang w:val="en-GB"/>
        </w:rPr>
        <w:t>leakage of unburned methane</w:t>
      </w:r>
      <w:r w:rsidR="00EA2735">
        <w:rPr>
          <w:rFonts w:asciiTheme="majorHAnsi" w:hAnsiTheme="majorHAnsi" w:cstheme="majorBidi"/>
          <w:sz w:val="22"/>
          <w:szCs w:val="22"/>
          <w:lang w:val="en-GB"/>
        </w:rPr>
        <w:t xml:space="preserve"> due to incomplete combustion or fuel </w:t>
      </w:r>
      <w:r w:rsidR="005F6405">
        <w:rPr>
          <w:rFonts w:asciiTheme="majorHAnsi" w:hAnsiTheme="majorHAnsi" w:cstheme="majorBidi"/>
          <w:sz w:val="22"/>
          <w:szCs w:val="22"/>
          <w:lang w:val="en-GB"/>
        </w:rPr>
        <w:t>concealed</w:t>
      </w:r>
      <w:r w:rsidR="00EA2735">
        <w:rPr>
          <w:rFonts w:asciiTheme="majorHAnsi" w:hAnsiTheme="majorHAnsi" w:cstheme="majorBidi"/>
          <w:sz w:val="22"/>
          <w:szCs w:val="22"/>
          <w:lang w:val="en-GB"/>
        </w:rPr>
        <w:t xml:space="preserve"> </w:t>
      </w:r>
      <w:r w:rsidR="005F6405">
        <w:rPr>
          <w:rFonts w:asciiTheme="majorHAnsi" w:hAnsiTheme="majorHAnsi" w:cstheme="majorBidi"/>
          <w:sz w:val="22"/>
          <w:szCs w:val="22"/>
          <w:lang w:val="en-GB"/>
        </w:rPr>
        <w:t>in the crevices of the combustion chamber during compression</w:t>
      </w:r>
      <w:r w:rsidR="00C84065">
        <w:rPr>
          <w:rFonts w:asciiTheme="majorHAnsi" w:hAnsiTheme="majorHAnsi" w:cstheme="majorBidi"/>
          <w:sz w:val="22"/>
          <w:szCs w:val="22"/>
          <w:lang w:val="en-GB"/>
        </w:rPr>
        <w:t xml:space="preserve"> </w:t>
      </w:r>
      <w:r w:rsidR="00C84065">
        <w:rPr>
          <w:rFonts w:asciiTheme="majorHAnsi" w:hAnsiTheme="majorHAnsi" w:cstheme="majorBidi"/>
          <w:sz w:val="22"/>
          <w:szCs w:val="22"/>
          <w:lang w:val="en-GB"/>
        </w:rPr>
        <w:fldChar w:fldCharType="begin" w:fldLock="1"/>
      </w:r>
      <w:r w:rsidR="00C84065">
        <w:rPr>
          <w:rFonts w:asciiTheme="majorHAnsi" w:hAnsiTheme="majorHAnsi" w:cstheme="majorBidi"/>
          <w:sz w:val="22"/>
          <w:szCs w:val="22"/>
          <w:lang w:val="en-GB"/>
        </w:rPr>
        <w:instrText>ADDIN CSL_CITATION {"citationItems":[{"id":"ITEM-1","itemData":{"author":[{"dropping-particle":"","family":"Pavlenko","given":"Authors Nikita","non-dropping-particle":"","parse-names":false,"suffix":""},{"dropping-particle":"","family":"Comer","given":"Bryan","non-dropping-particle":"","parse-names":false,"suffix":""},{"dropping-particle":"","family":"Zhou","given":"Yuanrong","non-dropping-particle":"","parse-names":false,"suffix":""},{"dropping-particle":"","family":"Clark","given":"Nigel","non-dropping-particle":"","parse-names":false,"suffix":""},{"dropping-particle":"","family":"Rutherford","given":"Dan","non-dropping-particle":"","parse-names":false,"suffix":""}],"id":"ITEM-1","issue":"January","issued":{"date-parts":[["2020"]]},"title":"The climate implications of using LNG as a marine fuel","type":"article-journal"},"uris":["http://www.mendeley.com/documents/?uuid=4935b8aa-fbec-4a26-b961-f8001214862b"]}],"mendeley":{"formattedCitation":"(Pavlenko et al., 2020)","plainTextFormattedCitation":"(Pavlenko et al., 2020)","previouslyFormattedCitation":"(Pavlenko et al., 2020)"},"properties":{"noteIndex":0},"schema":"https://github.com/citation-style-language/schema/raw/master/csl-citation.json"}</w:instrText>
      </w:r>
      <w:r w:rsidR="00C84065">
        <w:rPr>
          <w:rFonts w:asciiTheme="majorHAnsi" w:hAnsiTheme="majorHAnsi" w:cstheme="majorBidi"/>
          <w:sz w:val="22"/>
          <w:szCs w:val="22"/>
          <w:lang w:val="en-GB"/>
        </w:rPr>
        <w:fldChar w:fldCharType="separate"/>
      </w:r>
      <w:r w:rsidR="00C84065" w:rsidRPr="000B2E7F">
        <w:rPr>
          <w:rFonts w:asciiTheme="majorHAnsi" w:hAnsiTheme="majorHAnsi" w:cstheme="majorBidi"/>
          <w:noProof/>
          <w:sz w:val="22"/>
          <w:szCs w:val="22"/>
          <w:lang w:val="en-GB"/>
        </w:rPr>
        <w:t>(Pavlenko et al., 2020)</w:t>
      </w:r>
      <w:r w:rsidR="00C84065">
        <w:rPr>
          <w:rFonts w:asciiTheme="majorHAnsi" w:hAnsiTheme="majorHAnsi" w:cstheme="majorBidi"/>
          <w:sz w:val="22"/>
          <w:szCs w:val="22"/>
          <w:lang w:val="en-GB"/>
        </w:rPr>
        <w:fldChar w:fldCharType="end"/>
      </w:r>
      <w:r w:rsidR="006F332D">
        <w:rPr>
          <w:rFonts w:asciiTheme="majorHAnsi" w:hAnsiTheme="majorHAnsi" w:cstheme="majorBidi"/>
          <w:sz w:val="22"/>
          <w:szCs w:val="22"/>
          <w:lang w:val="en-GB"/>
        </w:rPr>
        <w:t xml:space="preserve">; which </w:t>
      </w:r>
      <w:r w:rsidR="00EC6F11">
        <w:rPr>
          <w:rFonts w:asciiTheme="majorHAnsi" w:hAnsiTheme="majorHAnsi" w:cstheme="majorBidi"/>
          <w:sz w:val="22"/>
          <w:szCs w:val="22"/>
          <w:lang w:val="en-GB"/>
        </w:rPr>
        <w:t xml:space="preserve">reduces </w:t>
      </w:r>
      <w:r w:rsidR="00B82A19">
        <w:rPr>
          <w:rFonts w:asciiTheme="majorHAnsi" w:hAnsiTheme="majorHAnsi" w:cstheme="majorBidi"/>
          <w:sz w:val="22"/>
          <w:szCs w:val="22"/>
          <w:lang w:val="en-GB"/>
        </w:rPr>
        <w:t xml:space="preserve">its GHG emissions advantage </w:t>
      </w:r>
      <w:r w:rsidR="00A60342">
        <w:rPr>
          <w:rFonts w:asciiTheme="majorHAnsi" w:hAnsiTheme="majorHAnsi" w:cstheme="majorBidi"/>
          <w:sz w:val="22"/>
          <w:szCs w:val="22"/>
          <w:lang w:val="en-GB"/>
        </w:rPr>
        <w:t>a</w:t>
      </w:r>
      <w:r w:rsidR="00B82A19">
        <w:rPr>
          <w:rFonts w:asciiTheme="majorHAnsi" w:hAnsiTheme="majorHAnsi" w:cstheme="majorBidi"/>
          <w:sz w:val="22"/>
          <w:szCs w:val="22"/>
          <w:lang w:val="en-GB"/>
        </w:rPr>
        <w:t xml:space="preserve">s methane </w:t>
      </w:r>
      <w:r w:rsidR="007C7194">
        <w:rPr>
          <w:rFonts w:asciiTheme="majorHAnsi" w:hAnsiTheme="majorHAnsi" w:cstheme="majorBidi"/>
          <w:sz w:val="22"/>
          <w:szCs w:val="22"/>
          <w:lang w:val="en-GB"/>
        </w:rPr>
        <w:t xml:space="preserve">has a global </w:t>
      </w:r>
      <w:r w:rsidR="000C6BD3">
        <w:rPr>
          <w:rFonts w:asciiTheme="majorHAnsi" w:hAnsiTheme="majorHAnsi" w:cstheme="majorBidi"/>
          <w:sz w:val="22"/>
          <w:szCs w:val="22"/>
          <w:lang w:val="en-GB"/>
        </w:rPr>
        <w:t>warming</w:t>
      </w:r>
      <w:r w:rsidR="007C7194">
        <w:rPr>
          <w:rFonts w:asciiTheme="majorHAnsi" w:hAnsiTheme="majorHAnsi" w:cstheme="majorBidi"/>
          <w:sz w:val="22"/>
          <w:szCs w:val="22"/>
          <w:lang w:val="en-GB"/>
        </w:rPr>
        <w:t xml:space="preserve"> </w:t>
      </w:r>
      <w:r w:rsidR="000C6BD3">
        <w:rPr>
          <w:rFonts w:asciiTheme="majorHAnsi" w:hAnsiTheme="majorHAnsi" w:cstheme="majorBidi"/>
          <w:sz w:val="22"/>
          <w:szCs w:val="22"/>
          <w:lang w:val="en-GB"/>
        </w:rPr>
        <w:t>potential greater than CO</w:t>
      </w:r>
      <w:r w:rsidR="000C6BD3">
        <w:rPr>
          <w:rFonts w:asciiTheme="majorHAnsi" w:hAnsiTheme="majorHAnsi" w:cstheme="majorBidi"/>
          <w:sz w:val="22"/>
          <w:szCs w:val="22"/>
          <w:vertAlign w:val="subscript"/>
          <w:lang w:val="en-GB"/>
        </w:rPr>
        <w:t>2</w:t>
      </w:r>
      <w:r w:rsidR="00F87665">
        <w:rPr>
          <w:rFonts w:asciiTheme="majorHAnsi" w:hAnsiTheme="majorHAnsi" w:cstheme="majorBidi"/>
          <w:sz w:val="22"/>
          <w:szCs w:val="22"/>
          <w:vertAlign w:val="subscript"/>
          <w:lang w:val="en-GB"/>
        </w:rPr>
        <w:t xml:space="preserve"> </w:t>
      </w:r>
      <w:r w:rsidR="00F87665">
        <w:rPr>
          <w:rFonts w:asciiTheme="majorHAnsi" w:hAnsiTheme="majorHAnsi" w:cstheme="majorBidi"/>
          <w:sz w:val="22"/>
          <w:szCs w:val="22"/>
          <w:vertAlign w:val="subscript"/>
          <w:lang w:val="en-GB"/>
        </w:rPr>
        <w:fldChar w:fldCharType="begin" w:fldLock="1"/>
      </w:r>
      <w:r w:rsidR="00882970">
        <w:rPr>
          <w:rFonts w:asciiTheme="majorHAnsi" w:hAnsiTheme="majorHAnsi" w:cstheme="majorBidi"/>
          <w:sz w:val="22"/>
          <w:szCs w:val="22"/>
          <w:vertAlign w:val="subscript"/>
          <w:lang w:val="en-GB"/>
        </w:rPr>
        <w:instrText>ADDIN CSL_CITATION {"citationItems":[{"id":"ITEM-1","itemData":{"URL":"https://www.wartsila.com/insights/article/mind-the-methane-gap","accessed":{"date-parts":[["2021","9","23"]]},"author":[{"dropping-particle":"","family":"Houston","given":"Craig","non-dropping-particle":"","parse-names":false,"suffix":""}],"id":"ITEM-1","issued":{"date-parts":[["2020"]]},"title":"Mind the methane gap","type":"webpage"},"uris":["http://www.mendeley.com/documents/?uuid=57c0db94-eae4-49a9-8370-3e529e4c3687"]}],"mendeley":{"formattedCitation":"(Houston, 2020)","plainTextFormattedCitation":"(Houston, 2020)","previouslyFormattedCitation":"(Houston, 2020)"},"properties":{"noteIndex":0},"schema":"https://github.com/citation-style-language/schema/raw/master/csl-citation.json"}</w:instrText>
      </w:r>
      <w:r w:rsidR="00F87665">
        <w:rPr>
          <w:rFonts w:asciiTheme="majorHAnsi" w:hAnsiTheme="majorHAnsi" w:cstheme="majorBidi"/>
          <w:sz w:val="22"/>
          <w:szCs w:val="22"/>
          <w:vertAlign w:val="subscript"/>
          <w:lang w:val="en-GB"/>
        </w:rPr>
        <w:fldChar w:fldCharType="separate"/>
      </w:r>
      <w:r w:rsidR="00E546CC" w:rsidRPr="00E546CC">
        <w:rPr>
          <w:rFonts w:asciiTheme="majorHAnsi" w:hAnsiTheme="majorHAnsi" w:cstheme="majorBidi"/>
          <w:noProof/>
          <w:sz w:val="22"/>
          <w:szCs w:val="22"/>
          <w:lang w:val="en-GB"/>
        </w:rPr>
        <w:t>(Houston, 2020)</w:t>
      </w:r>
      <w:r w:rsidR="00F87665">
        <w:rPr>
          <w:rFonts w:asciiTheme="majorHAnsi" w:hAnsiTheme="majorHAnsi" w:cstheme="majorBidi"/>
          <w:sz w:val="22"/>
          <w:szCs w:val="22"/>
          <w:vertAlign w:val="subscript"/>
          <w:lang w:val="en-GB"/>
        </w:rPr>
        <w:fldChar w:fldCharType="end"/>
      </w:r>
      <w:r w:rsidR="73128FCE" w:rsidRPr="5937A937">
        <w:rPr>
          <w:rFonts w:asciiTheme="majorHAnsi" w:hAnsiTheme="majorHAnsi" w:cstheme="majorBidi"/>
          <w:sz w:val="22"/>
          <w:szCs w:val="22"/>
          <w:lang w:val="en-GB"/>
        </w:rPr>
        <w:t>.</w:t>
      </w:r>
      <w:r w:rsidR="3529BE3B" w:rsidRPr="5937A937">
        <w:rPr>
          <w:rFonts w:asciiTheme="majorHAnsi" w:hAnsiTheme="majorHAnsi" w:cstheme="majorBidi"/>
          <w:sz w:val="22"/>
          <w:szCs w:val="22"/>
          <w:lang w:val="en-GB"/>
        </w:rPr>
        <w:t xml:space="preserve"> </w:t>
      </w:r>
      <w:r w:rsidR="73128FCE" w:rsidRPr="5937A937">
        <w:rPr>
          <w:rFonts w:asciiTheme="majorHAnsi" w:hAnsiTheme="majorHAnsi" w:cstheme="majorBidi"/>
          <w:sz w:val="22"/>
          <w:szCs w:val="22"/>
          <w:lang w:val="en-GB"/>
        </w:rPr>
        <w:t>A</w:t>
      </w:r>
      <w:r w:rsidR="3529BE3B" w:rsidRPr="5937A937">
        <w:rPr>
          <w:rFonts w:asciiTheme="majorHAnsi" w:hAnsiTheme="majorHAnsi" w:cstheme="majorBidi"/>
          <w:sz w:val="22"/>
          <w:szCs w:val="22"/>
          <w:lang w:val="en-GB"/>
        </w:rPr>
        <w:t xml:space="preserve">t the same time that the infrastructure could be </w:t>
      </w:r>
      <w:r w:rsidR="7F511A16" w:rsidRPr="5937A937">
        <w:rPr>
          <w:rFonts w:asciiTheme="majorHAnsi" w:hAnsiTheme="majorHAnsi" w:cstheme="majorBidi"/>
          <w:sz w:val="22"/>
          <w:szCs w:val="22"/>
          <w:lang w:val="en-GB"/>
        </w:rPr>
        <w:t>used</w:t>
      </w:r>
      <w:r w:rsidR="3529BE3B" w:rsidRPr="5937A937">
        <w:rPr>
          <w:rFonts w:asciiTheme="majorHAnsi" w:hAnsiTheme="majorHAnsi" w:cstheme="majorBidi"/>
          <w:sz w:val="22"/>
          <w:szCs w:val="22"/>
          <w:lang w:val="en-GB"/>
        </w:rPr>
        <w:t xml:space="preserve"> for </w:t>
      </w:r>
      <w:r w:rsidR="333F9A93" w:rsidRPr="5937A937">
        <w:rPr>
          <w:rFonts w:asciiTheme="majorHAnsi" w:hAnsiTheme="majorHAnsi" w:cstheme="majorBidi"/>
          <w:sz w:val="22"/>
          <w:szCs w:val="22"/>
          <w:lang w:val="en-GB"/>
        </w:rPr>
        <w:t>improved</w:t>
      </w:r>
      <w:r w:rsidR="4023F31B" w:rsidRPr="5937A937">
        <w:rPr>
          <w:rFonts w:asciiTheme="majorHAnsi" w:hAnsiTheme="majorHAnsi" w:cstheme="majorBidi"/>
          <w:sz w:val="22"/>
          <w:szCs w:val="22"/>
          <w:lang w:val="en-GB"/>
        </w:rPr>
        <w:t xml:space="preserve"> technologies</w:t>
      </w:r>
      <w:r w:rsidR="7F511A16" w:rsidRPr="5937A937">
        <w:rPr>
          <w:rFonts w:asciiTheme="majorHAnsi" w:hAnsiTheme="majorHAnsi" w:cstheme="majorBidi"/>
          <w:sz w:val="22"/>
          <w:szCs w:val="22"/>
          <w:lang w:val="en-GB"/>
        </w:rPr>
        <w:t xml:space="preserve"> </w:t>
      </w:r>
      <w:r w:rsidR="729F0F96" w:rsidRPr="5937A937">
        <w:rPr>
          <w:rFonts w:asciiTheme="majorHAnsi" w:hAnsiTheme="majorHAnsi" w:cstheme="majorBidi"/>
          <w:sz w:val="22"/>
          <w:szCs w:val="22"/>
          <w:lang w:val="en-GB"/>
        </w:rPr>
        <w:t>aiming</w:t>
      </w:r>
      <w:r w:rsidR="7F511A16" w:rsidRPr="5937A937">
        <w:rPr>
          <w:rFonts w:asciiTheme="majorHAnsi" w:hAnsiTheme="majorHAnsi" w:cstheme="majorBidi"/>
          <w:sz w:val="22"/>
          <w:szCs w:val="22"/>
          <w:lang w:val="en-GB"/>
        </w:rPr>
        <w:t xml:space="preserve"> higher decarbonisation</w:t>
      </w:r>
      <w:r w:rsidR="729F0F96" w:rsidRPr="5937A937">
        <w:rPr>
          <w:rFonts w:asciiTheme="majorHAnsi" w:hAnsiTheme="majorHAnsi" w:cstheme="majorBidi"/>
          <w:sz w:val="22"/>
          <w:szCs w:val="22"/>
          <w:lang w:val="en-GB"/>
        </w:rPr>
        <w:t xml:space="preserve">, such </w:t>
      </w:r>
      <w:r w:rsidR="00D37B05">
        <w:rPr>
          <w:rFonts w:asciiTheme="majorHAnsi" w:hAnsiTheme="majorHAnsi" w:cstheme="majorBidi"/>
          <w:sz w:val="22"/>
          <w:szCs w:val="22"/>
          <w:lang w:val="en-GB"/>
        </w:rPr>
        <w:t>H</w:t>
      </w:r>
      <w:r w:rsidR="00574D49">
        <w:rPr>
          <w:rFonts w:asciiTheme="majorHAnsi" w:hAnsiTheme="majorHAnsi" w:cstheme="majorBidi"/>
          <w:sz w:val="22"/>
          <w:szCs w:val="22"/>
          <w:lang w:val="en-GB"/>
        </w:rPr>
        <w:t xml:space="preserve">ydrogen and </w:t>
      </w:r>
      <w:r w:rsidR="729F0F96" w:rsidRPr="5937A937">
        <w:rPr>
          <w:rFonts w:asciiTheme="majorHAnsi" w:hAnsiTheme="majorHAnsi" w:cstheme="majorBidi"/>
          <w:sz w:val="22"/>
          <w:szCs w:val="22"/>
          <w:lang w:val="en-GB"/>
        </w:rPr>
        <w:t>Ammonia</w:t>
      </w:r>
      <w:r w:rsidR="00574D49">
        <w:rPr>
          <w:rFonts w:asciiTheme="majorHAnsi" w:hAnsiTheme="majorHAnsi" w:cstheme="majorBidi"/>
          <w:sz w:val="22"/>
          <w:szCs w:val="22"/>
          <w:lang w:val="en-GB"/>
        </w:rPr>
        <w:t xml:space="preserve"> </w:t>
      </w:r>
      <w:r w:rsidR="00D37B05">
        <w:rPr>
          <w:rFonts w:asciiTheme="majorHAnsi" w:hAnsiTheme="majorHAnsi" w:cstheme="majorBidi"/>
          <w:sz w:val="22"/>
          <w:szCs w:val="22"/>
          <w:lang w:val="en-GB"/>
        </w:rPr>
        <w:t>(</w:t>
      </w:r>
      <w:r w:rsidR="00574D49">
        <w:rPr>
          <w:rFonts w:asciiTheme="majorHAnsi" w:hAnsiTheme="majorHAnsi" w:cstheme="majorBidi"/>
          <w:sz w:val="22"/>
          <w:szCs w:val="22"/>
          <w:lang w:val="en-GB"/>
        </w:rPr>
        <w:t>as alternative Hydrogen carrier</w:t>
      </w:r>
      <w:r w:rsidR="00D37B05">
        <w:rPr>
          <w:rFonts w:asciiTheme="majorHAnsi" w:hAnsiTheme="majorHAnsi" w:cstheme="majorBidi"/>
          <w:sz w:val="22"/>
          <w:szCs w:val="22"/>
          <w:lang w:val="en-GB"/>
        </w:rPr>
        <w:t>)</w:t>
      </w:r>
      <w:r w:rsidR="00574D49">
        <w:rPr>
          <w:rFonts w:asciiTheme="majorHAnsi" w:hAnsiTheme="majorHAnsi" w:cstheme="majorBidi"/>
          <w:sz w:val="22"/>
          <w:szCs w:val="22"/>
          <w:lang w:val="en-GB"/>
        </w:rPr>
        <w:t>. Technologies to make these pathways commercial</w:t>
      </w:r>
      <w:r w:rsidR="00F70AF7">
        <w:rPr>
          <w:rFonts w:asciiTheme="majorHAnsi" w:hAnsiTheme="majorHAnsi" w:cstheme="majorBidi"/>
          <w:sz w:val="22"/>
          <w:szCs w:val="22"/>
          <w:lang w:val="en-GB"/>
        </w:rPr>
        <w:t>ly</w:t>
      </w:r>
      <w:r w:rsidR="00574D49">
        <w:rPr>
          <w:rFonts w:asciiTheme="majorHAnsi" w:hAnsiTheme="majorHAnsi" w:cstheme="majorBidi"/>
          <w:sz w:val="22"/>
          <w:szCs w:val="22"/>
          <w:lang w:val="en-GB"/>
        </w:rPr>
        <w:t xml:space="preserve"> viable are still in development</w:t>
      </w:r>
      <w:r w:rsidR="3806171F" w:rsidRPr="5937A937">
        <w:rPr>
          <w:rFonts w:asciiTheme="majorHAnsi" w:hAnsiTheme="majorHAnsi" w:cstheme="majorBidi"/>
          <w:sz w:val="22"/>
          <w:szCs w:val="22"/>
          <w:lang w:val="en-GB"/>
        </w:rPr>
        <w:t xml:space="preserve"> </w:t>
      </w:r>
      <w:r w:rsidR="00F70AF7">
        <w:rPr>
          <w:rFonts w:asciiTheme="majorHAnsi" w:hAnsiTheme="majorHAnsi" w:cstheme="majorBidi"/>
          <w:sz w:val="22"/>
          <w:szCs w:val="22"/>
          <w:lang w:val="en-GB"/>
        </w:rPr>
        <w:t>stages</w:t>
      </w:r>
      <w:r w:rsidR="00574D49">
        <w:rPr>
          <w:rFonts w:asciiTheme="majorHAnsi" w:hAnsiTheme="majorHAnsi" w:cstheme="majorBidi"/>
          <w:sz w:val="22"/>
          <w:szCs w:val="22"/>
          <w:lang w:val="en-GB"/>
        </w:rPr>
        <w:t xml:space="preserve">. </w:t>
      </w:r>
      <w:r w:rsidR="3806171F" w:rsidRPr="5937A937">
        <w:rPr>
          <w:rFonts w:asciiTheme="majorHAnsi" w:hAnsiTheme="majorHAnsi" w:cstheme="majorBidi"/>
          <w:sz w:val="22"/>
          <w:szCs w:val="22"/>
          <w:lang w:val="en-GB"/>
        </w:rPr>
        <w:t xml:space="preserve">The </w:t>
      </w:r>
      <w:r w:rsidR="6C0CF426" w:rsidRPr="5937A937">
        <w:rPr>
          <w:rFonts w:asciiTheme="majorHAnsi" w:hAnsiTheme="majorHAnsi" w:cstheme="majorBidi"/>
          <w:sz w:val="22"/>
          <w:szCs w:val="22"/>
          <w:lang w:val="en-GB"/>
        </w:rPr>
        <w:t>details</w:t>
      </w:r>
      <w:r w:rsidR="3806171F" w:rsidRPr="5937A937">
        <w:rPr>
          <w:rFonts w:asciiTheme="majorHAnsi" w:hAnsiTheme="majorHAnsi" w:cstheme="majorBidi"/>
          <w:sz w:val="22"/>
          <w:szCs w:val="22"/>
          <w:lang w:val="en-GB"/>
        </w:rPr>
        <w:t xml:space="preserve"> of each alternative will be </w:t>
      </w:r>
      <w:r w:rsidR="4DE65711" w:rsidRPr="5937A937">
        <w:rPr>
          <w:rFonts w:asciiTheme="majorHAnsi" w:hAnsiTheme="majorHAnsi" w:cstheme="majorBidi"/>
          <w:sz w:val="22"/>
          <w:szCs w:val="22"/>
          <w:lang w:val="en-GB"/>
        </w:rPr>
        <w:t xml:space="preserve">further </w:t>
      </w:r>
      <w:r w:rsidR="3806171F" w:rsidRPr="5937A937">
        <w:rPr>
          <w:rFonts w:asciiTheme="majorHAnsi" w:hAnsiTheme="majorHAnsi" w:cstheme="majorBidi"/>
          <w:sz w:val="22"/>
          <w:szCs w:val="22"/>
          <w:lang w:val="en-GB"/>
        </w:rPr>
        <w:t>discussed.</w:t>
      </w:r>
    </w:p>
    <w:p w14:paraId="61420DA2" w14:textId="58AD2E87" w:rsidR="5937A937" w:rsidRDefault="5937A937" w:rsidP="5937A937">
      <w:pPr>
        <w:spacing w:after="120" w:line="360" w:lineRule="auto"/>
        <w:ind w:left="302" w:firstLine="418"/>
        <w:rPr>
          <w:szCs w:val="21"/>
          <w:lang w:val="en-GB"/>
        </w:rPr>
      </w:pPr>
    </w:p>
    <w:p w14:paraId="60AFA6C8" w14:textId="1190FEE0" w:rsidR="000924CE" w:rsidRPr="00E24E04" w:rsidRDefault="00BA28AF" w:rsidP="002F7E75">
      <w:pPr>
        <w:pStyle w:val="Heading2"/>
      </w:pPr>
      <w:bookmarkStart w:id="21" w:name="_Toc84019451"/>
      <w:r>
        <w:t xml:space="preserve">Marine </w:t>
      </w:r>
      <w:r w:rsidR="006C622D">
        <w:t xml:space="preserve">Fossil Liquid </w:t>
      </w:r>
      <w:r w:rsidR="00DB7091">
        <w:t>Fuels</w:t>
      </w:r>
      <w:bookmarkEnd w:id="21"/>
    </w:p>
    <w:p w14:paraId="7DAA855B" w14:textId="42E79259" w:rsidR="00C2384B" w:rsidRPr="00E24E04" w:rsidRDefault="55C05BF0"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Marine</w:t>
      </w:r>
      <w:r w:rsidR="1094A63D" w:rsidRPr="5937A937">
        <w:rPr>
          <w:rFonts w:asciiTheme="majorHAnsi" w:hAnsiTheme="majorHAnsi" w:cstheme="majorBidi"/>
          <w:sz w:val="22"/>
          <w:szCs w:val="22"/>
          <w:lang w:val="en-GB"/>
        </w:rPr>
        <w:t xml:space="preserve"> fossil</w:t>
      </w:r>
      <w:r w:rsidRPr="5937A937">
        <w:rPr>
          <w:rFonts w:asciiTheme="majorHAnsi" w:hAnsiTheme="majorHAnsi" w:cstheme="majorBidi"/>
          <w:sz w:val="22"/>
          <w:szCs w:val="22"/>
          <w:lang w:val="en-GB"/>
        </w:rPr>
        <w:t xml:space="preserve"> liquid fuels are </w:t>
      </w:r>
      <w:r w:rsidR="6E408913" w:rsidRPr="5937A937">
        <w:rPr>
          <w:rFonts w:asciiTheme="majorHAnsi" w:hAnsiTheme="majorHAnsi" w:cstheme="majorBidi"/>
          <w:sz w:val="22"/>
          <w:szCs w:val="22"/>
          <w:lang w:val="en-GB"/>
        </w:rPr>
        <w:t>classified</w:t>
      </w:r>
      <w:r w:rsidRPr="5937A937">
        <w:rPr>
          <w:rFonts w:asciiTheme="majorHAnsi" w:hAnsiTheme="majorHAnsi" w:cstheme="majorBidi"/>
          <w:sz w:val="22"/>
          <w:szCs w:val="22"/>
          <w:lang w:val="en-GB"/>
        </w:rPr>
        <w:t xml:space="preserve"> </w:t>
      </w:r>
      <w:r w:rsidR="3A4E168D" w:rsidRPr="5937A937">
        <w:rPr>
          <w:rFonts w:asciiTheme="majorHAnsi" w:hAnsiTheme="majorHAnsi" w:cstheme="majorBidi"/>
          <w:sz w:val="22"/>
          <w:szCs w:val="22"/>
          <w:lang w:val="en-GB"/>
        </w:rPr>
        <w:t>between</w:t>
      </w:r>
      <w:r w:rsidRPr="5937A937">
        <w:rPr>
          <w:rFonts w:asciiTheme="majorHAnsi" w:hAnsiTheme="majorHAnsi" w:cstheme="majorBidi"/>
          <w:sz w:val="22"/>
          <w:szCs w:val="22"/>
          <w:lang w:val="en-GB"/>
        </w:rPr>
        <w:t xml:space="preserve"> </w:t>
      </w:r>
      <w:r w:rsidR="7A0814F4" w:rsidRPr="5937A937">
        <w:rPr>
          <w:rFonts w:asciiTheme="majorHAnsi" w:hAnsiTheme="majorHAnsi" w:cstheme="majorBidi"/>
          <w:sz w:val="22"/>
          <w:szCs w:val="22"/>
          <w:lang w:val="en-GB"/>
        </w:rPr>
        <w:t>distillate</w:t>
      </w:r>
      <w:r w:rsidR="3A4E168D" w:rsidRPr="5937A937">
        <w:rPr>
          <w:rFonts w:asciiTheme="majorHAnsi" w:hAnsiTheme="majorHAnsi" w:cstheme="majorBidi"/>
          <w:sz w:val="22"/>
          <w:szCs w:val="22"/>
          <w:lang w:val="en-GB"/>
        </w:rPr>
        <w:t>s and residual</w:t>
      </w:r>
      <w:r w:rsidR="00E31F0F">
        <w:rPr>
          <w:rFonts w:asciiTheme="majorHAnsi" w:hAnsiTheme="majorHAnsi" w:cstheme="majorBidi"/>
          <w:sz w:val="22"/>
          <w:szCs w:val="22"/>
          <w:lang w:val="en-GB"/>
        </w:rPr>
        <w:t xml:space="preserve">. </w:t>
      </w:r>
      <w:r w:rsidR="05853F81" w:rsidRPr="5937A937">
        <w:rPr>
          <w:rFonts w:asciiTheme="majorHAnsi" w:hAnsiTheme="majorHAnsi" w:cstheme="majorBidi"/>
          <w:sz w:val="22"/>
          <w:szCs w:val="22"/>
          <w:lang w:val="en-GB"/>
        </w:rPr>
        <w:t xml:space="preserve"> </w:t>
      </w:r>
      <w:r w:rsidR="00E31F0F">
        <w:rPr>
          <w:rFonts w:asciiTheme="majorHAnsi" w:hAnsiTheme="majorHAnsi" w:cstheme="majorBidi"/>
          <w:sz w:val="22"/>
          <w:szCs w:val="22"/>
          <w:lang w:val="en-GB"/>
        </w:rPr>
        <w:t xml:space="preserve">They </w:t>
      </w:r>
      <w:r w:rsidR="05853F81" w:rsidRPr="5937A937">
        <w:rPr>
          <w:rFonts w:asciiTheme="majorHAnsi" w:hAnsiTheme="majorHAnsi" w:cstheme="majorBidi"/>
          <w:sz w:val="22"/>
          <w:szCs w:val="22"/>
          <w:lang w:val="en-GB"/>
        </w:rPr>
        <w:t xml:space="preserve">must comply with </w:t>
      </w:r>
      <w:r w:rsidR="20FC0DD7" w:rsidRPr="5937A937">
        <w:rPr>
          <w:rFonts w:asciiTheme="majorHAnsi" w:hAnsiTheme="majorHAnsi" w:cstheme="majorBidi"/>
          <w:sz w:val="22"/>
          <w:szCs w:val="22"/>
          <w:lang w:val="en-GB"/>
        </w:rPr>
        <w:t xml:space="preserve">the specifications determined </w:t>
      </w:r>
      <w:r w:rsidR="1094A63D" w:rsidRPr="5937A937">
        <w:rPr>
          <w:rFonts w:asciiTheme="majorHAnsi" w:hAnsiTheme="majorHAnsi" w:cstheme="majorBidi"/>
          <w:sz w:val="22"/>
          <w:szCs w:val="22"/>
          <w:lang w:val="en-GB"/>
        </w:rPr>
        <w:t>in</w:t>
      </w:r>
      <w:r w:rsidR="20FC0DD7" w:rsidRPr="5937A937">
        <w:rPr>
          <w:rFonts w:asciiTheme="majorHAnsi" w:hAnsiTheme="majorHAnsi" w:cstheme="majorBidi"/>
          <w:sz w:val="22"/>
          <w:szCs w:val="22"/>
          <w:lang w:val="en-GB"/>
        </w:rPr>
        <w:t xml:space="preserve"> ISO 8217</w:t>
      </w:r>
      <w:r w:rsidR="3FCC607C" w:rsidRPr="5937A937">
        <w:rPr>
          <w:rFonts w:asciiTheme="majorHAnsi" w:hAnsiTheme="majorHAnsi" w:cstheme="majorBidi"/>
          <w:sz w:val="22"/>
          <w:szCs w:val="22"/>
          <w:lang w:val="en-GB"/>
        </w:rPr>
        <w:t>, which specifies the requirements for fuels used in marine engines</w:t>
      </w:r>
      <w:r w:rsidR="59C6498A" w:rsidRPr="5937A937">
        <w:rPr>
          <w:rFonts w:asciiTheme="majorHAnsi" w:hAnsiTheme="majorHAnsi" w:cstheme="majorBidi"/>
          <w:sz w:val="22"/>
          <w:szCs w:val="22"/>
          <w:lang w:val="en-GB"/>
        </w:rPr>
        <w:t>, boilers and stationary diesel engines</w:t>
      </w:r>
      <w:r w:rsidR="3FCC607C" w:rsidRPr="5937A937">
        <w:rPr>
          <w:rFonts w:asciiTheme="majorHAnsi" w:hAnsiTheme="majorHAnsi" w:cstheme="majorBidi"/>
          <w:sz w:val="22"/>
          <w:szCs w:val="22"/>
          <w:lang w:val="en-GB"/>
        </w:rPr>
        <w:t>.</w:t>
      </w:r>
      <w:r w:rsidR="50052A56" w:rsidRPr="5937A937">
        <w:rPr>
          <w:rFonts w:asciiTheme="majorHAnsi" w:hAnsiTheme="majorHAnsi" w:cstheme="majorBidi"/>
          <w:sz w:val="22"/>
          <w:szCs w:val="22"/>
          <w:lang w:val="en-GB"/>
        </w:rPr>
        <w:t xml:space="preserve">  It </w:t>
      </w:r>
      <w:r w:rsidR="2D1127CC" w:rsidRPr="5937A937">
        <w:rPr>
          <w:rFonts w:asciiTheme="majorHAnsi" w:hAnsiTheme="majorHAnsi" w:cstheme="majorBidi"/>
          <w:sz w:val="22"/>
          <w:szCs w:val="22"/>
          <w:lang w:val="en-GB"/>
        </w:rPr>
        <w:t xml:space="preserve">sets </w:t>
      </w:r>
      <w:r w:rsidR="000A6122">
        <w:rPr>
          <w:rFonts w:asciiTheme="majorHAnsi" w:hAnsiTheme="majorHAnsi" w:cstheme="majorBidi"/>
          <w:sz w:val="22"/>
          <w:szCs w:val="22"/>
          <w:lang w:val="en-GB"/>
        </w:rPr>
        <w:t>seven</w:t>
      </w:r>
      <w:r w:rsidR="2D1127CC" w:rsidRPr="5937A937">
        <w:rPr>
          <w:rFonts w:asciiTheme="majorHAnsi" w:hAnsiTheme="majorHAnsi" w:cstheme="majorBidi"/>
          <w:sz w:val="22"/>
          <w:szCs w:val="22"/>
          <w:lang w:val="en-GB"/>
        </w:rPr>
        <w:t xml:space="preserve"> categories of distillate and </w:t>
      </w:r>
      <w:r w:rsidR="000A6122">
        <w:rPr>
          <w:rFonts w:asciiTheme="majorHAnsi" w:hAnsiTheme="majorHAnsi" w:cstheme="majorBidi"/>
          <w:sz w:val="22"/>
          <w:szCs w:val="22"/>
          <w:lang w:val="en-GB"/>
        </w:rPr>
        <w:t>six</w:t>
      </w:r>
      <w:r w:rsidR="2D1127CC" w:rsidRPr="5937A937">
        <w:rPr>
          <w:rFonts w:asciiTheme="majorHAnsi" w:hAnsiTheme="majorHAnsi" w:cstheme="majorBidi"/>
          <w:sz w:val="22"/>
          <w:szCs w:val="22"/>
          <w:lang w:val="en-GB"/>
        </w:rPr>
        <w:t xml:space="preserve"> for residual fuels</w:t>
      </w:r>
      <w:r w:rsidR="00643BE2">
        <w:rPr>
          <w:rFonts w:asciiTheme="majorHAnsi" w:hAnsiTheme="majorHAnsi" w:cstheme="majorBidi"/>
          <w:sz w:val="22"/>
          <w:szCs w:val="22"/>
          <w:lang w:val="en-GB"/>
        </w:rPr>
        <w:t xml:space="preserve"> </w:t>
      </w:r>
      <w:r w:rsidR="00643BE2">
        <w:rPr>
          <w:rFonts w:asciiTheme="majorHAnsi" w:hAnsiTheme="majorHAnsi" w:cstheme="majorBidi"/>
          <w:sz w:val="22"/>
          <w:szCs w:val="22"/>
          <w:lang w:val="en-GB"/>
        </w:rPr>
        <w:fldChar w:fldCharType="begin" w:fldLock="1"/>
      </w:r>
      <w:r w:rsidR="00213D1A">
        <w:rPr>
          <w:rFonts w:asciiTheme="majorHAnsi" w:hAnsiTheme="majorHAnsi" w:cstheme="majorBidi"/>
          <w:sz w:val="22"/>
          <w:szCs w:val="22"/>
          <w:lang w:val="en-GB"/>
        </w:rPr>
        <w:instrText>ADDIN CSL_CITATION {"citationItems":[{"id":"ITEM-1","itemData":{"URL":"https://www.oiltanking.com/en/news-info/glossary/details/term/lng-liquefied-natural-gas.html","accessed":{"date-parts":[["2021","9","20"]]},"author":[{"dropping-particle":"","family":"Oiltanking GmbH","given":"","non-dropping-particle":"","parse-names":false,"suffix":""}],"id":"ITEM-1","issued":{"date-parts":[["0"]]},"title":"Important Terms from A to Z","type":"webpage"},"uris":["http://www.mendeley.com/documents/?uuid=af4dbd65-d916-4cdd-ab29-21ac7ff36c99"]}],"mendeley":{"formattedCitation":"(Oiltanking GmbH, n.d.)","plainTextFormattedCitation":"(Oiltanking GmbH, n.d.)","previouslyFormattedCitation":"(Oiltanking GmbH, n.d.)"},"properties":{"noteIndex":0},"schema":"https://github.com/citation-style-language/schema/raw/master/csl-citation.json"}</w:instrText>
      </w:r>
      <w:r w:rsidR="00643BE2">
        <w:rPr>
          <w:rFonts w:asciiTheme="majorHAnsi" w:hAnsiTheme="majorHAnsi" w:cstheme="majorBidi"/>
          <w:sz w:val="22"/>
          <w:szCs w:val="22"/>
          <w:lang w:val="en-GB"/>
        </w:rPr>
        <w:fldChar w:fldCharType="separate"/>
      </w:r>
      <w:r w:rsidR="00643BE2" w:rsidRPr="00643BE2">
        <w:rPr>
          <w:rFonts w:asciiTheme="majorHAnsi" w:hAnsiTheme="majorHAnsi" w:cstheme="majorBidi"/>
          <w:noProof/>
          <w:sz w:val="22"/>
          <w:szCs w:val="22"/>
          <w:lang w:val="en-GB"/>
        </w:rPr>
        <w:t>(Oiltanking GmbH, n.d.)</w:t>
      </w:r>
      <w:r w:rsidR="00643BE2">
        <w:rPr>
          <w:rFonts w:asciiTheme="majorHAnsi" w:hAnsiTheme="majorHAnsi" w:cstheme="majorBidi"/>
          <w:sz w:val="22"/>
          <w:szCs w:val="22"/>
          <w:lang w:val="en-GB"/>
        </w:rPr>
        <w:fldChar w:fldCharType="end"/>
      </w:r>
      <w:r w:rsidR="2D1127CC" w:rsidRPr="5937A937">
        <w:rPr>
          <w:rFonts w:asciiTheme="majorHAnsi" w:hAnsiTheme="majorHAnsi" w:cstheme="majorBidi"/>
          <w:sz w:val="22"/>
          <w:szCs w:val="22"/>
          <w:lang w:val="en-GB"/>
        </w:rPr>
        <w:t>.</w:t>
      </w:r>
    </w:p>
    <w:p w14:paraId="1CF3F59A" w14:textId="621A31D9" w:rsidR="003C2F0D" w:rsidRPr="00E24E04" w:rsidRDefault="00C2384B" w:rsidP="791B8135">
      <w:pPr>
        <w:spacing w:after="120" w:line="360" w:lineRule="auto"/>
        <w:rPr>
          <w:rFonts w:asciiTheme="majorHAnsi" w:hAnsiTheme="majorHAnsi" w:cstheme="majorBidi"/>
          <w:sz w:val="22"/>
          <w:szCs w:val="22"/>
          <w:lang w:val="en-GB"/>
        </w:rPr>
      </w:pPr>
      <w:r w:rsidRPr="00E24E04">
        <w:rPr>
          <w:rFonts w:asciiTheme="majorHAnsi" w:hAnsiTheme="majorHAnsi" w:cstheme="majorHAnsi"/>
          <w:sz w:val="22"/>
          <w:szCs w:val="22"/>
          <w:lang w:val="en-GB"/>
        </w:rPr>
        <w:tab/>
      </w:r>
      <w:r w:rsidR="44332088" w:rsidRPr="791B8135">
        <w:rPr>
          <w:rFonts w:asciiTheme="majorHAnsi" w:hAnsiTheme="majorHAnsi" w:cstheme="majorBidi"/>
          <w:sz w:val="22"/>
          <w:szCs w:val="22"/>
          <w:lang w:val="en-GB"/>
        </w:rPr>
        <w:t xml:space="preserve">Distillate fuels encompass marine gas oil (MGO) and marine diesel oil (MDO). The first, </w:t>
      </w:r>
      <w:r w:rsidR="0091719F">
        <w:rPr>
          <w:rFonts w:asciiTheme="majorHAnsi" w:hAnsiTheme="majorHAnsi" w:cstheme="majorBidi"/>
          <w:sz w:val="22"/>
          <w:szCs w:val="22"/>
          <w:lang w:val="en-GB"/>
        </w:rPr>
        <w:t xml:space="preserve">and </w:t>
      </w:r>
      <w:r w:rsidR="6092D1C3" w:rsidRPr="791B8135">
        <w:rPr>
          <w:rFonts w:asciiTheme="majorHAnsi" w:hAnsiTheme="majorHAnsi" w:cstheme="majorBidi"/>
          <w:sz w:val="22"/>
          <w:szCs w:val="22"/>
          <w:lang w:val="en-GB"/>
        </w:rPr>
        <w:t>mostly traded</w:t>
      </w:r>
      <w:r w:rsidR="44332088" w:rsidRPr="791B8135">
        <w:rPr>
          <w:rFonts w:asciiTheme="majorHAnsi" w:hAnsiTheme="majorHAnsi" w:cstheme="majorBidi"/>
          <w:sz w:val="22"/>
          <w:szCs w:val="22"/>
          <w:lang w:val="en-GB"/>
        </w:rPr>
        <w:t xml:space="preserve"> as DMA</w:t>
      </w:r>
      <w:r w:rsidR="0091719F">
        <w:rPr>
          <w:rFonts w:asciiTheme="majorHAnsi" w:hAnsiTheme="majorHAnsi" w:cstheme="majorBidi"/>
          <w:sz w:val="22"/>
          <w:szCs w:val="22"/>
          <w:lang w:val="en-GB"/>
        </w:rPr>
        <w:t>. It</w:t>
      </w:r>
      <w:r w:rsidR="44332088" w:rsidRPr="791B8135">
        <w:rPr>
          <w:rFonts w:asciiTheme="majorHAnsi" w:hAnsiTheme="majorHAnsi" w:cstheme="majorBidi"/>
          <w:sz w:val="22"/>
          <w:szCs w:val="22"/>
          <w:lang w:val="en-GB"/>
        </w:rPr>
        <w:t xml:space="preserve"> </w:t>
      </w:r>
      <w:r w:rsidR="151359FB" w:rsidRPr="791B8135">
        <w:rPr>
          <w:rFonts w:asciiTheme="majorHAnsi" w:hAnsiTheme="majorHAnsi" w:cstheme="majorBidi"/>
          <w:sz w:val="22"/>
          <w:szCs w:val="22"/>
          <w:lang w:val="en-GB"/>
        </w:rPr>
        <w:t xml:space="preserve">is a light fraction of oil </w:t>
      </w:r>
      <w:r w:rsidR="723B858F" w:rsidRPr="791B8135">
        <w:rPr>
          <w:rFonts w:asciiTheme="majorHAnsi" w:hAnsiTheme="majorHAnsi" w:cstheme="majorBidi"/>
          <w:sz w:val="22"/>
          <w:szCs w:val="22"/>
          <w:lang w:val="en-GB"/>
        </w:rPr>
        <w:t>containing about 60</w:t>
      </w:r>
      <w:r w:rsidR="0091719F">
        <w:rPr>
          <w:rFonts w:asciiTheme="majorHAnsi" w:hAnsiTheme="majorHAnsi" w:cstheme="majorBidi"/>
          <w:sz w:val="22"/>
          <w:szCs w:val="22"/>
          <w:lang w:val="en-GB"/>
        </w:rPr>
        <w:t xml:space="preserve"> </w:t>
      </w:r>
      <w:r w:rsidR="723B858F" w:rsidRPr="791B8135">
        <w:rPr>
          <w:rFonts w:asciiTheme="majorHAnsi" w:hAnsiTheme="majorHAnsi" w:cstheme="majorBidi"/>
          <w:sz w:val="22"/>
          <w:szCs w:val="22"/>
          <w:lang w:val="en-GB"/>
        </w:rPr>
        <w:t xml:space="preserve">% of aromatics </w:t>
      </w:r>
      <w:r w:rsidR="50C51DCF" w:rsidRPr="791B8135">
        <w:rPr>
          <w:rFonts w:asciiTheme="majorHAnsi" w:hAnsiTheme="majorHAnsi" w:cstheme="majorBidi"/>
          <w:sz w:val="22"/>
          <w:szCs w:val="22"/>
          <w:lang w:val="en-GB"/>
        </w:rPr>
        <w:t>with</w:t>
      </w:r>
      <w:r w:rsidR="723B858F" w:rsidRPr="791B8135">
        <w:rPr>
          <w:rFonts w:asciiTheme="majorHAnsi" w:hAnsiTheme="majorHAnsi" w:cstheme="majorBidi"/>
          <w:sz w:val="22"/>
          <w:szCs w:val="22"/>
          <w:lang w:val="en-GB"/>
        </w:rPr>
        <w:t xml:space="preserve"> low </w:t>
      </w:r>
      <w:r w:rsidR="20CAE605" w:rsidRPr="791B8135">
        <w:rPr>
          <w:rFonts w:asciiTheme="majorHAnsi" w:hAnsiTheme="majorHAnsi" w:cstheme="majorBidi"/>
          <w:sz w:val="22"/>
          <w:szCs w:val="22"/>
          <w:lang w:val="en-GB"/>
        </w:rPr>
        <w:t>sulphur</w:t>
      </w:r>
      <w:r w:rsidR="723B858F" w:rsidRPr="791B8135">
        <w:rPr>
          <w:rFonts w:asciiTheme="majorHAnsi" w:hAnsiTheme="majorHAnsi" w:cstheme="majorBidi"/>
          <w:sz w:val="22"/>
          <w:szCs w:val="22"/>
          <w:lang w:val="en-GB"/>
        </w:rPr>
        <w:t xml:space="preserve"> content</w:t>
      </w:r>
      <w:r w:rsidR="7A17970C" w:rsidRPr="791B8135">
        <w:rPr>
          <w:rFonts w:asciiTheme="majorHAnsi" w:hAnsiTheme="majorHAnsi" w:cstheme="majorBidi"/>
          <w:sz w:val="22"/>
          <w:szCs w:val="22"/>
          <w:lang w:val="en-GB"/>
        </w:rPr>
        <w:t xml:space="preserve"> </w:t>
      </w:r>
      <w:r w:rsidR="1A61ABC1" w:rsidRPr="791B8135">
        <w:rPr>
          <w:rFonts w:asciiTheme="majorHAnsi" w:hAnsiTheme="majorHAnsi" w:cstheme="majorBidi"/>
          <w:sz w:val="22"/>
          <w:szCs w:val="22"/>
          <w:lang w:val="en-GB"/>
        </w:rPr>
        <w:t>(&gt;</w:t>
      </w:r>
      <w:r w:rsidR="7A17970C" w:rsidRPr="791B8135">
        <w:rPr>
          <w:rFonts w:asciiTheme="majorHAnsi" w:hAnsiTheme="majorHAnsi" w:cstheme="majorBidi"/>
          <w:sz w:val="22"/>
          <w:szCs w:val="22"/>
          <w:lang w:val="en-GB"/>
        </w:rPr>
        <w:t xml:space="preserve"> 0</w:t>
      </w:r>
      <w:r w:rsidR="311209CF" w:rsidRPr="791B8135">
        <w:rPr>
          <w:rFonts w:asciiTheme="majorHAnsi" w:hAnsiTheme="majorHAnsi" w:cstheme="majorBidi"/>
          <w:sz w:val="22"/>
          <w:szCs w:val="22"/>
          <w:lang w:val="en-GB"/>
        </w:rPr>
        <w:t xml:space="preserve">.10 </w:t>
      </w:r>
      <w:r w:rsidR="311209CF" w:rsidRPr="791B8135">
        <w:rPr>
          <w:rFonts w:asciiTheme="majorHAnsi" w:hAnsiTheme="majorHAnsi" w:cstheme="majorBidi"/>
          <w:sz w:val="22"/>
          <w:szCs w:val="22"/>
          <w:lang w:val="en-GB"/>
        </w:rPr>
        <w:lastRenderedPageBreak/>
        <w:t xml:space="preserve">– 1.8 % </w:t>
      </w:r>
      <w:r w:rsidR="249BD49C" w:rsidRPr="791B8135">
        <w:rPr>
          <w:rFonts w:asciiTheme="majorHAnsi" w:hAnsiTheme="majorHAnsi" w:cstheme="majorBidi"/>
          <w:sz w:val="22"/>
          <w:szCs w:val="22"/>
          <w:lang w:val="en-GB"/>
        </w:rPr>
        <w:t>w/w</w:t>
      </w:r>
      <w:r w:rsidR="311209CF" w:rsidRPr="791B8135">
        <w:rPr>
          <w:rFonts w:asciiTheme="majorHAnsi" w:hAnsiTheme="majorHAnsi" w:cstheme="majorBidi"/>
          <w:sz w:val="22"/>
          <w:szCs w:val="22"/>
          <w:lang w:val="en-GB"/>
        </w:rPr>
        <w:t>)</w:t>
      </w:r>
      <w:r w:rsidR="5A00B59B" w:rsidRPr="791B8135">
        <w:rPr>
          <w:rFonts w:asciiTheme="majorHAnsi" w:hAnsiTheme="majorHAnsi" w:cstheme="majorBidi"/>
          <w:sz w:val="22"/>
          <w:szCs w:val="22"/>
          <w:lang w:val="en-GB"/>
        </w:rPr>
        <w:t xml:space="preserve">. </w:t>
      </w:r>
      <w:r w:rsidR="7896B995" w:rsidRPr="791B8135">
        <w:rPr>
          <w:rFonts w:asciiTheme="majorHAnsi" w:hAnsiTheme="majorHAnsi" w:cstheme="majorBidi"/>
          <w:sz w:val="22"/>
          <w:szCs w:val="22"/>
          <w:lang w:val="en-GB"/>
        </w:rPr>
        <w:t>It is u</w:t>
      </w:r>
      <w:r w:rsidR="50F2623C" w:rsidRPr="791B8135">
        <w:rPr>
          <w:rFonts w:asciiTheme="majorHAnsi" w:hAnsiTheme="majorHAnsi" w:cstheme="majorBidi"/>
          <w:sz w:val="22"/>
          <w:szCs w:val="22"/>
          <w:lang w:val="en-GB"/>
        </w:rPr>
        <w:t xml:space="preserve">sually used in </w:t>
      </w:r>
      <w:r w:rsidR="212E934B" w:rsidRPr="791B8135">
        <w:rPr>
          <w:rFonts w:asciiTheme="majorHAnsi" w:hAnsiTheme="majorHAnsi" w:cstheme="majorBidi"/>
          <w:sz w:val="22"/>
          <w:szCs w:val="22"/>
          <w:lang w:val="en-GB"/>
        </w:rPr>
        <w:t xml:space="preserve">auxiliary </w:t>
      </w:r>
      <w:r w:rsidR="42A5A50E" w:rsidRPr="791B8135">
        <w:rPr>
          <w:rFonts w:asciiTheme="majorHAnsi" w:hAnsiTheme="majorHAnsi" w:cstheme="majorBidi"/>
          <w:sz w:val="22"/>
          <w:szCs w:val="22"/>
          <w:lang w:val="en-GB"/>
        </w:rPr>
        <w:t xml:space="preserve">engines, </w:t>
      </w:r>
      <w:r w:rsidR="212E934B" w:rsidRPr="791B8135">
        <w:rPr>
          <w:rFonts w:asciiTheme="majorHAnsi" w:hAnsiTheme="majorHAnsi" w:cstheme="majorBidi"/>
          <w:sz w:val="22"/>
          <w:szCs w:val="22"/>
          <w:lang w:val="en-GB"/>
        </w:rPr>
        <w:t>small and medium ships</w:t>
      </w:r>
      <w:r w:rsidR="6EBF7B5F" w:rsidRPr="791B8135">
        <w:rPr>
          <w:rFonts w:asciiTheme="majorHAnsi" w:hAnsiTheme="majorHAnsi" w:cstheme="majorBidi"/>
          <w:sz w:val="22"/>
          <w:szCs w:val="22"/>
          <w:lang w:val="en-GB"/>
        </w:rPr>
        <w:t>, ships with</w:t>
      </w:r>
      <w:r w:rsidR="45428EBC" w:rsidRPr="791B8135">
        <w:rPr>
          <w:rFonts w:asciiTheme="majorHAnsi" w:hAnsiTheme="majorHAnsi" w:cstheme="majorBidi"/>
          <w:sz w:val="22"/>
          <w:szCs w:val="22"/>
          <w:lang w:val="en-GB"/>
        </w:rPr>
        <w:t xml:space="preserve"> frequent varying speed and loads</w:t>
      </w:r>
      <w:r w:rsidR="6EBF7B5F" w:rsidRPr="791B8135">
        <w:rPr>
          <w:rFonts w:asciiTheme="majorHAnsi" w:hAnsiTheme="majorHAnsi" w:cstheme="majorBidi"/>
          <w:sz w:val="22"/>
          <w:szCs w:val="22"/>
          <w:lang w:val="en-GB"/>
        </w:rPr>
        <w:t xml:space="preserve">, and </w:t>
      </w:r>
      <w:r w:rsidR="4761A70C" w:rsidRPr="791B8135">
        <w:rPr>
          <w:rFonts w:asciiTheme="majorHAnsi" w:hAnsiTheme="majorHAnsi" w:cstheme="majorBidi"/>
          <w:sz w:val="22"/>
          <w:szCs w:val="22"/>
          <w:lang w:val="en-GB"/>
        </w:rPr>
        <w:t>ships</w:t>
      </w:r>
      <w:r w:rsidR="45428EBC" w:rsidRPr="791B8135">
        <w:rPr>
          <w:rFonts w:asciiTheme="majorHAnsi" w:hAnsiTheme="majorHAnsi" w:cstheme="majorBidi"/>
          <w:sz w:val="22"/>
          <w:szCs w:val="22"/>
          <w:lang w:val="en-GB"/>
        </w:rPr>
        <w:t xml:space="preserve"> equipped with 4-st</w:t>
      </w:r>
      <w:r w:rsidR="00963F36">
        <w:rPr>
          <w:rFonts w:asciiTheme="majorHAnsi" w:hAnsiTheme="majorHAnsi" w:cstheme="majorBidi"/>
          <w:sz w:val="22"/>
          <w:szCs w:val="22"/>
          <w:lang w:val="en-GB"/>
        </w:rPr>
        <w:t>r</w:t>
      </w:r>
      <w:r w:rsidR="45428EBC" w:rsidRPr="791B8135">
        <w:rPr>
          <w:rFonts w:asciiTheme="majorHAnsi" w:hAnsiTheme="majorHAnsi" w:cstheme="majorBidi"/>
          <w:sz w:val="22"/>
          <w:szCs w:val="22"/>
          <w:lang w:val="en-GB"/>
        </w:rPr>
        <w:t>oke</w:t>
      </w:r>
      <w:r w:rsidR="0CEC1949" w:rsidRPr="791B8135">
        <w:rPr>
          <w:rFonts w:asciiTheme="majorHAnsi" w:hAnsiTheme="majorHAnsi" w:cstheme="majorBidi"/>
          <w:sz w:val="22"/>
          <w:szCs w:val="22"/>
          <w:lang w:val="en-GB"/>
        </w:rPr>
        <w:t xml:space="preserve"> diesel</w:t>
      </w:r>
      <w:r w:rsidR="45428EBC" w:rsidRPr="791B8135">
        <w:rPr>
          <w:rFonts w:asciiTheme="majorHAnsi" w:hAnsiTheme="majorHAnsi" w:cstheme="majorBidi"/>
          <w:sz w:val="22"/>
          <w:szCs w:val="22"/>
          <w:lang w:val="en-GB"/>
        </w:rPr>
        <w:t xml:space="preserve"> engines</w:t>
      </w:r>
      <w:r w:rsidR="0CEC1949" w:rsidRPr="791B8135">
        <w:rPr>
          <w:rFonts w:asciiTheme="majorHAnsi" w:hAnsiTheme="majorHAnsi" w:cstheme="majorBidi"/>
          <w:sz w:val="22"/>
          <w:szCs w:val="22"/>
          <w:lang w:val="en-GB"/>
        </w:rPr>
        <w:t>.</w:t>
      </w:r>
      <w:r w:rsidR="42A5A50E" w:rsidRPr="791B8135">
        <w:rPr>
          <w:rFonts w:asciiTheme="majorHAnsi" w:hAnsiTheme="majorHAnsi" w:cstheme="majorBidi"/>
          <w:sz w:val="22"/>
          <w:szCs w:val="22"/>
          <w:lang w:val="en-GB"/>
        </w:rPr>
        <w:t xml:space="preserve"> </w:t>
      </w:r>
      <w:r w:rsidR="320180A8" w:rsidRPr="791B8135">
        <w:rPr>
          <w:rFonts w:asciiTheme="majorHAnsi" w:hAnsiTheme="majorHAnsi" w:cstheme="majorBidi"/>
          <w:sz w:val="22"/>
          <w:szCs w:val="22"/>
          <w:lang w:val="en-GB"/>
        </w:rPr>
        <w:t xml:space="preserve">Low </w:t>
      </w:r>
      <w:r w:rsidR="46A32C77" w:rsidRPr="791B8135">
        <w:rPr>
          <w:rFonts w:asciiTheme="majorHAnsi" w:hAnsiTheme="majorHAnsi" w:cstheme="majorBidi"/>
          <w:sz w:val="22"/>
          <w:szCs w:val="22"/>
          <w:lang w:val="en-GB"/>
        </w:rPr>
        <w:t>s</w:t>
      </w:r>
      <w:r w:rsidR="320180A8" w:rsidRPr="791B8135">
        <w:rPr>
          <w:rFonts w:asciiTheme="majorHAnsi" w:hAnsiTheme="majorHAnsi" w:cstheme="majorBidi"/>
          <w:sz w:val="22"/>
          <w:szCs w:val="22"/>
          <w:lang w:val="en-GB"/>
        </w:rPr>
        <w:t xml:space="preserve">ulphur </w:t>
      </w:r>
      <w:r w:rsidR="46A32C77" w:rsidRPr="791B8135">
        <w:rPr>
          <w:rFonts w:asciiTheme="majorHAnsi" w:hAnsiTheme="majorHAnsi" w:cstheme="majorBidi"/>
          <w:sz w:val="22"/>
          <w:szCs w:val="22"/>
          <w:lang w:val="en-GB"/>
        </w:rPr>
        <w:t>m</w:t>
      </w:r>
      <w:r w:rsidR="320180A8" w:rsidRPr="791B8135">
        <w:rPr>
          <w:rFonts w:asciiTheme="majorHAnsi" w:hAnsiTheme="majorHAnsi" w:cstheme="majorBidi"/>
          <w:sz w:val="22"/>
          <w:szCs w:val="22"/>
          <w:lang w:val="en-GB"/>
        </w:rPr>
        <w:t xml:space="preserve">arine </w:t>
      </w:r>
      <w:r w:rsidR="46A32C77" w:rsidRPr="791B8135">
        <w:rPr>
          <w:rFonts w:asciiTheme="majorHAnsi" w:hAnsiTheme="majorHAnsi" w:cstheme="majorBidi"/>
          <w:sz w:val="22"/>
          <w:szCs w:val="22"/>
          <w:lang w:val="en-GB"/>
        </w:rPr>
        <w:t>g</w:t>
      </w:r>
      <w:r w:rsidR="320180A8" w:rsidRPr="791B8135">
        <w:rPr>
          <w:rFonts w:asciiTheme="majorHAnsi" w:hAnsiTheme="majorHAnsi" w:cstheme="majorBidi"/>
          <w:sz w:val="22"/>
          <w:szCs w:val="22"/>
          <w:lang w:val="en-GB"/>
        </w:rPr>
        <w:t xml:space="preserve">as </w:t>
      </w:r>
      <w:r w:rsidR="46A32C77" w:rsidRPr="791B8135">
        <w:rPr>
          <w:rFonts w:asciiTheme="majorHAnsi" w:hAnsiTheme="majorHAnsi" w:cstheme="majorBidi"/>
          <w:sz w:val="22"/>
          <w:szCs w:val="22"/>
          <w:lang w:val="en-GB"/>
        </w:rPr>
        <w:t>o</w:t>
      </w:r>
      <w:r w:rsidR="320180A8" w:rsidRPr="791B8135">
        <w:rPr>
          <w:rFonts w:asciiTheme="majorHAnsi" w:hAnsiTheme="majorHAnsi" w:cstheme="majorBidi"/>
          <w:sz w:val="22"/>
          <w:szCs w:val="22"/>
          <w:lang w:val="en-GB"/>
        </w:rPr>
        <w:t>il (LSMGO)</w:t>
      </w:r>
      <w:r w:rsidR="2014078D" w:rsidRPr="791B8135">
        <w:rPr>
          <w:rFonts w:asciiTheme="majorHAnsi" w:hAnsiTheme="majorHAnsi" w:cstheme="majorBidi"/>
          <w:sz w:val="22"/>
          <w:szCs w:val="22"/>
          <w:lang w:val="en-GB"/>
        </w:rPr>
        <w:t xml:space="preserve"> </w:t>
      </w:r>
      <w:r w:rsidR="03E3DBA6" w:rsidRPr="791B8135">
        <w:rPr>
          <w:rFonts w:asciiTheme="majorHAnsi" w:hAnsiTheme="majorHAnsi" w:cstheme="majorBidi"/>
          <w:sz w:val="22"/>
          <w:szCs w:val="22"/>
          <w:lang w:val="en-GB"/>
        </w:rPr>
        <w:t xml:space="preserve">contains less than 0.1 % w/w </w:t>
      </w:r>
      <w:r w:rsidR="36D4ED86" w:rsidRPr="791B8135">
        <w:rPr>
          <w:rFonts w:asciiTheme="majorHAnsi" w:hAnsiTheme="majorHAnsi" w:cstheme="majorBidi"/>
          <w:sz w:val="22"/>
          <w:szCs w:val="22"/>
          <w:lang w:val="en-GB"/>
        </w:rPr>
        <w:t>of</w:t>
      </w:r>
      <w:r w:rsidR="03E3DBA6" w:rsidRPr="791B8135">
        <w:rPr>
          <w:rFonts w:asciiTheme="majorHAnsi" w:hAnsiTheme="majorHAnsi" w:cstheme="majorBidi"/>
          <w:sz w:val="22"/>
          <w:szCs w:val="22"/>
          <w:lang w:val="en-GB"/>
        </w:rPr>
        <w:t xml:space="preserve"> sulphur </w:t>
      </w:r>
      <w:r w:rsidR="1CE48E13" w:rsidRPr="791B8135">
        <w:rPr>
          <w:rFonts w:asciiTheme="majorHAnsi" w:hAnsiTheme="majorHAnsi" w:cstheme="majorBidi"/>
          <w:sz w:val="22"/>
          <w:szCs w:val="22"/>
          <w:lang w:val="en-GB"/>
        </w:rPr>
        <w:t xml:space="preserve">and </w:t>
      </w:r>
      <w:r w:rsidR="36D4ED86" w:rsidRPr="791B8135">
        <w:rPr>
          <w:rFonts w:asciiTheme="majorHAnsi" w:hAnsiTheme="majorHAnsi" w:cstheme="majorBidi"/>
          <w:sz w:val="22"/>
          <w:szCs w:val="22"/>
          <w:lang w:val="en-GB"/>
        </w:rPr>
        <w:t>is</w:t>
      </w:r>
      <w:r w:rsidR="1CE48E13" w:rsidRPr="791B8135">
        <w:rPr>
          <w:rFonts w:asciiTheme="majorHAnsi" w:hAnsiTheme="majorHAnsi" w:cstheme="majorBidi"/>
          <w:sz w:val="22"/>
          <w:szCs w:val="22"/>
          <w:lang w:val="en-GB"/>
        </w:rPr>
        <w:t xml:space="preserve"> used in ECA regions. Even lower sulphur content, </w:t>
      </w:r>
      <w:r w:rsidR="0A1DAB49" w:rsidRPr="791B8135">
        <w:rPr>
          <w:rFonts w:asciiTheme="majorHAnsi" w:hAnsiTheme="majorHAnsi" w:cstheme="majorBidi"/>
          <w:sz w:val="22"/>
          <w:szCs w:val="22"/>
          <w:lang w:val="en-GB"/>
        </w:rPr>
        <w:t>up to 0.001%</w:t>
      </w:r>
      <w:r w:rsidR="6763AC11" w:rsidRPr="791B8135">
        <w:rPr>
          <w:rFonts w:asciiTheme="majorHAnsi" w:hAnsiTheme="majorHAnsi" w:cstheme="majorBidi"/>
          <w:sz w:val="22"/>
          <w:szCs w:val="22"/>
          <w:lang w:val="en-GB"/>
        </w:rPr>
        <w:t xml:space="preserve"> is found in </w:t>
      </w:r>
      <w:r w:rsidR="5E904A87" w:rsidRPr="791B8135">
        <w:rPr>
          <w:rFonts w:asciiTheme="majorHAnsi" w:hAnsiTheme="majorHAnsi" w:cstheme="majorBidi"/>
          <w:sz w:val="22"/>
          <w:szCs w:val="22"/>
          <w:lang w:val="en-GB"/>
        </w:rPr>
        <w:t xml:space="preserve">ultra-low sulphur </w:t>
      </w:r>
      <w:r w:rsidR="6763AC11" w:rsidRPr="791B8135">
        <w:rPr>
          <w:rFonts w:asciiTheme="majorHAnsi" w:hAnsiTheme="majorHAnsi" w:cstheme="majorBidi"/>
          <w:sz w:val="22"/>
          <w:szCs w:val="22"/>
          <w:lang w:val="en-GB"/>
        </w:rPr>
        <w:t>MGO</w:t>
      </w:r>
      <w:r w:rsidR="3570970F" w:rsidRPr="791B8135">
        <w:rPr>
          <w:rFonts w:asciiTheme="majorHAnsi" w:hAnsiTheme="majorHAnsi" w:cstheme="majorBidi"/>
          <w:sz w:val="22"/>
          <w:szCs w:val="22"/>
          <w:lang w:val="en-GB"/>
        </w:rPr>
        <w:t>, coping with the limits for inland use.</w:t>
      </w:r>
    </w:p>
    <w:p w14:paraId="5D4C4E1B" w14:textId="6CE0A286" w:rsidR="00DB6498" w:rsidRPr="00E24E04" w:rsidRDefault="003C2F0D" w:rsidP="00CE1B9B">
      <w:pPr>
        <w:spacing w:after="120" w:line="360" w:lineRule="auto"/>
        <w:rPr>
          <w:rFonts w:asciiTheme="majorHAnsi" w:hAnsiTheme="majorHAnsi" w:cstheme="majorHAnsi"/>
          <w:sz w:val="22"/>
          <w:szCs w:val="22"/>
          <w:lang w:val="en-GB"/>
        </w:rPr>
      </w:pPr>
      <w:r w:rsidRPr="00E24E04">
        <w:rPr>
          <w:rFonts w:asciiTheme="majorHAnsi" w:hAnsiTheme="majorHAnsi" w:cstheme="majorHAnsi"/>
          <w:sz w:val="22"/>
          <w:szCs w:val="22"/>
          <w:lang w:val="en-GB"/>
        </w:rPr>
        <w:tab/>
      </w:r>
      <w:r w:rsidR="007F14C7" w:rsidRPr="00E24E04">
        <w:rPr>
          <w:rFonts w:asciiTheme="majorHAnsi" w:hAnsiTheme="majorHAnsi" w:cstheme="majorHAnsi"/>
          <w:sz w:val="22"/>
          <w:szCs w:val="22"/>
          <w:lang w:val="en-GB"/>
        </w:rPr>
        <w:t xml:space="preserve">MDO </w:t>
      </w:r>
      <w:r w:rsidR="00B6068B" w:rsidRPr="00E24E04">
        <w:rPr>
          <w:rFonts w:asciiTheme="majorHAnsi" w:hAnsiTheme="majorHAnsi" w:cstheme="majorHAnsi"/>
          <w:sz w:val="22"/>
          <w:szCs w:val="22"/>
          <w:lang w:val="en-GB"/>
        </w:rPr>
        <w:t xml:space="preserve">consists </w:t>
      </w:r>
      <w:r w:rsidR="005B382E" w:rsidRPr="00E24E04">
        <w:rPr>
          <w:rFonts w:asciiTheme="majorHAnsi" w:hAnsiTheme="majorHAnsi" w:cstheme="majorHAnsi"/>
          <w:sz w:val="22"/>
          <w:szCs w:val="22"/>
          <w:lang w:val="en-GB"/>
        </w:rPr>
        <w:t>in a ble</w:t>
      </w:r>
      <w:r w:rsidR="01990876" w:rsidRPr="00E24E04">
        <w:rPr>
          <w:rFonts w:asciiTheme="majorHAnsi" w:hAnsiTheme="majorHAnsi" w:cstheme="majorHAnsi"/>
          <w:sz w:val="22"/>
          <w:szCs w:val="22"/>
          <w:lang w:val="en-GB"/>
        </w:rPr>
        <w:t>n</w:t>
      </w:r>
      <w:r w:rsidR="005B382E" w:rsidRPr="00E24E04">
        <w:rPr>
          <w:rFonts w:asciiTheme="majorHAnsi" w:hAnsiTheme="majorHAnsi" w:cstheme="majorHAnsi"/>
          <w:sz w:val="22"/>
          <w:szCs w:val="22"/>
          <w:lang w:val="en-GB"/>
        </w:rPr>
        <w:t>d of distillates heavier than MGO</w:t>
      </w:r>
      <w:r w:rsidR="00736076" w:rsidRPr="00E24E04">
        <w:rPr>
          <w:rFonts w:asciiTheme="majorHAnsi" w:hAnsiTheme="majorHAnsi" w:cstheme="majorHAnsi"/>
          <w:sz w:val="22"/>
          <w:szCs w:val="22"/>
          <w:lang w:val="en-GB"/>
        </w:rPr>
        <w:t xml:space="preserve">, </w:t>
      </w:r>
      <w:r w:rsidR="00BE6D6A">
        <w:rPr>
          <w:rFonts w:asciiTheme="majorHAnsi" w:hAnsiTheme="majorHAnsi" w:cstheme="majorHAnsi"/>
          <w:sz w:val="22"/>
          <w:szCs w:val="22"/>
          <w:lang w:val="en-GB"/>
        </w:rPr>
        <w:t xml:space="preserve">or a </w:t>
      </w:r>
      <w:r w:rsidR="00DD5C73">
        <w:rPr>
          <w:rFonts w:asciiTheme="majorHAnsi" w:hAnsiTheme="majorHAnsi" w:cstheme="majorHAnsi"/>
          <w:sz w:val="22"/>
          <w:szCs w:val="22"/>
          <w:lang w:val="en-GB"/>
        </w:rPr>
        <w:t>possible</w:t>
      </w:r>
      <w:r w:rsidR="0054596A" w:rsidRPr="00E24E04">
        <w:rPr>
          <w:rFonts w:asciiTheme="majorHAnsi" w:hAnsiTheme="majorHAnsi" w:cstheme="majorHAnsi"/>
          <w:sz w:val="22"/>
          <w:szCs w:val="22"/>
          <w:lang w:val="en-GB"/>
        </w:rPr>
        <w:t xml:space="preserve"> blend containing heavy fuel oil in low proportion. </w:t>
      </w:r>
      <w:r w:rsidR="00B927E4" w:rsidRPr="00E24E04">
        <w:rPr>
          <w:rFonts w:asciiTheme="majorHAnsi" w:hAnsiTheme="majorHAnsi" w:cstheme="majorHAnsi"/>
          <w:sz w:val="22"/>
          <w:szCs w:val="22"/>
          <w:lang w:val="en-GB"/>
        </w:rPr>
        <w:t xml:space="preserve">It has </w:t>
      </w:r>
      <w:r w:rsidR="006732B2" w:rsidRPr="00E24E04">
        <w:rPr>
          <w:rFonts w:asciiTheme="majorHAnsi" w:hAnsiTheme="majorHAnsi" w:cstheme="majorHAnsi"/>
          <w:sz w:val="22"/>
          <w:szCs w:val="22"/>
          <w:lang w:val="en-GB"/>
        </w:rPr>
        <w:t>around 25 % w/w of aromatics</w:t>
      </w:r>
      <w:r w:rsidR="00874F83" w:rsidRPr="00E24E04">
        <w:rPr>
          <w:rFonts w:asciiTheme="majorHAnsi" w:hAnsiTheme="majorHAnsi" w:cstheme="majorHAnsi"/>
          <w:sz w:val="22"/>
          <w:szCs w:val="22"/>
          <w:lang w:val="en-GB"/>
        </w:rPr>
        <w:t xml:space="preserve">, </w:t>
      </w:r>
      <w:r w:rsidR="001A5454" w:rsidRPr="00E24E04">
        <w:rPr>
          <w:rFonts w:asciiTheme="majorHAnsi" w:hAnsiTheme="majorHAnsi" w:cstheme="majorHAnsi"/>
          <w:sz w:val="22"/>
          <w:szCs w:val="22"/>
          <w:lang w:val="en-GB"/>
        </w:rPr>
        <w:t>typically lower in cetane than MGO</w:t>
      </w:r>
      <w:r w:rsidR="00874F83" w:rsidRPr="00E24E04">
        <w:rPr>
          <w:rFonts w:asciiTheme="majorHAnsi" w:hAnsiTheme="majorHAnsi" w:cstheme="majorHAnsi"/>
          <w:sz w:val="22"/>
          <w:szCs w:val="22"/>
          <w:lang w:val="en-GB"/>
        </w:rPr>
        <w:t xml:space="preserve"> and</w:t>
      </w:r>
      <w:r w:rsidR="00327122" w:rsidRPr="00E24E04">
        <w:rPr>
          <w:rFonts w:asciiTheme="majorHAnsi" w:hAnsiTheme="majorHAnsi" w:cstheme="majorHAnsi"/>
          <w:sz w:val="22"/>
          <w:szCs w:val="22"/>
          <w:lang w:val="en-GB"/>
        </w:rPr>
        <w:t xml:space="preserve"> with</w:t>
      </w:r>
      <w:r w:rsidR="00523C7A" w:rsidRPr="00E24E04">
        <w:rPr>
          <w:rFonts w:asciiTheme="majorHAnsi" w:hAnsiTheme="majorHAnsi" w:cstheme="majorHAnsi"/>
          <w:sz w:val="22"/>
          <w:szCs w:val="22"/>
          <w:lang w:val="en-GB"/>
        </w:rPr>
        <w:t xml:space="preserve"> sulphur content between 0.3 and 2.0 % w/w.</w:t>
      </w:r>
      <w:r w:rsidR="00327122" w:rsidRPr="00E24E04">
        <w:rPr>
          <w:rFonts w:asciiTheme="majorHAnsi" w:hAnsiTheme="majorHAnsi" w:cstheme="majorHAnsi"/>
          <w:sz w:val="22"/>
          <w:szCs w:val="22"/>
          <w:lang w:val="en-GB"/>
        </w:rPr>
        <w:t xml:space="preserve"> </w:t>
      </w:r>
      <w:r w:rsidR="00DA5B25" w:rsidRPr="00E24E04">
        <w:rPr>
          <w:rFonts w:asciiTheme="majorHAnsi" w:hAnsiTheme="majorHAnsi" w:cstheme="majorHAnsi"/>
          <w:sz w:val="22"/>
          <w:szCs w:val="22"/>
          <w:lang w:val="en-GB"/>
        </w:rPr>
        <w:t xml:space="preserve"> It is usually used in smaller ships</w:t>
      </w:r>
      <w:r w:rsidR="00965960" w:rsidRPr="00E24E04">
        <w:rPr>
          <w:rFonts w:asciiTheme="majorHAnsi" w:hAnsiTheme="majorHAnsi" w:cstheme="majorHAnsi"/>
          <w:sz w:val="22"/>
          <w:szCs w:val="22"/>
          <w:lang w:val="en-GB"/>
        </w:rPr>
        <w:t xml:space="preserve"> operating in a constant speed and varying tonnage</w:t>
      </w:r>
      <w:r w:rsidR="006B3FE0" w:rsidRPr="00E24E04">
        <w:rPr>
          <w:rFonts w:asciiTheme="majorHAnsi" w:hAnsiTheme="majorHAnsi" w:cstheme="majorHAnsi"/>
          <w:sz w:val="22"/>
          <w:szCs w:val="22"/>
          <w:lang w:val="en-GB"/>
        </w:rPr>
        <w:t xml:space="preserve"> in 4-st</w:t>
      </w:r>
      <w:r w:rsidR="1D2EE96B" w:rsidRPr="00E24E04">
        <w:rPr>
          <w:rFonts w:asciiTheme="majorHAnsi" w:hAnsiTheme="majorHAnsi" w:cstheme="majorHAnsi"/>
          <w:sz w:val="22"/>
          <w:szCs w:val="22"/>
          <w:lang w:val="en-GB"/>
        </w:rPr>
        <w:t>r</w:t>
      </w:r>
      <w:r w:rsidR="006B3FE0" w:rsidRPr="00E24E04">
        <w:rPr>
          <w:rFonts w:asciiTheme="majorHAnsi" w:hAnsiTheme="majorHAnsi" w:cstheme="majorHAnsi"/>
          <w:sz w:val="22"/>
          <w:szCs w:val="22"/>
          <w:lang w:val="en-GB"/>
        </w:rPr>
        <w:t>oke engines.</w:t>
      </w:r>
      <w:r w:rsidR="007F0264" w:rsidRPr="00E24E04">
        <w:rPr>
          <w:rFonts w:asciiTheme="majorHAnsi" w:hAnsiTheme="majorHAnsi" w:cstheme="majorHAnsi"/>
          <w:sz w:val="22"/>
          <w:szCs w:val="22"/>
          <w:lang w:val="en-GB"/>
        </w:rPr>
        <w:t xml:space="preserve"> </w:t>
      </w:r>
    </w:p>
    <w:p w14:paraId="00D3AEF4" w14:textId="35B81C3D" w:rsidR="00DB6498" w:rsidRPr="00E24E04" w:rsidRDefault="5AC2780F"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Residual Marine fuels</w:t>
      </w:r>
      <w:r w:rsidR="680C07D1" w:rsidRPr="5937A937">
        <w:rPr>
          <w:rFonts w:asciiTheme="majorHAnsi" w:hAnsiTheme="majorHAnsi" w:cstheme="majorBidi"/>
          <w:sz w:val="22"/>
          <w:szCs w:val="22"/>
          <w:lang w:val="en-GB"/>
        </w:rPr>
        <w:t xml:space="preserve"> are the heavy fraction </w:t>
      </w:r>
      <w:r w:rsidR="55D5E08A" w:rsidRPr="5937A937">
        <w:rPr>
          <w:rFonts w:asciiTheme="majorHAnsi" w:hAnsiTheme="majorHAnsi" w:cstheme="majorBidi"/>
          <w:sz w:val="22"/>
          <w:szCs w:val="22"/>
          <w:lang w:val="en-GB"/>
        </w:rPr>
        <w:t xml:space="preserve">of </w:t>
      </w:r>
      <w:r w:rsidR="7A37FCE2" w:rsidRPr="5937A937">
        <w:rPr>
          <w:rFonts w:asciiTheme="majorHAnsi" w:hAnsiTheme="majorHAnsi" w:cstheme="majorBidi"/>
          <w:sz w:val="22"/>
          <w:szCs w:val="22"/>
          <w:lang w:val="en-GB"/>
        </w:rPr>
        <w:t>oil dis</w:t>
      </w:r>
      <w:r w:rsidR="0633784C" w:rsidRPr="5937A937">
        <w:rPr>
          <w:rFonts w:asciiTheme="majorHAnsi" w:hAnsiTheme="majorHAnsi" w:cstheme="majorBidi"/>
          <w:sz w:val="22"/>
          <w:szCs w:val="22"/>
          <w:lang w:val="en-GB"/>
        </w:rPr>
        <w:t>tillation</w:t>
      </w:r>
      <w:r w:rsidR="55D5E08A" w:rsidRPr="5937A937">
        <w:rPr>
          <w:rFonts w:asciiTheme="majorHAnsi" w:hAnsiTheme="majorHAnsi" w:cstheme="majorBidi"/>
          <w:sz w:val="22"/>
          <w:szCs w:val="22"/>
          <w:lang w:val="en-GB"/>
        </w:rPr>
        <w:t xml:space="preserve"> and are available </w:t>
      </w:r>
      <w:r w:rsidR="173C987B" w:rsidRPr="5937A937">
        <w:rPr>
          <w:rFonts w:asciiTheme="majorHAnsi" w:hAnsiTheme="majorHAnsi" w:cstheme="majorBidi"/>
          <w:sz w:val="22"/>
          <w:szCs w:val="22"/>
          <w:lang w:val="en-GB"/>
        </w:rPr>
        <w:t>within</w:t>
      </w:r>
      <w:r w:rsidR="55D5E08A" w:rsidRPr="5937A937">
        <w:rPr>
          <w:rFonts w:asciiTheme="majorHAnsi" w:hAnsiTheme="majorHAnsi" w:cstheme="majorBidi"/>
          <w:sz w:val="22"/>
          <w:szCs w:val="22"/>
          <w:lang w:val="en-GB"/>
        </w:rPr>
        <w:t xml:space="preserve"> a range of sulphur</w:t>
      </w:r>
      <w:r w:rsidR="531EA328" w:rsidRPr="5937A937">
        <w:rPr>
          <w:rFonts w:asciiTheme="majorHAnsi" w:hAnsiTheme="majorHAnsi" w:cstheme="majorBidi"/>
          <w:sz w:val="22"/>
          <w:szCs w:val="22"/>
          <w:lang w:val="en-GB"/>
        </w:rPr>
        <w:t xml:space="preserve"> content and viscosities.</w:t>
      </w:r>
      <w:r w:rsidR="0140ACCC" w:rsidRPr="5937A937">
        <w:rPr>
          <w:rFonts w:asciiTheme="majorHAnsi" w:hAnsiTheme="majorHAnsi" w:cstheme="majorBidi"/>
          <w:sz w:val="22"/>
          <w:szCs w:val="22"/>
          <w:lang w:val="en-GB"/>
        </w:rPr>
        <w:t xml:space="preserve"> </w:t>
      </w:r>
      <w:r w:rsidR="00BF55F2">
        <w:rPr>
          <w:rFonts w:asciiTheme="majorHAnsi" w:hAnsiTheme="majorHAnsi" w:cstheme="majorBidi"/>
          <w:sz w:val="22"/>
          <w:szCs w:val="22"/>
          <w:lang w:val="en-GB"/>
        </w:rPr>
        <w:t>Heavy Fuel Oil (</w:t>
      </w:r>
      <w:r w:rsidR="570B00F9" w:rsidRPr="5937A937">
        <w:rPr>
          <w:rFonts w:asciiTheme="majorHAnsi" w:hAnsiTheme="majorHAnsi" w:cstheme="majorBidi"/>
          <w:sz w:val="22"/>
          <w:szCs w:val="22"/>
          <w:lang w:val="en-GB"/>
        </w:rPr>
        <w:t>HFO</w:t>
      </w:r>
      <w:r w:rsidR="00BF55F2">
        <w:rPr>
          <w:rFonts w:asciiTheme="majorHAnsi" w:hAnsiTheme="majorHAnsi" w:cstheme="majorBidi"/>
          <w:sz w:val="22"/>
          <w:szCs w:val="22"/>
          <w:lang w:val="en-GB"/>
        </w:rPr>
        <w:t>)</w:t>
      </w:r>
      <w:r w:rsidR="570B00F9" w:rsidRPr="5937A937">
        <w:rPr>
          <w:rFonts w:asciiTheme="majorHAnsi" w:hAnsiTheme="majorHAnsi" w:cstheme="majorBidi"/>
          <w:sz w:val="22"/>
          <w:szCs w:val="22"/>
          <w:lang w:val="en-GB"/>
        </w:rPr>
        <w:t xml:space="preserve"> </w:t>
      </w:r>
      <w:r w:rsidR="00BF1C94">
        <w:rPr>
          <w:rFonts w:asciiTheme="majorHAnsi" w:hAnsiTheme="majorHAnsi" w:cstheme="majorBidi"/>
          <w:sz w:val="22"/>
          <w:szCs w:val="22"/>
          <w:lang w:val="en-GB"/>
        </w:rPr>
        <w:t>is</w:t>
      </w:r>
      <w:r w:rsidR="570B00F9" w:rsidRPr="5937A937">
        <w:rPr>
          <w:rFonts w:asciiTheme="majorHAnsi" w:hAnsiTheme="majorHAnsi" w:cstheme="majorBidi"/>
          <w:sz w:val="22"/>
          <w:szCs w:val="22"/>
          <w:lang w:val="en-GB"/>
        </w:rPr>
        <w:t xml:space="preserve"> </w:t>
      </w:r>
      <w:r w:rsidR="51D9E27B" w:rsidRPr="5937A937">
        <w:rPr>
          <w:rFonts w:asciiTheme="majorHAnsi" w:hAnsiTheme="majorHAnsi" w:cstheme="majorBidi"/>
          <w:sz w:val="22"/>
          <w:szCs w:val="22"/>
          <w:lang w:val="en-GB"/>
        </w:rPr>
        <w:t>specified</w:t>
      </w:r>
      <w:r w:rsidR="570B00F9" w:rsidRPr="5937A937">
        <w:rPr>
          <w:rFonts w:asciiTheme="majorHAnsi" w:hAnsiTheme="majorHAnsi" w:cstheme="majorBidi"/>
          <w:sz w:val="22"/>
          <w:szCs w:val="22"/>
          <w:lang w:val="en-GB"/>
        </w:rPr>
        <w:t xml:space="preserve"> according to MARPOL</w:t>
      </w:r>
      <w:r w:rsidR="0974B4AF" w:rsidRPr="5937A937">
        <w:rPr>
          <w:rFonts w:asciiTheme="majorHAnsi" w:hAnsiTheme="majorHAnsi" w:cstheme="majorBidi"/>
          <w:sz w:val="22"/>
          <w:szCs w:val="22"/>
          <w:lang w:val="en-GB"/>
        </w:rPr>
        <w:t xml:space="preserve"> definition</w:t>
      </w:r>
      <w:r w:rsidR="17F600E6" w:rsidRPr="5937A937">
        <w:rPr>
          <w:rFonts w:asciiTheme="majorHAnsi" w:hAnsiTheme="majorHAnsi" w:cstheme="majorBidi"/>
          <w:sz w:val="22"/>
          <w:szCs w:val="22"/>
          <w:lang w:val="en-GB"/>
        </w:rPr>
        <w:t xml:space="preserve"> as</w:t>
      </w:r>
      <w:r w:rsidR="061BB85A" w:rsidRPr="5937A937">
        <w:rPr>
          <w:rFonts w:asciiTheme="majorHAnsi" w:hAnsiTheme="majorHAnsi" w:cstheme="majorBidi"/>
          <w:sz w:val="22"/>
          <w:szCs w:val="22"/>
          <w:lang w:val="en-GB"/>
        </w:rPr>
        <w:t xml:space="preserve"> </w:t>
      </w:r>
      <w:r w:rsidR="2A4FD384" w:rsidRPr="5937A937">
        <w:rPr>
          <w:rFonts w:asciiTheme="majorHAnsi" w:hAnsiTheme="majorHAnsi" w:cstheme="majorBidi"/>
          <w:sz w:val="22"/>
          <w:szCs w:val="22"/>
          <w:lang w:val="en-GB"/>
        </w:rPr>
        <w:t xml:space="preserve">having </w:t>
      </w:r>
      <w:r w:rsidR="006852EF" w:rsidRPr="5937A937">
        <w:rPr>
          <w:rFonts w:asciiTheme="majorHAnsi" w:hAnsiTheme="majorHAnsi" w:cstheme="majorBidi"/>
          <w:sz w:val="22"/>
          <w:szCs w:val="22"/>
          <w:lang w:val="en-GB"/>
        </w:rPr>
        <w:t xml:space="preserve">either density and kinematic viscosity superior </w:t>
      </w:r>
      <w:r w:rsidR="2B2BC845" w:rsidRPr="5937A937">
        <w:rPr>
          <w:rFonts w:asciiTheme="majorHAnsi" w:hAnsiTheme="majorHAnsi" w:cstheme="majorBidi"/>
          <w:sz w:val="22"/>
          <w:szCs w:val="22"/>
          <w:lang w:val="en-GB"/>
        </w:rPr>
        <w:t>than 900 kg.m</w:t>
      </w:r>
      <w:r w:rsidR="2B2BC845" w:rsidRPr="5937A937">
        <w:rPr>
          <w:rFonts w:asciiTheme="majorHAnsi" w:hAnsiTheme="majorHAnsi" w:cstheme="majorBidi"/>
          <w:sz w:val="22"/>
          <w:szCs w:val="22"/>
          <w:vertAlign w:val="superscript"/>
          <w:lang w:val="en-GB"/>
        </w:rPr>
        <w:t>3</w:t>
      </w:r>
      <w:r w:rsidR="2B2BC845" w:rsidRPr="5937A937">
        <w:rPr>
          <w:rFonts w:asciiTheme="majorHAnsi" w:hAnsiTheme="majorHAnsi" w:cstheme="majorBidi"/>
          <w:sz w:val="22"/>
          <w:szCs w:val="22"/>
          <w:lang w:val="en-GB"/>
        </w:rPr>
        <w:t xml:space="preserve"> (15</w:t>
      </w:r>
      <w:r w:rsidR="399D1EB7" w:rsidRPr="5937A937">
        <w:rPr>
          <w:rFonts w:asciiTheme="majorHAnsi" w:hAnsiTheme="majorHAnsi" w:cstheme="majorBidi"/>
          <w:sz w:val="22"/>
          <w:szCs w:val="22"/>
          <w:lang w:val="en-GB"/>
        </w:rPr>
        <w:t xml:space="preserve"> °C) </w:t>
      </w:r>
      <w:r w:rsidR="5656F433" w:rsidRPr="5937A937">
        <w:rPr>
          <w:rFonts w:asciiTheme="majorHAnsi" w:hAnsiTheme="majorHAnsi" w:cstheme="majorBidi"/>
          <w:sz w:val="22"/>
          <w:szCs w:val="22"/>
          <w:lang w:val="en-GB"/>
        </w:rPr>
        <w:t>and 180 mm</w:t>
      </w:r>
      <w:r w:rsidR="5656F433" w:rsidRPr="5937A937">
        <w:rPr>
          <w:rFonts w:asciiTheme="majorHAnsi" w:hAnsiTheme="majorHAnsi" w:cstheme="majorBidi"/>
          <w:sz w:val="22"/>
          <w:szCs w:val="22"/>
          <w:vertAlign w:val="superscript"/>
          <w:lang w:val="en-GB"/>
        </w:rPr>
        <w:t>2</w:t>
      </w:r>
      <w:r w:rsidR="5656F433" w:rsidRPr="5937A937">
        <w:rPr>
          <w:rFonts w:asciiTheme="majorHAnsi" w:hAnsiTheme="majorHAnsi" w:cstheme="majorBidi"/>
          <w:sz w:val="22"/>
          <w:szCs w:val="22"/>
          <w:lang w:val="en-GB"/>
        </w:rPr>
        <w:t>/s (50 °C)</w:t>
      </w:r>
      <w:r w:rsidR="1159F18C" w:rsidRPr="5937A937">
        <w:rPr>
          <w:rFonts w:asciiTheme="majorHAnsi" w:hAnsiTheme="majorHAnsi" w:cstheme="majorBidi"/>
          <w:sz w:val="22"/>
          <w:szCs w:val="22"/>
          <w:lang w:val="en-GB"/>
        </w:rPr>
        <w:t>, respectively.</w:t>
      </w:r>
      <w:r w:rsidR="3595CDAD" w:rsidRPr="5937A937">
        <w:rPr>
          <w:rFonts w:asciiTheme="majorHAnsi" w:hAnsiTheme="majorHAnsi" w:cstheme="majorBidi"/>
          <w:sz w:val="22"/>
          <w:szCs w:val="22"/>
          <w:lang w:val="en-GB"/>
        </w:rPr>
        <w:t xml:space="preserve"> HFO </w:t>
      </w:r>
      <w:r w:rsidR="00C61D3E">
        <w:rPr>
          <w:rFonts w:asciiTheme="majorHAnsi" w:hAnsiTheme="majorHAnsi" w:cstheme="majorBidi"/>
          <w:sz w:val="22"/>
          <w:szCs w:val="22"/>
          <w:lang w:val="en-GB"/>
        </w:rPr>
        <w:t>is</w:t>
      </w:r>
      <w:r w:rsidR="370E69C2" w:rsidRPr="5937A937">
        <w:rPr>
          <w:rFonts w:asciiTheme="majorHAnsi" w:hAnsiTheme="majorHAnsi" w:cstheme="majorBidi"/>
          <w:sz w:val="22"/>
          <w:szCs w:val="22"/>
          <w:lang w:val="en-GB"/>
        </w:rPr>
        <w:t xml:space="preserve"> naturally</w:t>
      </w:r>
      <w:r w:rsidR="3595CDAD" w:rsidRPr="5937A937">
        <w:rPr>
          <w:rFonts w:asciiTheme="majorHAnsi" w:hAnsiTheme="majorHAnsi" w:cstheme="majorBidi"/>
          <w:sz w:val="22"/>
          <w:szCs w:val="22"/>
          <w:lang w:val="en-GB"/>
        </w:rPr>
        <w:t xml:space="preserve"> rich in </w:t>
      </w:r>
      <w:r w:rsidR="3A1E1AAA" w:rsidRPr="5937A937">
        <w:rPr>
          <w:rFonts w:asciiTheme="majorHAnsi" w:hAnsiTheme="majorHAnsi" w:cstheme="majorBidi"/>
          <w:sz w:val="22"/>
          <w:szCs w:val="22"/>
          <w:lang w:val="en-GB"/>
        </w:rPr>
        <w:t xml:space="preserve">hydrocarbons with </w:t>
      </w:r>
      <w:r w:rsidR="3595CDAD" w:rsidRPr="5937A937">
        <w:rPr>
          <w:rFonts w:asciiTheme="majorHAnsi" w:hAnsiTheme="majorHAnsi" w:cstheme="majorBidi"/>
          <w:sz w:val="22"/>
          <w:szCs w:val="22"/>
          <w:lang w:val="en-GB"/>
        </w:rPr>
        <w:t xml:space="preserve">long </w:t>
      </w:r>
      <w:r w:rsidR="3492A902" w:rsidRPr="5937A937">
        <w:rPr>
          <w:rFonts w:asciiTheme="majorHAnsi" w:hAnsiTheme="majorHAnsi" w:cstheme="majorBidi"/>
          <w:sz w:val="22"/>
          <w:szCs w:val="22"/>
          <w:lang w:val="en-GB"/>
        </w:rPr>
        <w:t>molecular chain</w:t>
      </w:r>
      <w:r w:rsidR="0D28E95B" w:rsidRPr="5937A937">
        <w:rPr>
          <w:rFonts w:asciiTheme="majorHAnsi" w:hAnsiTheme="majorHAnsi" w:cstheme="majorBidi"/>
          <w:sz w:val="22"/>
          <w:szCs w:val="22"/>
          <w:lang w:val="en-GB"/>
        </w:rPr>
        <w:t>. It</w:t>
      </w:r>
      <w:r w:rsidR="328A0FCB" w:rsidRPr="5937A937">
        <w:rPr>
          <w:rFonts w:asciiTheme="majorHAnsi" w:hAnsiTheme="majorHAnsi" w:cstheme="majorBidi"/>
          <w:sz w:val="22"/>
          <w:szCs w:val="22"/>
          <w:lang w:val="en-GB"/>
        </w:rPr>
        <w:t xml:space="preserve"> can be further refined </w:t>
      </w:r>
      <w:r w:rsidR="42463F6D" w:rsidRPr="5937A937">
        <w:rPr>
          <w:rFonts w:asciiTheme="majorHAnsi" w:hAnsiTheme="majorHAnsi" w:cstheme="majorBidi"/>
          <w:sz w:val="22"/>
          <w:szCs w:val="22"/>
          <w:lang w:val="en-GB"/>
        </w:rPr>
        <w:t>by means of thermal and catalytic cracking</w:t>
      </w:r>
      <w:r w:rsidR="75371B68" w:rsidRPr="5937A937">
        <w:rPr>
          <w:rFonts w:asciiTheme="majorHAnsi" w:hAnsiTheme="majorHAnsi" w:cstheme="majorBidi"/>
          <w:sz w:val="22"/>
          <w:szCs w:val="22"/>
          <w:lang w:val="en-GB"/>
        </w:rPr>
        <w:t xml:space="preserve">, breaking long </w:t>
      </w:r>
      <w:r w:rsidR="0D28E95B" w:rsidRPr="5937A937">
        <w:rPr>
          <w:rFonts w:asciiTheme="majorHAnsi" w:hAnsiTheme="majorHAnsi" w:cstheme="majorBidi"/>
          <w:sz w:val="22"/>
          <w:szCs w:val="22"/>
          <w:lang w:val="en-GB"/>
        </w:rPr>
        <w:t>hydrocarbons</w:t>
      </w:r>
      <w:r w:rsidR="75371B68" w:rsidRPr="5937A937">
        <w:rPr>
          <w:rFonts w:asciiTheme="majorHAnsi" w:hAnsiTheme="majorHAnsi" w:cstheme="majorBidi"/>
          <w:sz w:val="22"/>
          <w:szCs w:val="22"/>
          <w:lang w:val="en-GB"/>
        </w:rPr>
        <w:t xml:space="preserve"> into lighter </w:t>
      </w:r>
      <w:r w:rsidR="0D28E95B" w:rsidRPr="5937A937">
        <w:rPr>
          <w:rFonts w:asciiTheme="majorHAnsi" w:hAnsiTheme="majorHAnsi" w:cstheme="majorBidi"/>
          <w:sz w:val="22"/>
          <w:szCs w:val="22"/>
          <w:lang w:val="en-GB"/>
        </w:rPr>
        <w:t>molecules</w:t>
      </w:r>
      <w:r w:rsidR="75371B68" w:rsidRPr="5937A937">
        <w:rPr>
          <w:rFonts w:asciiTheme="majorHAnsi" w:hAnsiTheme="majorHAnsi" w:cstheme="majorBidi"/>
          <w:sz w:val="22"/>
          <w:szCs w:val="22"/>
          <w:lang w:val="en-GB"/>
        </w:rPr>
        <w:t xml:space="preserve">, thus </w:t>
      </w:r>
      <w:r w:rsidR="0D28E95B" w:rsidRPr="5937A937">
        <w:rPr>
          <w:rFonts w:asciiTheme="majorHAnsi" w:hAnsiTheme="majorHAnsi" w:cstheme="majorBidi"/>
          <w:sz w:val="22"/>
          <w:szCs w:val="22"/>
          <w:lang w:val="en-GB"/>
        </w:rPr>
        <w:t xml:space="preserve">decreasing </w:t>
      </w:r>
      <w:r w:rsidR="699EEA3A" w:rsidRPr="5937A937">
        <w:rPr>
          <w:rFonts w:asciiTheme="majorHAnsi" w:hAnsiTheme="majorHAnsi" w:cstheme="majorBidi"/>
          <w:sz w:val="22"/>
          <w:szCs w:val="22"/>
          <w:lang w:val="en-GB"/>
        </w:rPr>
        <w:t xml:space="preserve">the </w:t>
      </w:r>
      <w:r w:rsidR="1B125AF8" w:rsidRPr="5937A937">
        <w:rPr>
          <w:rFonts w:asciiTheme="majorHAnsi" w:hAnsiTheme="majorHAnsi" w:cstheme="majorBidi"/>
          <w:sz w:val="22"/>
          <w:szCs w:val="22"/>
          <w:lang w:val="en-GB"/>
        </w:rPr>
        <w:t>overall viscosity to</w:t>
      </w:r>
      <w:r w:rsidR="6E93C259" w:rsidRPr="5937A937">
        <w:rPr>
          <w:rFonts w:asciiTheme="majorHAnsi" w:hAnsiTheme="majorHAnsi" w:cstheme="majorBidi"/>
          <w:sz w:val="22"/>
          <w:szCs w:val="22"/>
          <w:lang w:val="en-GB"/>
        </w:rPr>
        <w:t xml:space="preserve"> meet</w:t>
      </w:r>
      <w:r w:rsidR="1B125AF8" w:rsidRPr="5937A937">
        <w:rPr>
          <w:rFonts w:asciiTheme="majorHAnsi" w:hAnsiTheme="majorHAnsi" w:cstheme="majorBidi"/>
          <w:sz w:val="22"/>
          <w:szCs w:val="22"/>
          <w:lang w:val="en-GB"/>
        </w:rPr>
        <w:t xml:space="preserve"> desired specification.</w:t>
      </w:r>
      <w:r w:rsidR="126B8FF0" w:rsidRPr="5937A937">
        <w:rPr>
          <w:rFonts w:asciiTheme="majorHAnsi" w:hAnsiTheme="majorHAnsi" w:cstheme="majorBidi"/>
          <w:sz w:val="22"/>
          <w:szCs w:val="22"/>
          <w:lang w:val="en-GB"/>
        </w:rPr>
        <w:t xml:space="preserve"> </w:t>
      </w:r>
      <w:r w:rsidR="0B4F0741" w:rsidRPr="5937A937">
        <w:rPr>
          <w:rFonts w:asciiTheme="majorHAnsi" w:hAnsiTheme="majorHAnsi" w:cstheme="majorBidi"/>
          <w:sz w:val="22"/>
          <w:szCs w:val="22"/>
          <w:lang w:val="en-GB"/>
        </w:rPr>
        <w:t xml:space="preserve">HFO can be used in blends with lighter fractions to meet specifications as needed. </w:t>
      </w:r>
      <w:r w:rsidR="126B8FF0" w:rsidRPr="5937A937">
        <w:rPr>
          <w:rFonts w:asciiTheme="majorHAnsi" w:hAnsiTheme="majorHAnsi" w:cstheme="majorBidi"/>
          <w:sz w:val="22"/>
          <w:szCs w:val="22"/>
          <w:lang w:val="en-GB"/>
        </w:rPr>
        <w:t>It is mostly used for large</w:t>
      </w:r>
      <w:r w:rsidR="0E0B16F6" w:rsidRPr="5937A937">
        <w:rPr>
          <w:rFonts w:asciiTheme="majorHAnsi" w:hAnsiTheme="majorHAnsi" w:cstheme="majorBidi"/>
          <w:sz w:val="22"/>
          <w:szCs w:val="22"/>
          <w:lang w:val="en-GB"/>
        </w:rPr>
        <w:t xml:space="preserve"> and slow ships working with 2-st</w:t>
      </w:r>
      <w:r w:rsidR="59110798" w:rsidRPr="5937A937">
        <w:rPr>
          <w:rFonts w:asciiTheme="majorHAnsi" w:hAnsiTheme="majorHAnsi" w:cstheme="majorBidi"/>
          <w:sz w:val="22"/>
          <w:szCs w:val="22"/>
          <w:lang w:val="en-GB"/>
        </w:rPr>
        <w:t>r</w:t>
      </w:r>
      <w:r w:rsidR="0E0B16F6" w:rsidRPr="5937A937">
        <w:rPr>
          <w:rFonts w:asciiTheme="majorHAnsi" w:hAnsiTheme="majorHAnsi" w:cstheme="majorBidi"/>
          <w:sz w:val="22"/>
          <w:szCs w:val="22"/>
          <w:lang w:val="en-GB"/>
        </w:rPr>
        <w:t>oke engines</w:t>
      </w:r>
      <w:r w:rsidR="00855362">
        <w:rPr>
          <w:rFonts w:asciiTheme="majorHAnsi" w:hAnsiTheme="majorHAnsi" w:cstheme="majorBidi"/>
          <w:sz w:val="22"/>
          <w:szCs w:val="22"/>
          <w:lang w:val="en-GB"/>
        </w:rPr>
        <w:t>, also used in 4-stroke engines though</w:t>
      </w:r>
      <w:r w:rsidR="0E0B16F6" w:rsidRPr="5937A937">
        <w:rPr>
          <w:rFonts w:asciiTheme="majorHAnsi" w:hAnsiTheme="majorHAnsi" w:cstheme="majorBidi"/>
          <w:sz w:val="22"/>
          <w:szCs w:val="22"/>
          <w:lang w:val="en-GB"/>
        </w:rPr>
        <w:t>.</w:t>
      </w:r>
      <w:r w:rsidR="6BAF06A4" w:rsidRPr="5937A937">
        <w:rPr>
          <w:rFonts w:asciiTheme="majorHAnsi" w:hAnsiTheme="majorHAnsi" w:cstheme="majorBidi"/>
          <w:sz w:val="22"/>
          <w:szCs w:val="22"/>
          <w:lang w:val="en-GB"/>
        </w:rPr>
        <w:t xml:space="preserve"> Due to </w:t>
      </w:r>
      <w:r w:rsidR="1EF784E4" w:rsidRPr="5937A937">
        <w:rPr>
          <w:rFonts w:asciiTheme="majorHAnsi" w:hAnsiTheme="majorHAnsi" w:cstheme="majorBidi"/>
          <w:sz w:val="22"/>
          <w:szCs w:val="22"/>
          <w:lang w:val="en-GB"/>
        </w:rPr>
        <w:t>HFO</w:t>
      </w:r>
      <w:r w:rsidR="130022AD" w:rsidRPr="5937A937">
        <w:rPr>
          <w:rFonts w:asciiTheme="majorHAnsi" w:hAnsiTheme="majorHAnsi" w:cstheme="majorBidi"/>
          <w:sz w:val="22"/>
          <w:szCs w:val="22"/>
          <w:lang w:val="en-GB"/>
        </w:rPr>
        <w:t>’s</w:t>
      </w:r>
      <w:r w:rsidR="1EF784E4" w:rsidRPr="5937A937">
        <w:rPr>
          <w:rFonts w:asciiTheme="majorHAnsi" w:hAnsiTheme="majorHAnsi" w:cstheme="majorBidi"/>
          <w:sz w:val="22"/>
          <w:szCs w:val="22"/>
          <w:lang w:val="en-GB"/>
        </w:rPr>
        <w:t xml:space="preserve"> high viscosity</w:t>
      </w:r>
      <w:r w:rsidR="3AF69E07" w:rsidRPr="5937A937">
        <w:rPr>
          <w:rFonts w:asciiTheme="majorHAnsi" w:hAnsiTheme="majorHAnsi" w:cstheme="majorBidi"/>
          <w:sz w:val="22"/>
          <w:szCs w:val="22"/>
          <w:lang w:val="en-GB"/>
        </w:rPr>
        <w:t>, it</w:t>
      </w:r>
      <w:r w:rsidR="0ED3159B" w:rsidRPr="5937A937">
        <w:rPr>
          <w:rFonts w:asciiTheme="majorHAnsi" w:hAnsiTheme="majorHAnsi" w:cstheme="majorBidi"/>
          <w:sz w:val="22"/>
          <w:szCs w:val="22"/>
          <w:lang w:val="en-GB"/>
        </w:rPr>
        <w:t xml:space="preserve"> requires heating</w:t>
      </w:r>
      <w:r w:rsidR="4315D5B0" w:rsidRPr="5937A937">
        <w:rPr>
          <w:rFonts w:asciiTheme="majorHAnsi" w:hAnsiTheme="majorHAnsi" w:cstheme="majorBidi"/>
          <w:sz w:val="22"/>
          <w:szCs w:val="22"/>
          <w:lang w:val="en-GB"/>
        </w:rPr>
        <w:t>, which increase the energy demand</w:t>
      </w:r>
      <w:r w:rsidR="009652B5">
        <w:rPr>
          <w:rFonts w:asciiTheme="majorHAnsi" w:hAnsiTheme="majorHAnsi" w:cstheme="majorBidi"/>
          <w:sz w:val="22"/>
          <w:szCs w:val="22"/>
          <w:lang w:val="en-GB"/>
        </w:rPr>
        <w:t xml:space="preserve"> </w:t>
      </w:r>
      <w:r w:rsidR="005A6766">
        <w:rPr>
          <w:rFonts w:asciiTheme="majorHAnsi" w:hAnsiTheme="majorHAnsi" w:cstheme="majorBidi"/>
          <w:sz w:val="22"/>
          <w:szCs w:val="22"/>
          <w:lang w:val="en-GB"/>
        </w:rPr>
        <w:fldChar w:fldCharType="begin" w:fldLock="1"/>
      </w:r>
      <w:r w:rsidR="005A6766">
        <w:rPr>
          <w:rFonts w:asciiTheme="majorHAnsi" w:hAnsiTheme="majorHAnsi" w:cstheme="majorBidi"/>
          <w:sz w:val="22"/>
          <w:szCs w:val="22"/>
          <w:lang w:val="en-GB"/>
        </w:rPr>
        <w:instrText>ADDIN CSL_CITATION {"citationItems":[{"id":"ITEM-1","itemData":{"ISBN":"9780367456160","author":[{"dropping-particle":"","family":"Konur","given":"Ozcan","non-dropping-particle":"","parse-names":false,"suffix":""}],"container-title":"Paper Knowledge . Toward a Media History of Documents","id":"ITEM-1","issued":{"date-parts":[["2021"]]},"publisher":"CRC Press","title":"Petrodiesel Fuels","type":"book"},"uris":["http://www.mendeley.com/documents/?uuid=96cd8ee1-c5aa-4d50-8ac6-0709bbbb5b27"]}],"mendeley":{"formattedCitation":"(Konur, 2021)","plainTextFormattedCitation":"(Konur, 2021)","previouslyFormattedCitation":"(Konur, 2021)"},"properties":{"noteIndex":0},"schema":"https://github.com/citation-style-language/schema/raw/master/csl-citation.json"}</w:instrText>
      </w:r>
      <w:r w:rsidR="005A6766">
        <w:rPr>
          <w:rFonts w:asciiTheme="majorHAnsi" w:hAnsiTheme="majorHAnsi" w:cstheme="majorBidi"/>
          <w:sz w:val="22"/>
          <w:szCs w:val="22"/>
          <w:lang w:val="en-GB"/>
        </w:rPr>
        <w:fldChar w:fldCharType="separate"/>
      </w:r>
      <w:r w:rsidR="005A6766" w:rsidRPr="005A6766">
        <w:rPr>
          <w:rFonts w:asciiTheme="majorHAnsi" w:hAnsiTheme="majorHAnsi" w:cstheme="majorBidi"/>
          <w:noProof/>
          <w:sz w:val="22"/>
          <w:szCs w:val="22"/>
          <w:lang w:val="en-GB"/>
        </w:rPr>
        <w:t>(Konur, 2021)</w:t>
      </w:r>
      <w:r w:rsidR="005A6766">
        <w:rPr>
          <w:rFonts w:asciiTheme="majorHAnsi" w:hAnsiTheme="majorHAnsi" w:cstheme="majorBidi"/>
          <w:sz w:val="22"/>
          <w:szCs w:val="22"/>
          <w:lang w:val="en-GB"/>
        </w:rPr>
        <w:fldChar w:fldCharType="end"/>
      </w:r>
      <w:r w:rsidR="6B459238" w:rsidRPr="5937A937">
        <w:rPr>
          <w:rFonts w:asciiTheme="majorHAnsi" w:hAnsiTheme="majorHAnsi" w:cstheme="majorBidi"/>
          <w:sz w:val="22"/>
          <w:szCs w:val="22"/>
          <w:lang w:val="en-GB"/>
        </w:rPr>
        <w:t>.</w:t>
      </w:r>
      <w:r w:rsidR="6B1E6AB8" w:rsidRPr="5937A937">
        <w:rPr>
          <w:rFonts w:asciiTheme="majorHAnsi" w:hAnsiTheme="majorHAnsi" w:cstheme="majorBidi"/>
          <w:sz w:val="22"/>
          <w:szCs w:val="22"/>
          <w:lang w:val="en-GB"/>
        </w:rPr>
        <w:t xml:space="preserve"> </w:t>
      </w:r>
    </w:p>
    <w:p w14:paraId="2E890093" w14:textId="46B6BF0A" w:rsidR="006F342F" w:rsidRPr="00E24E04" w:rsidRDefault="006F342F" w:rsidP="791B8135">
      <w:pPr>
        <w:spacing w:after="120" w:line="360" w:lineRule="auto"/>
        <w:rPr>
          <w:rFonts w:asciiTheme="majorHAnsi" w:hAnsiTheme="majorHAnsi" w:cstheme="majorBidi"/>
          <w:sz w:val="22"/>
          <w:szCs w:val="22"/>
          <w:lang w:val="en-GB"/>
        </w:rPr>
      </w:pPr>
      <w:r w:rsidRPr="00E24E04">
        <w:rPr>
          <w:rFonts w:asciiTheme="majorHAnsi" w:hAnsiTheme="majorHAnsi" w:cstheme="majorHAnsi"/>
          <w:sz w:val="22"/>
          <w:szCs w:val="22"/>
          <w:lang w:val="en-GB"/>
        </w:rPr>
        <w:tab/>
      </w:r>
      <w:r w:rsidR="0006589A">
        <w:rPr>
          <w:rFonts w:asciiTheme="majorHAnsi" w:hAnsiTheme="majorHAnsi" w:cstheme="majorBidi"/>
          <w:sz w:val="22"/>
          <w:szCs w:val="22"/>
          <w:lang w:val="en-GB"/>
        </w:rPr>
        <w:t xml:space="preserve">Residual </w:t>
      </w:r>
      <w:r w:rsidR="26C9CBF9" w:rsidRPr="791B8135">
        <w:rPr>
          <w:rFonts w:asciiTheme="majorHAnsi" w:hAnsiTheme="majorHAnsi" w:cstheme="majorBidi"/>
          <w:sz w:val="22"/>
          <w:szCs w:val="22"/>
          <w:lang w:val="en-GB"/>
        </w:rPr>
        <w:t xml:space="preserve"> </w:t>
      </w:r>
      <w:r w:rsidR="6EE0AB46" w:rsidRPr="791B8135">
        <w:rPr>
          <w:rFonts w:asciiTheme="majorHAnsi" w:hAnsiTheme="majorHAnsi" w:cstheme="majorBidi"/>
          <w:sz w:val="22"/>
          <w:szCs w:val="22"/>
          <w:lang w:val="en-GB"/>
        </w:rPr>
        <w:t xml:space="preserve">marine fuels </w:t>
      </w:r>
      <w:r w:rsidR="0079372A">
        <w:rPr>
          <w:rFonts w:asciiTheme="majorHAnsi" w:hAnsiTheme="majorHAnsi" w:cstheme="majorBidi"/>
          <w:sz w:val="22"/>
          <w:szCs w:val="22"/>
          <w:lang w:val="en-GB"/>
        </w:rPr>
        <w:t xml:space="preserve"> are named as RM, where R </w:t>
      </w:r>
      <w:r w:rsidR="00BA7818">
        <w:rPr>
          <w:rFonts w:asciiTheme="majorHAnsi" w:hAnsiTheme="majorHAnsi" w:cstheme="majorBidi"/>
          <w:sz w:val="22"/>
          <w:szCs w:val="22"/>
          <w:lang w:val="en-GB"/>
        </w:rPr>
        <w:t>stands</w:t>
      </w:r>
      <w:r w:rsidR="0079372A">
        <w:rPr>
          <w:rFonts w:asciiTheme="majorHAnsi" w:hAnsiTheme="majorHAnsi" w:cstheme="majorBidi"/>
          <w:sz w:val="22"/>
          <w:szCs w:val="22"/>
          <w:lang w:val="en-GB"/>
        </w:rPr>
        <w:t xml:space="preserve"> for</w:t>
      </w:r>
      <w:r w:rsidR="00BA7818">
        <w:rPr>
          <w:rFonts w:asciiTheme="majorHAnsi" w:hAnsiTheme="majorHAnsi" w:cstheme="majorBidi"/>
          <w:sz w:val="22"/>
          <w:szCs w:val="22"/>
          <w:lang w:val="en-GB"/>
        </w:rPr>
        <w:t xml:space="preserve"> residual and M for marine</w:t>
      </w:r>
      <w:r w:rsidR="00983230">
        <w:rPr>
          <w:rFonts w:asciiTheme="majorHAnsi" w:hAnsiTheme="majorHAnsi" w:cstheme="majorBidi"/>
          <w:sz w:val="22"/>
          <w:szCs w:val="22"/>
          <w:lang w:val="en-GB"/>
        </w:rPr>
        <w:t>, for ins</w:t>
      </w:r>
      <w:r w:rsidR="00660F37">
        <w:rPr>
          <w:rFonts w:asciiTheme="majorHAnsi" w:hAnsiTheme="majorHAnsi" w:cstheme="majorBidi"/>
          <w:sz w:val="22"/>
          <w:szCs w:val="22"/>
          <w:lang w:val="en-GB"/>
        </w:rPr>
        <w:t>tance RME or RMG</w:t>
      </w:r>
      <w:r w:rsidR="25A3E083" w:rsidRPr="791B8135">
        <w:rPr>
          <w:rFonts w:asciiTheme="majorHAnsi" w:hAnsiTheme="majorHAnsi" w:cstheme="majorBidi"/>
          <w:sz w:val="22"/>
          <w:szCs w:val="22"/>
          <w:lang w:val="en-GB"/>
        </w:rPr>
        <w:t xml:space="preserve">. </w:t>
      </w:r>
      <w:r w:rsidR="00660F37">
        <w:rPr>
          <w:rFonts w:asciiTheme="majorHAnsi" w:hAnsiTheme="majorHAnsi" w:cstheme="majorBidi"/>
          <w:sz w:val="22"/>
          <w:szCs w:val="22"/>
          <w:lang w:val="en-GB"/>
        </w:rPr>
        <w:t xml:space="preserve">They </w:t>
      </w:r>
      <w:r w:rsidR="25A3E083" w:rsidRPr="791B8135">
        <w:rPr>
          <w:rFonts w:asciiTheme="majorHAnsi" w:hAnsiTheme="majorHAnsi" w:cstheme="majorBidi"/>
          <w:sz w:val="22"/>
          <w:szCs w:val="22"/>
          <w:lang w:val="en-GB"/>
        </w:rPr>
        <w:t xml:space="preserve"> can be </w:t>
      </w:r>
      <w:r w:rsidR="1BD3A356" w:rsidRPr="791B8135">
        <w:rPr>
          <w:rFonts w:asciiTheme="majorHAnsi" w:hAnsiTheme="majorHAnsi" w:cstheme="majorBidi"/>
          <w:sz w:val="22"/>
          <w:szCs w:val="22"/>
          <w:lang w:val="en-GB"/>
        </w:rPr>
        <w:t xml:space="preserve">classified </w:t>
      </w:r>
      <w:r w:rsidR="34290040" w:rsidRPr="791B8135">
        <w:rPr>
          <w:rFonts w:asciiTheme="majorHAnsi" w:hAnsiTheme="majorHAnsi" w:cstheme="majorBidi"/>
          <w:sz w:val="22"/>
          <w:szCs w:val="22"/>
          <w:lang w:val="en-GB"/>
        </w:rPr>
        <w:t xml:space="preserve">according to </w:t>
      </w:r>
      <w:r w:rsidR="2FDF3863" w:rsidRPr="791B8135">
        <w:rPr>
          <w:rFonts w:asciiTheme="majorHAnsi" w:hAnsiTheme="majorHAnsi" w:cstheme="majorBidi"/>
          <w:sz w:val="22"/>
          <w:szCs w:val="22"/>
          <w:lang w:val="en-GB"/>
        </w:rPr>
        <w:t xml:space="preserve">the </w:t>
      </w:r>
      <w:r w:rsidR="34290040" w:rsidRPr="791B8135">
        <w:rPr>
          <w:rFonts w:asciiTheme="majorHAnsi" w:hAnsiTheme="majorHAnsi" w:cstheme="majorBidi"/>
          <w:sz w:val="22"/>
          <w:szCs w:val="22"/>
          <w:lang w:val="en-GB"/>
        </w:rPr>
        <w:t>viscosity as 180 and 380 mm</w:t>
      </w:r>
      <w:r w:rsidR="34290040" w:rsidRPr="791B8135">
        <w:rPr>
          <w:rFonts w:asciiTheme="majorHAnsi" w:hAnsiTheme="majorHAnsi" w:cstheme="majorBidi"/>
          <w:sz w:val="22"/>
          <w:szCs w:val="22"/>
          <w:vertAlign w:val="superscript"/>
          <w:lang w:val="en-GB"/>
        </w:rPr>
        <w:t>2</w:t>
      </w:r>
      <w:r w:rsidR="34290040" w:rsidRPr="791B8135">
        <w:rPr>
          <w:rFonts w:asciiTheme="majorHAnsi" w:hAnsiTheme="majorHAnsi" w:cstheme="majorBidi"/>
          <w:sz w:val="22"/>
          <w:szCs w:val="22"/>
          <w:lang w:val="en-GB"/>
        </w:rPr>
        <w:t xml:space="preserve">/s, </w:t>
      </w:r>
      <w:r w:rsidR="009E392F">
        <w:rPr>
          <w:rFonts w:asciiTheme="majorHAnsi" w:hAnsiTheme="majorHAnsi" w:cstheme="majorBidi"/>
          <w:sz w:val="22"/>
          <w:szCs w:val="22"/>
          <w:lang w:val="en-GB"/>
        </w:rPr>
        <w:t>RME</w:t>
      </w:r>
      <w:r w:rsidR="34290040" w:rsidRPr="791B8135">
        <w:rPr>
          <w:rFonts w:asciiTheme="majorHAnsi" w:hAnsiTheme="majorHAnsi" w:cstheme="majorBidi"/>
          <w:sz w:val="22"/>
          <w:szCs w:val="22"/>
          <w:lang w:val="en-GB"/>
        </w:rPr>
        <w:t xml:space="preserve"> 180 and </w:t>
      </w:r>
      <w:r w:rsidR="009E392F">
        <w:rPr>
          <w:rFonts w:asciiTheme="majorHAnsi" w:hAnsiTheme="majorHAnsi" w:cstheme="majorBidi"/>
          <w:sz w:val="22"/>
          <w:szCs w:val="22"/>
          <w:lang w:val="en-GB"/>
        </w:rPr>
        <w:t>RMG</w:t>
      </w:r>
      <w:r w:rsidR="34290040" w:rsidRPr="791B8135">
        <w:rPr>
          <w:rFonts w:asciiTheme="majorHAnsi" w:hAnsiTheme="majorHAnsi" w:cstheme="majorBidi"/>
          <w:sz w:val="22"/>
          <w:szCs w:val="22"/>
          <w:lang w:val="en-GB"/>
        </w:rPr>
        <w:t xml:space="preserve"> 380, respectively.</w:t>
      </w:r>
      <w:r w:rsidR="006B4541">
        <w:rPr>
          <w:rFonts w:asciiTheme="majorHAnsi" w:hAnsiTheme="majorHAnsi" w:cstheme="majorBidi"/>
          <w:sz w:val="22"/>
          <w:szCs w:val="22"/>
          <w:lang w:val="en-GB"/>
        </w:rPr>
        <w:t xml:space="preserve"> Residual Fuels are also classified according with </w:t>
      </w:r>
      <w:r w:rsidR="02182504" w:rsidRPr="791B8135">
        <w:rPr>
          <w:rFonts w:asciiTheme="majorHAnsi" w:hAnsiTheme="majorHAnsi" w:cstheme="majorBidi"/>
          <w:sz w:val="22"/>
          <w:szCs w:val="22"/>
          <w:lang w:val="en-GB"/>
        </w:rPr>
        <w:t>the</w:t>
      </w:r>
      <w:r w:rsidR="006B4541">
        <w:rPr>
          <w:rFonts w:asciiTheme="majorHAnsi" w:hAnsiTheme="majorHAnsi" w:cstheme="majorBidi"/>
          <w:sz w:val="22"/>
          <w:szCs w:val="22"/>
          <w:lang w:val="en-GB"/>
        </w:rPr>
        <w:t>ir</w:t>
      </w:r>
      <w:r w:rsidR="02182504" w:rsidRPr="791B8135">
        <w:rPr>
          <w:rFonts w:asciiTheme="majorHAnsi" w:hAnsiTheme="majorHAnsi" w:cstheme="majorBidi"/>
          <w:sz w:val="22"/>
          <w:szCs w:val="22"/>
          <w:lang w:val="en-GB"/>
        </w:rPr>
        <w:t xml:space="preserve"> sulphur content </w:t>
      </w:r>
      <w:r w:rsidR="0043415A">
        <w:rPr>
          <w:rFonts w:asciiTheme="majorHAnsi" w:hAnsiTheme="majorHAnsi" w:cstheme="majorBidi"/>
          <w:sz w:val="22"/>
          <w:szCs w:val="22"/>
          <w:lang w:val="en-GB"/>
        </w:rPr>
        <w:t>as</w:t>
      </w:r>
      <w:r w:rsidR="00074FBC">
        <w:rPr>
          <w:rFonts w:asciiTheme="majorHAnsi" w:hAnsiTheme="majorHAnsi" w:cstheme="majorBidi"/>
          <w:sz w:val="22"/>
          <w:szCs w:val="22"/>
          <w:lang w:val="en-GB"/>
        </w:rPr>
        <w:t xml:space="preserve">: </w:t>
      </w:r>
      <w:r w:rsidR="02182504" w:rsidRPr="791B8135">
        <w:rPr>
          <w:rFonts w:asciiTheme="majorHAnsi" w:hAnsiTheme="majorHAnsi" w:cstheme="majorBidi"/>
          <w:sz w:val="22"/>
          <w:szCs w:val="22"/>
          <w:lang w:val="en-GB"/>
        </w:rPr>
        <w:t>low sulphur fuel oil (LSFO) 1%</w:t>
      </w:r>
      <w:r w:rsidR="006E03FB">
        <w:rPr>
          <w:rFonts w:asciiTheme="majorHAnsi" w:hAnsiTheme="majorHAnsi" w:cstheme="majorBidi"/>
          <w:sz w:val="22"/>
          <w:szCs w:val="22"/>
          <w:lang w:val="en-GB"/>
        </w:rPr>
        <w:t xml:space="preserve">, very-low </w:t>
      </w:r>
      <w:r w:rsidR="006E03FB" w:rsidRPr="0040379B">
        <w:rPr>
          <w:rFonts w:asciiTheme="majorHAnsi" w:hAnsiTheme="majorHAnsi" w:cstheme="majorBidi"/>
          <w:sz w:val="22"/>
          <w:szCs w:val="22"/>
        </w:rPr>
        <w:t>sulfur</w:t>
      </w:r>
      <w:r w:rsidR="006E03FB">
        <w:rPr>
          <w:rFonts w:asciiTheme="majorHAnsi" w:hAnsiTheme="majorHAnsi" w:cstheme="majorBidi"/>
          <w:sz w:val="22"/>
          <w:szCs w:val="22"/>
          <w:lang w:val="en-GB"/>
        </w:rPr>
        <w:t xml:space="preserve"> </w:t>
      </w:r>
      <w:r w:rsidR="00433F18">
        <w:rPr>
          <w:rFonts w:asciiTheme="majorHAnsi" w:hAnsiTheme="majorHAnsi" w:cstheme="majorBidi"/>
          <w:sz w:val="22"/>
          <w:szCs w:val="22"/>
          <w:lang w:val="en-GB"/>
        </w:rPr>
        <w:t xml:space="preserve">fuel oil </w:t>
      </w:r>
      <w:r w:rsidR="00013D65">
        <w:rPr>
          <w:rFonts w:asciiTheme="majorHAnsi" w:hAnsiTheme="majorHAnsi" w:cstheme="majorBidi"/>
          <w:sz w:val="22"/>
          <w:szCs w:val="22"/>
          <w:lang w:val="en-GB"/>
        </w:rPr>
        <w:t>(VLSFO) 0.5%,</w:t>
      </w:r>
      <w:r w:rsidR="02182504" w:rsidRPr="791B8135">
        <w:rPr>
          <w:rFonts w:asciiTheme="majorHAnsi" w:hAnsiTheme="majorHAnsi" w:cstheme="majorBidi"/>
          <w:sz w:val="22"/>
          <w:szCs w:val="22"/>
          <w:lang w:val="en-GB"/>
        </w:rPr>
        <w:t xml:space="preserve"> and ultra-low </w:t>
      </w:r>
      <w:r w:rsidR="02182504" w:rsidRPr="0040379B">
        <w:rPr>
          <w:rFonts w:asciiTheme="majorHAnsi" w:hAnsiTheme="majorHAnsi" w:cstheme="majorBidi"/>
          <w:sz w:val="22"/>
          <w:szCs w:val="22"/>
        </w:rPr>
        <w:t>sul</w:t>
      </w:r>
      <w:r w:rsidR="00433F18" w:rsidRPr="0040379B">
        <w:rPr>
          <w:rFonts w:asciiTheme="majorHAnsi" w:hAnsiTheme="majorHAnsi" w:cstheme="majorBidi"/>
          <w:sz w:val="22"/>
          <w:szCs w:val="22"/>
        </w:rPr>
        <w:t>fur</w:t>
      </w:r>
      <w:r w:rsidR="02182504" w:rsidRPr="791B8135">
        <w:rPr>
          <w:rFonts w:asciiTheme="majorHAnsi" w:hAnsiTheme="majorHAnsi" w:cstheme="majorBidi"/>
          <w:sz w:val="22"/>
          <w:szCs w:val="22"/>
          <w:lang w:val="en-GB"/>
        </w:rPr>
        <w:t xml:space="preserve"> fuel oil (ULSFO) 0.1</w:t>
      </w:r>
      <w:r w:rsidR="00013D65">
        <w:rPr>
          <w:rFonts w:asciiTheme="majorHAnsi" w:hAnsiTheme="majorHAnsi" w:cstheme="majorBidi"/>
          <w:sz w:val="22"/>
          <w:szCs w:val="22"/>
          <w:lang w:val="en-GB"/>
        </w:rPr>
        <w:t xml:space="preserve"> </w:t>
      </w:r>
      <w:r w:rsidR="02182504"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w:t>
      </w:r>
      <w:r w:rsidR="47ADED17" w:rsidRPr="791B8135">
        <w:rPr>
          <w:rFonts w:asciiTheme="majorHAnsi" w:hAnsiTheme="majorHAnsi" w:cstheme="majorBidi"/>
          <w:sz w:val="22"/>
          <w:szCs w:val="22"/>
          <w:lang w:val="en-GB"/>
        </w:rPr>
        <w:t>Based on the</w:t>
      </w:r>
      <w:r w:rsidR="43ED38DE" w:rsidRPr="791B8135">
        <w:rPr>
          <w:rFonts w:asciiTheme="majorHAnsi" w:hAnsiTheme="majorHAnsi" w:cstheme="majorBidi"/>
          <w:sz w:val="22"/>
          <w:szCs w:val="22"/>
          <w:lang w:val="en-GB"/>
        </w:rPr>
        <w:t xml:space="preserve"> </w:t>
      </w:r>
      <w:r w:rsidR="22EBA170" w:rsidRPr="791B8135">
        <w:rPr>
          <w:rFonts w:asciiTheme="majorHAnsi" w:hAnsiTheme="majorHAnsi" w:cstheme="majorBidi"/>
          <w:sz w:val="22"/>
          <w:szCs w:val="22"/>
          <w:lang w:val="en-GB"/>
        </w:rPr>
        <w:t xml:space="preserve">report from the </w:t>
      </w:r>
      <w:r w:rsidR="48ACF72F" w:rsidRPr="791B8135">
        <w:rPr>
          <w:rFonts w:asciiTheme="majorHAnsi" w:hAnsiTheme="majorHAnsi" w:cstheme="majorBidi"/>
          <w:sz w:val="22"/>
          <w:szCs w:val="22"/>
          <w:lang w:val="en-GB"/>
        </w:rPr>
        <w:t>Port of Rotterdam</w:t>
      </w:r>
      <w:r w:rsidR="47ADED17" w:rsidRPr="791B8135">
        <w:rPr>
          <w:rFonts w:asciiTheme="majorHAnsi" w:hAnsiTheme="majorHAnsi" w:cstheme="majorBidi"/>
          <w:sz w:val="22"/>
          <w:szCs w:val="22"/>
          <w:lang w:val="en-GB"/>
        </w:rPr>
        <w:t xml:space="preserve">, the </w:t>
      </w:r>
      <w:r w:rsidR="697FB8ED" w:rsidRPr="791B8135">
        <w:rPr>
          <w:rFonts w:asciiTheme="majorHAnsi" w:hAnsiTheme="majorHAnsi" w:cstheme="majorBidi"/>
          <w:sz w:val="22"/>
          <w:szCs w:val="22"/>
          <w:lang w:val="en-GB"/>
        </w:rPr>
        <w:t xml:space="preserve">following </w:t>
      </w:r>
      <w:r w:rsidR="48ACF72F" w:rsidRPr="791B8135">
        <w:rPr>
          <w:rFonts w:asciiTheme="majorHAnsi" w:hAnsiTheme="majorHAnsi" w:cstheme="majorBidi"/>
          <w:sz w:val="22"/>
          <w:szCs w:val="22"/>
          <w:lang w:val="en-GB"/>
        </w:rPr>
        <w:t>market size for the different sulphur fuels</w:t>
      </w:r>
      <w:r w:rsidR="47ADED17" w:rsidRPr="791B8135">
        <w:rPr>
          <w:rFonts w:asciiTheme="majorHAnsi" w:hAnsiTheme="majorHAnsi" w:cstheme="majorBidi"/>
          <w:sz w:val="22"/>
          <w:szCs w:val="22"/>
          <w:lang w:val="en-GB"/>
        </w:rPr>
        <w:t xml:space="preserve"> was calculated</w:t>
      </w:r>
      <w:r w:rsidR="662E51D3"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HSFO accounts for 30 </w:t>
      </w:r>
      <w:r w:rsidR="662E51D3"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40 % of total fuel </w:t>
      </w:r>
      <w:r w:rsidR="43ED38DE" w:rsidRPr="791B8135">
        <w:rPr>
          <w:rFonts w:asciiTheme="majorHAnsi" w:hAnsiTheme="majorHAnsi" w:cstheme="majorBidi"/>
          <w:sz w:val="22"/>
          <w:szCs w:val="22"/>
          <w:lang w:val="en-GB"/>
        </w:rPr>
        <w:t xml:space="preserve">oil </w:t>
      </w:r>
      <w:r w:rsidR="48ACF72F" w:rsidRPr="791B8135">
        <w:rPr>
          <w:rFonts w:asciiTheme="majorHAnsi" w:hAnsiTheme="majorHAnsi" w:cstheme="majorBidi"/>
          <w:sz w:val="22"/>
          <w:szCs w:val="22"/>
          <w:lang w:val="en-GB"/>
        </w:rPr>
        <w:t xml:space="preserve">sales, </w:t>
      </w:r>
      <w:r w:rsidR="00C3122B">
        <w:rPr>
          <w:rFonts w:asciiTheme="majorHAnsi" w:hAnsiTheme="majorHAnsi" w:cstheme="majorBidi"/>
          <w:sz w:val="22"/>
          <w:szCs w:val="22"/>
          <w:lang w:val="en-GB"/>
        </w:rPr>
        <w:t>V</w:t>
      </w:r>
      <w:r w:rsidR="48ACF72F" w:rsidRPr="791B8135">
        <w:rPr>
          <w:rFonts w:asciiTheme="majorHAnsi" w:hAnsiTheme="majorHAnsi" w:cstheme="majorBidi"/>
          <w:sz w:val="22"/>
          <w:szCs w:val="22"/>
          <w:lang w:val="en-GB"/>
        </w:rPr>
        <w:t xml:space="preserve">LSFO </w:t>
      </w:r>
      <w:r w:rsidR="43ED38DE" w:rsidRPr="791B8135">
        <w:rPr>
          <w:rFonts w:asciiTheme="majorHAnsi" w:hAnsiTheme="majorHAnsi" w:cstheme="majorBidi"/>
          <w:sz w:val="22"/>
          <w:szCs w:val="22"/>
          <w:lang w:val="en-GB"/>
        </w:rPr>
        <w:t xml:space="preserve">ranges from 40 </w:t>
      </w:r>
      <w:r w:rsidR="662E51D3" w:rsidRPr="791B8135">
        <w:rPr>
          <w:rFonts w:asciiTheme="majorHAnsi" w:hAnsiTheme="majorHAnsi" w:cstheme="majorBidi"/>
          <w:sz w:val="22"/>
          <w:szCs w:val="22"/>
          <w:lang w:val="en-GB"/>
        </w:rPr>
        <w:t xml:space="preserve">- </w:t>
      </w:r>
      <w:r w:rsidR="43ED38DE" w:rsidRPr="791B8135">
        <w:rPr>
          <w:rFonts w:asciiTheme="majorHAnsi" w:hAnsiTheme="majorHAnsi" w:cstheme="majorBidi"/>
          <w:sz w:val="22"/>
          <w:szCs w:val="22"/>
          <w:lang w:val="en-GB"/>
        </w:rPr>
        <w:t xml:space="preserve">50 % </w:t>
      </w:r>
      <w:r w:rsidR="48ACF72F" w:rsidRPr="791B8135">
        <w:rPr>
          <w:rFonts w:asciiTheme="majorHAnsi" w:hAnsiTheme="majorHAnsi" w:cstheme="majorBidi"/>
          <w:sz w:val="22"/>
          <w:szCs w:val="22"/>
          <w:lang w:val="en-GB"/>
        </w:rPr>
        <w:t>and ULSFO accounts for 10</w:t>
      </w:r>
      <w:r w:rsidR="662E51D3" w:rsidRPr="791B8135">
        <w:rPr>
          <w:rFonts w:asciiTheme="majorHAnsi" w:hAnsiTheme="majorHAnsi" w:cstheme="majorBidi"/>
          <w:sz w:val="22"/>
          <w:szCs w:val="22"/>
          <w:lang w:val="en-GB"/>
        </w:rPr>
        <w:t>-</w:t>
      </w:r>
      <w:r w:rsidR="48ACF72F" w:rsidRPr="791B8135">
        <w:rPr>
          <w:rFonts w:asciiTheme="majorHAnsi" w:hAnsiTheme="majorHAnsi" w:cstheme="majorBidi"/>
          <w:sz w:val="22"/>
          <w:szCs w:val="22"/>
          <w:lang w:val="en-GB"/>
        </w:rPr>
        <w:t xml:space="preserve"> 15 %</w:t>
      </w:r>
      <w:r w:rsidR="662E51D3" w:rsidRPr="791B8135">
        <w:rPr>
          <w:rFonts w:asciiTheme="majorHAnsi" w:hAnsiTheme="majorHAnsi" w:cstheme="majorBidi"/>
          <w:sz w:val="22"/>
          <w:szCs w:val="22"/>
          <w:lang w:val="en-GB"/>
        </w:rPr>
        <w:t xml:space="preserve"> of the sales</w:t>
      </w:r>
      <w:r w:rsidR="00643BE2">
        <w:rPr>
          <w:rFonts w:asciiTheme="majorHAnsi" w:hAnsiTheme="majorHAnsi" w:cstheme="majorBidi"/>
          <w:sz w:val="22"/>
          <w:szCs w:val="22"/>
          <w:lang w:val="en-GB"/>
        </w:rPr>
        <w:t xml:space="preserve"> </w:t>
      </w:r>
      <w:r w:rsidR="00213D1A">
        <w:rPr>
          <w:rFonts w:asciiTheme="majorHAnsi" w:hAnsiTheme="majorHAnsi" w:cstheme="majorBidi"/>
          <w:sz w:val="22"/>
          <w:szCs w:val="22"/>
          <w:lang w:val="en-GB"/>
        </w:rPr>
        <w:fldChar w:fldCharType="begin" w:fldLock="1"/>
      </w:r>
      <w:r w:rsidR="0058663D">
        <w:rPr>
          <w:rFonts w:asciiTheme="majorHAnsi" w:hAnsiTheme="majorHAnsi" w:cstheme="majorBidi"/>
          <w:sz w:val="22"/>
          <w:szCs w:val="22"/>
          <w:lang w:val="en-GB"/>
        </w:rPr>
        <w:instrText>ADDIN CSL_CITATION {"citationItems":[{"id":"ITEM-1","itemData":{"URL":"https://www.portofrotterdam.com/sites/default/files/2021-08/bunker-sales-2018-2021.pdf","accessed":{"date-parts":[["2021","9","10"]]},"author":[{"dropping-particle":"","family":"Port of Rotterdam","given":"","non-dropping-particle":"","parse-names":false,"suffix":""}],"id":"ITEM-1","issued":{"date-parts":[["2021"]]},"title":"Port of Rotterdam Bunker Sales","type":"webpage"},"uris":["http://www.mendeley.com/documents/?uuid=c6679f6a-9a45-495c-bee3-96e875ed63dd"]}],"mendeley":{"formattedCitation":"(Port of Rotterdam, 2021)","plainTextFormattedCitation":"(Port of Rotterdam, 2021)","previouslyFormattedCitation":"(Port of Rotterdam, 2021)"},"properties":{"noteIndex":0},"schema":"https://github.com/citation-style-language/schema/raw/master/csl-citation.json"}</w:instrText>
      </w:r>
      <w:r w:rsidR="00213D1A">
        <w:rPr>
          <w:rFonts w:asciiTheme="majorHAnsi" w:hAnsiTheme="majorHAnsi" w:cstheme="majorBidi"/>
          <w:sz w:val="22"/>
          <w:szCs w:val="22"/>
          <w:lang w:val="en-GB"/>
        </w:rPr>
        <w:fldChar w:fldCharType="separate"/>
      </w:r>
      <w:r w:rsidR="00213D1A" w:rsidRPr="00213D1A">
        <w:rPr>
          <w:rFonts w:asciiTheme="majorHAnsi" w:hAnsiTheme="majorHAnsi" w:cstheme="majorBidi"/>
          <w:noProof/>
          <w:sz w:val="22"/>
          <w:szCs w:val="22"/>
          <w:lang w:val="en-GB"/>
        </w:rPr>
        <w:t>(Port of Rotterdam, 2021)</w:t>
      </w:r>
      <w:r w:rsidR="00213D1A">
        <w:rPr>
          <w:rFonts w:asciiTheme="majorHAnsi" w:hAnsiTheme="majorHAnsi" w:cstheme="majorBidi"/>
          <w:sz w:val="22"/>
          <w:szCs w:val="22"/>
          <w:lang w:val="en-GB"/>
        </w:rPr>
        <w:fldChar w:fldCharType="end"/>
      </w:r>
      <w:r w:rsidR="48ACF72F" w:rsidRPr="791B8135">
        <w:rPr>
          <w:rFonts w:asciiTheme="majorHAnsi" w:hAnsiTheme="majorHAnsi" w:cstheme="majorBidi"/>
          <w:sz w:val="22"/>
          <w:szCs w:val="22"/>
          <w:lang w:val="en-GB"/>
        </w:rPr>
        <w:t>.</w:t>
      </w:r>
      <w:r w:rsidR="1E484C32" w:rsidRPr="791B8135">
        <w:rPr>
          <w:rFonts w:asciiTheme="majorHAnsi" w:hAnsiTheme="majorHAnsi" w:cstheme="majorBidi"/>
          <w:sz w:val="22"/>
          <w:szCs w:val="22"/>
          <w:lang w:val="en-GB"/>
        </w:rPr>
        <w:t xml:space="preserve"> </w:t>
      </w:r>
    </w:p>
    <w:p w14:paraId="5A5CB396" w14:textId="00C56E3F" w:rsidR="65215FB1" w:rsidRPr="008D543C" w:rsidRDefault="68773E9F" w:rsidP="791B8135">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 xml:space="preserve">Table </w:t>
      </w:r>
      <w:r w:rsidR="005A6766">
        <w:rPr>
          <w:rFonts w:asciiTheme="majorHAnsi" w:hAnsiTheme="majorHAnsi" w:cstheme="majorBidi"/>
          <w:sz w:val="22"/>
          <w:szCs w:val="22"/>
          <w:lang w:val="en-GB"/>
        </w:rPr>
        <w:t>2</w:t>
      </w:r>
      <w:r w:rsidRPr="5937A937">
        <w:rPr>
          <w:rFonts w:asciiTheme="majorHAnsi" w:hAnsiTheme="majorHAnsi" w:cstheme="majorBidi"/>
          <w:sz w:val="22"/>
          <w:szCs w:val="22"/>
          <w:lang w:val="en-GB"/>
        </w:rPr>
        <w:t xml:space="preserve"> </w:t>
      </w:r>
      <w:r w:rsidR="7E25AD6D" w:rsidRPr="5937A937">
        <w:rPr>
          <w:rFonts w:asciiTheme="majorHAnsi" w:hAnsiTheme="majorHAnsi" w:cstheme="majorBidi"/>
          <w:sz w:val="22"/>
          <w:szCs w:val="22"/>
          <w:lang w:val="en-GB"/>
        </w:rPr>
        <w:t>summarizes</w:t>
      </w:r>
      <w:r w:rsidRPr="5937A937">
        <w:rPr>
          <w:rFonts w:asciiTheme="majorHAnsi" w:hAnsiTheme="majorHAnsi" w:cstheme="majorBidi"/>
          <w:sz w:val="22"/>
          <w:szCs w:val="22"/>
          <w:lang w:val="en-GB"/>
        </w:rPr>
        <w:t xml:space="preserve"> the key parameters for </w:t>
      </w:r>
      <w:r w:rsidR="00E64032">
        <w:rPr>
          <w:rFonts w:asciiTheme="majorHAnsi" w:hAnsiTheme="majorHAnsi" w:cstheme="majorBidi"/>
          <w:sz w:val="22"/>
          <w:szCs w:val="22"/>
          <w:lang w:val="en-GB"/>
        </w:rPr>
        <w:t>RME</w:t>
      </w:r>
      <w:r w:rsidRPr="5937A937">
        <w:rPr>
          <w:rFonts w:asciiTheme="majorHAnsi" w:hAnsiTheme="majorHAnsi" w:cstheme="majorBidi"/>
          <w:sz w:val="22"/>
          <w:szCs w:val="22"/>
          <w:lang w:val="en-GB"/>
        </w:rPr>
        <w:t xml:space="preserve"> 180, </w:t>
      </w:r>
      <w:r w:rsidR="00E64032">
        <w:rPr>
          <w:rFonts w:asciiTheme="majorHAnsi" w:hAnsiTheme="majorHAnsi" w:cstheme="majorBidi"/>
          <w:sz w:val="22"/>
          <w:szCs w:val="22"/>
          <w:lang w:val="en-GB"/>
        </w:rPr>
        <w:t>RMG</w:t>
      </w:r>
      <w:r w:rsidRPr="5937A937">
        <w:rPr>
          <w:rFonts w:asciiTheme="majorHAnsi" w:hAnsiTheme="majorHAnsi" w:cstheme="majorBidi"/>
          <w:sz w:val="22"/>
          <w:szCs w:val="22"/>
          <w:lang w:val="en-GB"/>
        </w:rPr>
        <w:t xml:space="preserve"> 380 and MGO</w:t>
      </w:r>
      <w:r w:rsidR="09EAE9F0" w:rsidRPr="5937A937">
        <w:rPr>
          <w:rFonts w:asciiTheme="majorHAnsi" w:hAnsiTheme="majorHAnsi" w:cstheme="majorBidi"/>
          <w:sz w:val="22"/>
          <w:szCs w:val="22"/>
          <w:lang w:val="en-GB"/>
        </w:rPr>
        <w:t xml:space="preserve"> (DMA)</w:t>
      </w:r>
      <w:r w:rsidR="3F6E528B" w:rsidRPr="5937A937">
        <w:rPr>
          <w:rFonts w:asciiTheme="majorHAnsi" w:hAnsiTheme="majorHAnsi" w:cstheme="majorBidi"/>
          <w:sz w:val="22"/>
          <w:szCs w:val="22"/>
          <w:lang w:val="en-GB"/>
        </w:rPr>
        <w:t xml:space="preserve"> according </w:t>
      </w:r>
      <w:r w:rsidR="2D0AB0C1" w:rsidRPr="5937A937">
        <w:rPr>
          <w:rFonts w:asciiTheme="majorHAnsi" w:hAnsiTheme="majorHAnsi" w:cstheme="majorBidi"/>
          <w:sz w:val="22"/>
          <w:szCs w:val="22"/>
          <w:lang w:val="en-GB"/>
        </w:rPr>
        <w:t>to</w:t>
      </w:r>
      <w:r w:rsidR="3EA0CCDF" w:rsidRPr="5937A937">
        <w:rPr>
          <w:rFonts w:asciiTheme="majorHAnsi" w:hAnsiTheme="majorHAnsi" w:cstheme="majorBidi"/>
          <w:sz w:val="22"/>
          <w:szCs w:val="22"/>
          <w:lang w:val="en-GB"/>
        </w:rPr>
        <w:t xml:space="preserve"> ISO</w:t>
      </w:r>
      <w:r w:rsidR="6044C821" w:rsidRPr="5937A937">
        <w:rPr>
          <w:rFonts w:asciiTheme="majorHAnsi" w:hAnsiTheme="majorHAnsi" w:cstheme="majorBidi"/>
          <w:sz w:val="22"/>
          <w:szCs w:val="22"/>
          <w:lang w:val="en-GB"/>
        </w:rPr>
        <w:t xml:space="preserve"> </w:t>
      </w:r>
      <w:r w:rsidR="3EA0CCDF" w:rsidRPr="5937A937">
        <w:rPr>
          <w:rFonts w:asciiTheme="majorHAnsi" w:hAnsiTheme="majorHAnsi" w:cstheme="majorBidi"/>
          <w:sz w:val="22"/>
          <w:szCs w:val="22"/>
          <w:lang w:val="en-GB"/>
        </w:rPr>
        <w:t>8217</w:t>
      </w:r>
      <w:r w:rsidR="2D0AB0C1" w:rsidRPr="5937A937">
        <w:rPr>
          <w:rFonts w:asciiTheme="majorHAnsi" w:hAnsiTheme="majorHAnsi" w:cstheme="majorBidi"/>
          <w:sz w:val="22"/>
          <w:szCs w:val="22"/>
          <w:lang w:val="en-GB"/>
        </w:rPr>
        <w:t>.</w:t>
      </w:r>
    </w:p>
    <w:p w14:paraId="2EE71D25" w14:textId="2B74EAED" w:rsidR="008D543C" w:rsidRDefault="008D543C" w:rsidP="008D543C">
      <w:pPr>
        <w:pStyle w:val="Caption"/>
        <w:keepNext/>
      </w:pPr>
      <w:bookmarkStart w:id="22" w:name="_Toc83296285"/>
      <w:r>
        <w:t xml:space="preserve">Table </w:t>
      </w:r>
      <w:fldSimple w:instr=" SEQ Table \* ARABIC ">
        <w:r w:rsidR="002E4890">
          <w:rPr>
            <w:noProof/>
          </w:rPr>
          <w:t>2</w:t>
        </w:r>
      </w:fldSimple>
      <w:r>
        <w:t xml:space="preserve">. </w:t>
      </w:r>
      <w:r w:rsidR="008230C0">
        <w:t>M</w:t>
      </w:r>
      <w:r w:rsidRPr="0036016A">
        <w:t>arine gas oil (MGO) and marine diesel oil (MDO)</w:t>
      </w:r>
      <w:r w:rsidR="003F16EA">
        <w:t xml:space="preserve"> specifications.</w:t>
      </w:r>
      <w:bookmarkEnd w:id="22"/>
    </w:p>
    <w:tbl>
      <w:tblPr>
        <w:tblStyle w:val="TableGrid"/>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A0" w:firstRow="1" w:lastRow="0" w:firstColumn="1" w:lastColumn="0" w:noHBand="1" w:noVBand="1"/>
      </w:tblPr>
      <w:tblGrid>
        <w:gridCol w:w="2835"/>
        <w:gridCol w:w="1017"/>
        <w:gridCol w:w="1590"/>
        <w:gridCol w:w="1650"/>
        <w:gridCol w:w="1785"/>
      </w:tblGrid>
      <w:tr w:rsidR="65215FB1" w14:paraId="61D2DFD1" w14:textId="77777777" w:rsidTr="5937A937">
        <w:trPr>
          <w:jc w:val="center"/>
        </w:trPr>
        <w:tc>
          <w:tcPr>
            <w:tcW w:w="2835" w:type="dxa"/>
            <w:tcBorders>
              <w:top w:val="single" w:sz="4" w:space="0" w:color="000000"/>
              <w:bottom w:val="single" w:sz="4" w:space="0" w:color="000000"/>
            </w:tcBorders>
            <w:vAlign w:val="center"/>
          </w:tcPr>
          <w:p w14:paraId="2A6B3703" w14:textId="381474BA" w:rsidR="3A451002" w:rsidRPr="00AF0B9C" w:rsidRDefault="3A451002" w:rsidP="65215FB1">
            <w:pPr>
              <w:jc w:val="center"/>
              <w:rPr>
                <w:rFonts w:asciiTheme="minorHAnsi" w:hAnsiTheme="minorHAnsi" w:cstheme="minorHAnsi"/>
                <w:b/>
                <w:bCs/>
                <w:sz w:val="18"/>
                <w:szCs w:val="18"/>
                <w:lang w:val="en-GB"/>
              </w:rPr>
            </w:pPr>
            <w:r w:rsidRPr="00AF0B9C">
              <w:rPr>
                <w:rFonts w:asciiTheme="minorHAnsi" w:hAnsiTheme="minorHAnsi" w:cstheme="minorHAnsi"/>
                <w:b/>
                <w:bCs/>
                <w:sz w:val="18"/>
                <w:szCs w:val="18"/>
                <w:lang w:val="en-GB"/>
              </w:rPr>
              <w:t>Specification</w:t>
            </w:r>
          </w:p>
        </w:tc>
        <w:tc>
          <w:tcPr>
            <w:tcW w:w="1017" w:type="dxa"/>
            <w:tcBorders>
              <w:top w:val="single" w:sz="4" w:space="0" w:color="000000"/>
              <w:bottom w:val="single" w:sz="4" w:space="0" w:color="000000"/>
            </w:tcBorders>
            <w:vAlign w:val="center"/>
          </w:tcPr>
          <w:p w14:paraId="57FBA24E" w14:textId="6B3A86BC" w:rsidR="3A451002" w:rsidRPr="00AF0B9C" w:rsidRDefault="3A451002" w:rsidP="65215FB1">
            <w:pPr>
              <w:jc w:val="center"/>
              <w:rPr>
                <w:rFonts w:asciiTheme="minorHAnsi" w:hAnsiTheme="minorHAnsi" w:cstheme="minorHAnsi"/>
                <w:b/>
                <w:bCs/>
                <w:sz w:val="18"/>
                <w:szCs w:val="18"/>
                <w:lang w:val="en-GB"/>
              </w:rPr>
            </w:pPr>
            <w:r w:rsidRPr="00AF0B9C">
              <w:rPr>
                <w:rFonts w:asciiTheme="minorHAnsi" w:hAnsiTheme="minorHAnsi" w:cstheme="minorHAnsi"/>
                <w:b/>
                <w:bCs/>
                <w:sz w:val="18"/>
                <w:szCs w:val="18"/>
                <w:lang w:val="en-GB"/>
              </w:rPr>
              <w:t>Limit</w:t>
            </w:r>
          </w:p>
        </w:tc>
        <w:tc>
          <w:tcPr>
            <w:tcW w:w="1590" w:type="dxa"/>
            <w:tcBorders>
              <w:top w:val="single" w:sz="4" w:space="0" w:color="000000"/>
              <w:bottom w:val="single" w:sz="4" w:space="0" w:color="000000"/>
            </w:tcBorders>
            <w:vAlign w:val="center"/>
          </w:tcPr>
          <w:p w14:paraId="382CB88C" w14:textId="0505F46A" w:rsidR="3A451002" w:rsidRPr="00AF0B9C" w:rsidRDefault="3A451002" w:rsidP="65215FB1">
            <w:pPr>
              <w:jc w:val="center"/>
              <w:rPr>
                <w:rFonts w:asciiTheme="minorHAnsi" w:hAnsiTheme="minorHAnsi" w:cstheme="minorHAnsi"/>
                <w:b/>
                <w:bCs/>
                <w:sz w:val="18"/>
                <w:szCs w:val="18"/>
                <w:lang w:val="en-GB"/>
              </w:rPr>
            </w:pPr>
            <w:r w:rsidRPr="00AF0B9C">
              <w:rPr>
                <w:rFonts w:asciiTheme="minorHAnsi" w:hAnsiTheme="minorHAnsi" w:cstheme="minorHAnsi"/>
                <w:b/>
                <w:bCs/>
                <w:sz w:val="18"/>
                <w:szCs w:val="18"/>
                <w:lang w:val="en-GB"/>
              </w:rPr>
              <w:t>MGO (DMA)</w:t>
            </w:r>
          </w:p>
        </w:tc>
        <w:tc>
          <w:tcPr>
            <w:tcW w:w="1650" w:type="dxa"/>
            <w:tcBorders>
              <w:top w:val="single" w:sz="4" w:space="0" w:color="000000"/>
              <w:bottom w:val="single" w:sz="4" w:space="0" w:color="000000"/>
            </w:tcBorders>
            <w:vAlign w:val="center"/>
          </w:tcPr>
          <w:p w14:paraId="690F360D" w14:textId="1758550E" w:rsidR="3A451002" w:rsidRPr="00AF0B9C" w:rsidRDefault="00A4799E" w:rsidP="65215FB1">
            <w:pPr>
              <w:jc w:val="center"/>
              <w:rPr>
                <w:rFonts w:asciiTheme="minorHAnsi" w:hAnsiTheme="minorHAnsi" w:cstheme="minorHAnsi"/>
                <w:b/>
                <w:bCs/>
                <w:sz w:val="18"/>
                <w:szCs w:val="18"/>
                <w:lang w:val="en-GB"/>
              </w:rPr>
            </w:pPr>
            <w:r>
              <w:rPr>
                <w:rFonts w:asciiTheme="minorHAnsi" w:hAnsiTheme="minorHAnsi" w:cstheme="minorHAnsi"/>
                <w:b/>
                <w:bCs/>
                <w:sz w:val="18"/>
                <w:szCs w:val="18"/>
                <w:lang w:val="en-GB"/>
              </w:rPr>
              <w:t>RME</w:t>
            </w:r>
            <w:r w:rsidR="009E392F">
              <w:rPr>
                <w:rFonts w:asciiTheme="minorHAnsi" w:hAnsiTheme="minorHAnsi" w:cstheme="minorHAnsi"/>
                <w:b/>
                <w:bCs/>
                <w:sz w:val="18"/>
                <w:szCs w:val="18"/>
                <w:lang w:val="en-GB"/>
              </w:rPr>
              <w:t xml:space="preserve"> 180</w:t>
            </w:r>
          </w:p>
        </w:tc>
        <w:tc>
          <w:tcPr>
            <w:tcW w:w="1785" w:type="dxa"/>
            <w:tcBorders>
              <w:top w:val="single" w:sz="4" w:space="0" w:color="000000"/>
              <w:bottom w:val="single" w:sz="4" w:space="0" w:color="000000"/>
            </w:tcBorders>
            <w:vAlign w:val="center"/>
          </w:tcPr>
          <w:p w14:paraId="0706CBAD" w14:textId="32C3B7E7" w:rsidR="3A451002" w:rsidRPr="00AF0B9C" w:rsidRDefault="009E392F" w:rsidP="65215FB1">
            <w:pPr>
              <w:jc w:val="center"/>
              <w:rPr>
                <w:rFonts w:asciiTheme="minorHAnsi" w:hAnsiTheme="minorHAnsi" w:cstheme="minorHAnsi"/>
                <w:b/>
                <w:bCs/>
                <w:sz w:val="18"/>
                <w:szCs w:val="18"/>
                <w:lang w:val="en-GB"/>
              </w:rPr>
            </w:pPr>
            <w:r>
              <w:rPr>
                <w:rFonts w:asciiTheme="minorHAnsi" w:hAnsiTheme="minorHAnsi" w:cstheme="minorHAnsi"/>
                <w:b/>
                <w:bCs/>
                <w:sz w:val="18"/>
                <w:szCs w:val="18"/>
                <w:lang w:val="en-GB"/>
              </w:rPr>
              <w:t>RMG</w:t>
            </w:r>
            <w:r w:rsidR="3A451002" w:rsidRPr="00AF0B9C">
              <w:rPr>
                <w:rFonts w:asciiTheme="minorHAnsi" w:hAnsiTheme="minorHAnsi" w:cstheme="minorHAnsi"/>
                <w:b/>
                <w:bCs/>
                <w:sz w:val="18"/>
                <w:szCs w:val="18"/>
                <w:lang w:val="en-GB"/>
              </w:rPr>
              <w:t xml:space="preserve"> 380</w:t>
            </w:r>
          </w:p>
        </w:tc>
      </w:tr>
      <w:tr w:rsidR="65215FB1" w14:paraId="61AC3F3E" w14:textId="77777777" w:rsidTr="5937A937">
        <w:trPr>
          <w:jc w:val="center"/>
        </w:trPr>
        <w:tc>
          <w:tcPr>
            <w:tcW w:w="2835" w:type="dxa"/>
            <w:tcBorders>
              <w:top w:val="single" w:sz="4" w:space="0" w:color="000000"/>
            </w:tcBorders>
            <w:vAlign w:val="center"/>
          </w:tcPr>
          <w:p w14:paraId="5AAAAC69" w14:textId="75FD67EB"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Kinematic viscosity</w:t>
            </w:r>
            <w:r w:rsidR="597FFD73" w:rsidRPr="00AF0B9C">
              <w:rPr>
                <w:rFonts w:asciiTheme="minorHAnsi" w:hAnsiTheme="minorHAnsi" w:cstheme="minorHAnsi"/>
                <w:sz w:val="18"/>
                <w:szCs w:val="18"/>
                <w:lang w:val="en-GB"/>
              </w:rPr>
              <w:t xml:space="preserve"> </w:t>
            </w:r>
            <w:r w:rsidRPr="00AF0B9C">
              <w:rPr>
                <w:rFonts w:asciiTheme="minorHAnsi" w:hAnsiTheme="minorHAnsi" w:cstheme="minorHAnsi"/>
                <w:sz w:val="18"/>
                <w:szCs w:val="18"/>
                <w:lang w:val="en-GB"/>
              </w:rPr>
              <w:t>(centistoke)</w:t>
            </w:r>
          </w:p>
        </w:tc>
        <w:tc>
          <w:tcPr>
            <w:tcW w:w="1017" w:type="dxa"/>
            <w:tcBorders>
              <w:top w:val="single" w:sz="4" w:space="0" w:color="000000"/>
            </w:tcBorders>
            <w:vAlign w:val="center"/>
          </w:tcPr>
          <w:p w14:paraId="1FFBB685" w14:textId="72688572" w:rsidR="3A451002" w:rsidRPr="00AF0B9C" w:rsidRDefault="3A451002"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Min - Max</w:t>
            </w:r>
          </w:p>
        </w:tc>
        <w:tc>
          <w:tcPr>
            <w:tcW w:w="1590" w:type="dxa"/>
            <w:tcBorders>
              <w:top w:val="single" w:sz="4" w:space="0" w:color="000000"/>
            </w:tcBorders>
            <w:vAlign w:val="center"/>
          </w:tcPr>
          <w:p w14:paraId="7B7B677C" w14:textId="03107454"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2.00 - 6.00</w:t>
            </w:r>
            <w:r w:rsidR="5B226DE2" w:rsidRPr="00AF0B9C">
              <w:rPr>
                <w:rFonts w:asciiTheme="minorHAnsi" w:hAnsiTheme="minorHAnsi" w:cstheme="minorHAnsi"/>
                <w:sz w:val="18"/>
                <w:szCs w:val="18"/>
                <w:lang w:val="en-GB"/>
              </w:rPr>
              <w:t xml:space="preserve"> at 40 °C</w:t>
            </w:r>
          </w:p>
        </w:tc>
        <w:tc>
          <w:tcPr>
            <w:tcW w:w="1650" w:type="dxa"/>
            <w:tcBorders>
              <w:top w:val="single" w:sz="4" w:space="0" w:color="000000"/>
            </w:tcBorders>
            <w:vAlign w:val="center"/>
          </w:tcPr>
          <w:p w14:paraId="551FA663" w14:textId="1FC5EDA7" w:rsidR="10DBFF80" w:rsidRPr="00AF0B9C" w:rsidRDefault="10DBFF8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180</w:t>
            </w:r>
            <w:r w:rsidR="1BAF401F" w:rsidRPr="00AF0B9C">
              <w:rPr>
                <w:rFonts w:asciiTheme="minorHAnsi" w:hAnsiTheme="minorHAnsi" w:cstheme="minorHAnsi"/>
                <w:sz w:val="18"/>
                <w:szCs w:val="18"/>
                <w:lang w:val="en-GB"/>
              </w:rPr>
              <w:t xml:space="preserve"> at </w:t>
            </w:r>
            <w:r w:rsidR="2A2FDF7C" w:rsidRPr="00AF0B9C">
              <w:rPr>
                <w:rFonts w:asciiTheme="minorHAnsi" w:hAnsiTheme="minorHAnsi" w:cstheme="minorHAnsi"/>
                <w:sz w:val="18"/>
                <w:szCs w:val="18"/>
                <w:lang w:val="en-GB"/>
              </w:rPr>
              <w:t>5</w:t>
            </w:r>
            <w:r w:rsidR="1BAF401F" w:rsidRPr="00AF0B9C">
              <w:rPr>
                <w:rFonts w:asciiTheme="minorHAnsi" w:hAnsiTheme="minorHAnsi" w:cstheme="minorHAnsi"/>
                <w:sz w:val="18"/>
                <w:szCs w:val="18"/>
                <w:lang w:val="en-GB"/>
              </w:rPr>
              <w:t>0 °C</w:t>
            </w:r>
          </w:p>
        </w:tc>
        <w:tc>
          <w:tcPr>
            <w:tcW w:w="1785" w:type="dxa"/>
            <w:tcBorders>
              <w:top w:val="single" w:sz="4" w:space="0" w:color="000000"/>
            </w:tcBorders>
            <w:vAlign w:val="center"/>
          </w:tcPr>
          <w:p w14:paraId="2176961E" w14:textId="7AA5B75F" w:rsidR="10DBFF80" w:rsidRPr="00AF0B9C" w:rsidRDefault="10DBFF8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380</w:t>
            </w:r>
            <w:r w:rsidR="1180FFA4" w:rsidRPr="00AF0B9C">
              <w:rPr>
                <w:rFonts w:asciiTheme="minorHAnsi" w:hAnsiTheme="minorHAnsi" w:cstheme="minorHAnsi"/>
                <w:sz w:val="18"/>
                <w:szCs w:val="18"/>
                <w:lang w:val="en-GB"/>
              </w:rPr>
              <w:t xml:space="preserve"> at 50 °C</w:t>
            </w:r>
          </w:p>
        </w:tc>
      </w:tr>
      <w:tr w:rsidR="65215FB1" w14:paraId="07A51610" w14:textId="77777777" w:rsidTr="5937A937">
        <w:trPr>
          <w:jc w:val="center"/>
        </w:trPr>
        <w:tc>
          <w:tcPr>
            <w:tcW w:w="2835" w:type="dxa"/>
            <w:vAlign w:val="center"/>
          </w:tcPr>
          <w:p w14:paraId="7CBF8D11" w14:textId="51BCCFAB" w:rsidR="3A451002" w:rsidRPr="00AF0B9C" w:rsidRDefault="35D90D98" w:rsidP="5937A937">
            <w:pPr>
              <w:spacing w:after="120"/>
              <w:jc w:val="center"/>
              <w:rPr>
                <w:rFonts w:asciiTheme="minorHAnsi" w:hAnsiTheme="minorHAnsi" w:cstheme="minorBidi"/>
                <w:sz w:val="18"/>
                <w:szCs w:val="18"/>
                <w:lang w:val="en-GB"/>
              </w:rPr>
            </w:pPr>
            <w:r w:rsidRPr="5937A937">
              <w:rPr>
                <w:rFonts w:asciiTheme="minorHAnsi" w:hAnsiTheme="minorHAnsi" w:cstheme="minorBidi"/>
                <w:sz w:val="18"/>
                <w:szCs w:val="18"/>
                <w:lang w:val="en-GB"/>
              </w:rPr>
              <w:t>Density at 15 °C (kg/m</w:t>
            </w:r>
            <w:r w:rsidRPr="5937A937">
              <w:rPr>
                <w:rFonts w:asciiTheme="minorHAnsi" w:hAnsiTheme="minorHAnsi" w:cstheme="minorBidi"/>
                <w:sz w:val="18"/>
                <w:szCs w:val="18"/>
                <w:vertAlign w:val="superscript"/>
                <w:lang w:val="en-GB"/>
              </w:rPr>
              <w:t>3</w:t>
            </w:r>
            <w:r w:rsidRPr="5937A937">
              <w:rPr>
                <w:rFonts w:asciiTheme="minorHAnsi" w:hAnsiTheme="minorHAnsi" w:cstheme="minorBidi"/>
                <w:sz w:val="18"/>
                <w:szCs w:val="18"/>
                <w:lang w:val="en-GB"/>
              </w:rPr>
              <w:t>)</w:t>
            </w:r>
          </w:p>
        </w:tc>
        <w:tc>
          <w:tcPr>
            <w:tcW w:w="1017" w:type="dxa"/>
            <w:vAlign w:val="center"/>
          </w:tcPr>
          <w:p w14:paraId="4A59BE2F" w14:textId="1B040CBC"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5FE124D2" w14:textId="2DE7FB36"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890</w:t>
            </w:r>
          </w:p>
        </w:tc>
        <w:tc>
          <w:tcPr>
            <w:tcW w:w="1650" w:type="dxa"/>
            <w:vAlign w:val="center"/>
          </w:tcPr>
          <w:p w14:paraId="3B32BE5D" w14:textId="5E5BFBB0" w:rsidR="320DBF09" w:rsidRPr="00AF0B9C" w:rsidRDefault="320DBF09"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991</w:t>
            </w:r>
          </w:p>
        </w:tc>
        <w:tc>
          <w:tcPr>
            <w:tcW w:w="1785" w:type="dxa"/>
            <w:vAlign w:val="center"/>
          </w:tcPr>
          <w:p w14:paraId="0615C7C6" w14:textId="74366A5E" w:rsidR="320DBF09" w:rsidRPr="00AF0B9C" w:rsidRDefault="320DBF09"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991</w:t>
            </w:r>
          </w:p>
        </w:tc>
      </w:tr>
      <w:tr w:rsidR="65215FB1" w14:paraId="25D71388" w14:textId="77777777" w:rsidTr="5937A937">
        <w:trPr>
          <w:jc w:val="center"/>
        </w:trPr>
        <w:tc>
          <w:tcPr>
            <w:tcW w:w="2835" w:type="dxa"/>
            <w:vAlign w:val="center"/>
          </w:tcPr>
          <w:p w14:paraId="32E4FC20" w14:textId="510D8F93"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Cetane number</w:t>
            </w:r>
          </w:p>
        </w:tc>
        <w:tc>
          <w:tcPr>
            <w:tcW w:w="1017" w:type="dxa"/>
            <w:vAlign w:val="center"/>
          </w:tcPr>
          <w:p w14:paraId="7A0BC19E" w14:textId="57192793"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Min</w:t>
            </w:r>
          </w:p>
        </w:tc>
        <w:tc>
          <w:tcPr>
            <w:tcW w:w="1590" w:type="dxa"/>
            <w:vAlign w:val="center"/>
          </w:tcPr>
          <w:p w14:paraId="586F0021" w14:textId="2509C829"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40</w:t>
            </w:r>
          </w:p>
        </w:tc>
        <w:tc>
          <w:tcPr>
            <w:tcW w:w="1650" w:type="dxa"/>
            <w:vAlign w:val="center"/>
          </w:tcPr>
          <w:p w14:paraId="002D8F45" w14:textId="3CCB4EBB" w:rsidR="4589E750" w:rsidRPr="00AF0B9C" w:rsidRDefault="4589E75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w:t>
            </w:r>
          </w:p>
        </w:tc>
        <w:tc>
          <w:tcPr>
            <w:tcW w:w="1785" w:type="dxa"/>
            <w:vAlign w:val="center"/>
          </w:tcPr>
          <w:p w14:paraId="1C520588" w14:textId="73A9E71A" w:rsidR="4589E750" w:rsidRPr="00AF0B9C" w:rsidRDefault="4589E75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w:t>
            </w:r>
          </w:p>
        </w:tc>
      </w:tr>
      <w:tr w:rsidR="65215FB1" w14:paraId="72C6C7A1" w14:textId="77777777" w:rsidTr="5937A937">
        <w:trPr>
          <w:jc w:val="center"/>
        </w:trPr>
        <w:tc>
          <w:tcPr>
            <w:tcW w:w="2835" w:type="dxa"/>
            <w:vAlign w:val="center"/>
          </w:tcPr>
          <w:p w14:paraId="3A10C04D" w14:textId="328ECB24"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Sulphur (% w/w)</w:t>
            </w:r>
          </w:p>
        </w:tc>
        <w:tc>
          <w:tcPr>
            <w:tcW w:w="1017" w:type="dxa"/>
            <w:vAlign w:val="center"/>
          </w:tcPr>
          <w:p w14:paraId="0F3E1653" w14:textId="6488162E"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443668E2" w14:textId="56E1C160"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1.5</w:t>
            </w:r>
          </w:p>
        </w:tc>
        <w:tc>
          <w:tcPr>
            <w:tcW w:w="3435" w:type="dxa"/>
            <w:gridSpan w:val="2"/>
            <w:vAlign w:val="center"/>
          </w:tcPr>
          <w:p w14:paraId="026C5B93" w14:textId="34D0C783" w:rsidR="31373AE7" w:rsidRPr="00AF0B9C" w:rsidRDefault="31373AE7"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3.5 %</w:t>
            </w:r>
            <w:r w:rsidR="007D04E3">
              <w:rPr>
                <w:rFonts w:asciiTheme="minorHAnsi" w:hAnsiTheme="minorHAnsi" w:cstheme="minorHAnsi"/>
                <w:sz w:val="18"/>
                <w:szCs w:val="18"/>
                <w:vertAlign w:val="superscript"/>
                <w:lang w:val="en-GB"/>
              </w:rPr>
              <w:t>*</w:t>
            </w:r>
          </w:p>
        </w:tc>
      </w:tr>
      <w:tr w:rsidR="65215FB1" w14:paraId="73E7114A" w14:textId="77777777" w:rsidTr="5937A937">
        <w:trPr>
          <w:jc w:val="center"/>
        </w:trPr>
        <w:tc>
          <w:tcPr>
            <w:tcW w:w="2835" w:type="dxa"/>
            <w:vAlign w:val="center"/>
          </w:tcPr>
          <w:p w14:paraId="0C9F6C3C" w14:textId="3F62E667"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Flash Point (°C)</w:t>
            </w:r>
          </w:p>
        </w:tc>
        <w:tc>
          <w:tcPr>
            <w:tcW w:w="1017" w:type="dxa"/>
            <w:vAlign w:val="center"/>
          </w:tcPr>
          <w:p w14:paraId="4B9296A9" w14:textId="4132AAF9"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Min</w:t>
            </w:r>
          </w:p>
        </w:tc>
        <w:tc>
          <w:tcPr>
            <w:tcW w:w="1590" w:type="dxa"/>
            <w:vAlign w:val="center"/>
          </w:tcPr>
          <w:p w14:paraId="72D4E06B" w14:textId="3866C99C"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60</w:t>
            </w:r>
          </w:p>
        </w:tc>
        <w:tc>
          <w:tcPr>
            <w:tcW w:w="1650" w:type="dxa"/>
            <w:vAlign w:val="center"/>
          </w:tcPr>
          <w:p w14:paraId="48166DE3" w14:textId="64B3A2EA" w:rsidR="5E031330" w:rsidRPr="00AF0B9C" w:rsidRDefault="5E03133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60</w:t>
            </w:r>
          </w:p>
        </w:tc>
        <w:tc>
          <w:tcPr>
            <w:tcW w:w="1785" w:type="dxa"/>
            <w:vAlign w:val="center"/>
          </w:tcPr>
          <w:p w14:paraId="2B113D24" w14:textId="1A40052A" w:rsidR="5E031330" w:rsidRPr="00AF0B9C" w:rsidRDefault="5E031330"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60</w:t>
            </w:r>
          </w:p>
        </w:tc>
      </w:tr>
      <w:tr w:rsidR="65215FB1" w14:paraId="4410108A" w14:textId="77777777" w:rsidTr="5937A937">
        <w:trPr>
          <w:jc w:val="center"/>
        </w:trPr>
        <w:tc>
          <w:tcPr>
            <w:tcW w:w="2835" w:type="dxa"/>
            <w:vAlign w:val="center"/>
          </w:tcPr>
          <w:p w14:paraId="3889BEB7" w14:textId="17913A6E"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Acid Number (mg KOH/g)</w:t>
            </w:r>
          </w:p>
        </w:tc>
        <w:tc>
          <w:tcPr>
            <w:tcW w:w="1017" w:type="dxa"/>
            <w:vAlign w:val="center"/>
          </w:tcPr>
          <w:p w14:paraId="1B78FA12" w14:textId="39DA8771"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67B9B388" w14:textId="693829CA"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0.5</w:t>
            </w:r>
          </w:p>
        </w:tc>
        <w:tc>
          <w:tcPr>
            <w:tcW w:w="1650" w:type="dxa"/>
            <w:vAlign w:val="center"/>
          </w:tcPr>
          <w:p w14:paraId="7F4EAF07" w14:textId="40FC5370" w:rsidR="2050195E" w:rsidRPr="00AF0B9C" w:rsidRDefault="2050195E"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2.5</w:t>
            </w:r>
          </w:p>
        </w:tc>
        <w:tc>
          <w:tcPr>
            <w:tcW w:w="1785" w:type="dxa"/>
            <w:vAlign w:val="center"/>
          </w:tcPr>
          <w:p w14:paraId="7C49E1C9" w14:textId="6FF1DBCD" w:rsidR="2050195E" w:rsidRPr="00AF0B9C" w:rsidRDefault="2050195E"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2.5</w:t>
            </w:r>
          </w:p>
        </w:tc>
      </w:tr>
      <w:tr w:rsidR="65215FB1" w14:paraId="01FB1A6D" w14:textId="77777777" w:rsidTr="5937A937">
        <w:trPr>
          <w:jc w:val="center"/>
        </w:trPr>
        <w:tc>
          <w:tcPr>
            <w:tcW w:w="2835" w:type="dxa"/>
            <w:vAlign w:val="center"/>
          </w:tcPr>
          <w:p w14:paraId="0ED2AE1C" w14:textId="14FBCA8E" w:rsidR="3A451002" w:rsidRPr="00AF0B9C" w:rsidRDefault="3A451002"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lastRenderedPageBreak/>
              <w:t>Oxygen Stability (g/m</w:t>
            </w:r>
            <w:r w:rsidRPr="00AF0B9C">
              <w:rPr>
                <w:rFonts w:asciiTheme="minorHAnsi" w:hAnsiTheme="minorHAnsi" w:cstheme="minorHAnsi"/>
                <w:sz w:val="18"/>
                <w:szCs w:val="18"/>
                <w:vertAlign w:val="superscript"/>
                <w:lang w:val="en-GB"/>
              </w:rPr>
              <w:t>3</w:t>
            </w:r>
            <w:r w:rsidRPr="00AF0B9C">
              <w:rPr>
                <w:rFonts w:asciiTheme="minorHAnsi" w:hAnsiTheme="minorHAnsi" w:cstheme="minorHAnsi"/>
                <w:sz w:val="18"/>
                <w:szCs w:val="18"/>
                <w:lang w:val="en-GB"/>
              </w:rPr>
              <w:t>)</w:t>
            </w:r>
          </w:p>
        </w:tc>
        <w:tc>
          <w:tcPr>
            <w:tcW w:w="1017" w:type="dxa"/>
            <w:vAlign w:val="center"/>
          </w:tcPr>
          <w:p w14:paraId="739F9402" w14:textId="1D83CBDE"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7FAE1D05" w14:textId="0712E7B4"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25</w:t>
            </w:r>
          </w:p>
        </w:tc>
        <w:tc>
          <w:tcPr>
            <w:tcW w:w="1650" w:type="dxa"/>
            <w:vAlign w:val="center"/>
          </w:tcPr>
          <w:p w14:paraId="5C0AF7A0" w14:textId="2CC764C7" w:rsidR="5DC31B48" w:rsidRPr="00AF0B9C" w:rsidRDefault="5DC31B48"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c>
          <w:tcPr>
            <w:tcW w:w="1785" w:type="dxa"/>
            <w:vAlign w:val="center"/>
          </w:tcPr>
          <w:p w14:paraId="7377DCA1" w14:textId="77C4C406" w:rsidR="2F97306C" w:rsidRPr="00AF0B9C" w:rsidRDefault="2F97306C"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r>
      <w:tr w:rsidR="65215FB1" w14:paraId="4D3F6912" w14:textId="77777777" w:rsidTr="5937A937">
        <w:trPr>
          <w:jc w:val="center"/>
        </w:trPr>
        <w:tc>
          <w:tcPr>
            <w:tcW w:w="2835" w:type="dxa"/>
            <w:vAlign w:val="center"/>
          </w:tcPr>
          <w:p w14:paraId="763390B2" w14:textId="487DC5EF"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Lubricity</w:t>
            </w:r>
            <w:r w:rsidR="7368D9D7" w:rsidRPr="00AF0B9C">
              <w:rPr>
                <w:rFonts w:asciiTheme="minorHAnsi" w:hAnsiTheme="minorHAnsi" w:cstheme="minorHAnsi"/>
                <w:sz w:val="18"/>
                <w:szCs w:val="18"/>
                <w:lang w:val="en-GB"/>
              </w:rPr>
              <w:t xml:space="preserve"> (µm)</w:t>
            </w:r>
          </w:p>
        </w:tc>
        <w:tc>
          <w:tcPr>
            <w:tcW w:w="1017" w:type="dxa"/>
            <w:vAlign w:val="center"/>
          </w:tcPr>
          <w:p w14:paraId="22029C4F" w14:textId="09863CFD" w:rsidR="7368D9D7" w:rsidRPr="00AF0B9C" w:rsidRDefault="7368D9D7"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vAlign w:val="center"/>
          </w:tcPr>
          <w:p w14:paraId="1F345096" w14:textId="4255E2F4" w:rsidR="7368D9D7" w:rsidRPr="00AF0B9C" w:rsidRDefault="7368D9D7"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520</w:t>
            </w:r>
          </w:p>
        </w:tc>
        <w:tc>
          <w:tcPr>
            <w:tcW w:w="1650" w:type="dxa"/>
            <w:vAlign w:val="center"/>
          </w:tcPr>
          <w:p w14:paraId="5E224DC6" w14:textId="0F025693" w:rsidR="2FDC57BE" w:rsidRPr="00AF0B9C" w:rsidRDefault="2FDC57BE"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c>
          <w:tcPr>
            <w:tcW w:w="1785" w:type="dxa"/>
            <w:vAlign w:val="center"/>
          </w:tcPr>
          <w:p w14:paraId="119B6EA1" w14:textId="0E92C5A7" w:rsidR="2FDC57BE" w:rsidRPr="00AF0B9C" w:rsidRDefault="2FDC57BE" w:rsidP="65215FB1">
            <w:pPr>
              <w:spacing w:after="120"/>
              <w:jc w:val="center"/>
              <w:rPr>
                <w:rFonts w:asciiTheme="minorHAnsi" w:hAnsiTheme="minorHAnsi" w:cstheme="minorHAnsi"/>
                <w:sz w:val="18"/>
                <w:szCs w:val="18"/>
              </w:rPr>
            </w:pPr>
            <w:r w:rsidRPr="00AF0B9C">
              <w:rPr>
                <w:rFonts w:asciiTheme="minorHAnsi" w:hAnsiTheme="minorHAnsi" w:cstheme="minorHAnsi"/>
                <w:sz w:val="18"/>
                <w:szCs w:val="18"/>
                <w:lang w:val="en-GB"/>
              </w:rPr>
              <w:t>-</w:t>
            </w:r>
          </w:p>
        </w:tc>
      </w:tr>
      <w:tr w:rsidR="65215FB1" w14:paraId="270A8171" w14:textId="77777777" w:rsidTr="5937A937">
        <w:trPr>
          <w:jc w:val="center"/>
        </w:trPr>
        <w:tc>
          <w:tcPr>
            <w:tcW w:w="2835" w:type="dxa"/>
            <w:tcBorders>
              <w:bottom w:val="nil"/>
            </w:tcBorders>
            <w:vAlign w:val="center"/>
          </w:tcPr>
          <w:p w14:paraId="77722A71" w14:textId="41AE304A" w:rsidR="3A451002" w:rsidRPr="00AF0B9C" w:rsidRDefault="3A45100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Pour Point</w:t>
            </w:r>
            <w:r w:rsidR="2C3178F8" w:rsidRPr="00AF0B9C">
              <w:rPr>
                <w:rFonts w:asciiTheme="minorHAnsi" w:hAnsiTheme="minorHAnsi" w:cstheme="minorHAnsi"/>
                <w:sz w:val="18"/>
                <w:szCs w:val="18"/>
                <w:lang w:val="en-GB"/>
              </w:rPr>
              <w:t xml:space="preserve"> (°C)</w:t>
            </w:r>
          </w:p>
        </w:tc>
        <w:tc>
          <w:tcPr>
            <w:tcW w:w="1017" w:type="dxa"/>
            <w:tcBorders>
              <w:bottom w:val="nil"/>
            </w:tcBorders>
            <w:vAlign w:val="center"/>
          </w:tcPr>
          <w:p w14:paraId="7187412E" w14:textId="701674E5" w:rsidR="2C3178F8" w:rsidRPr="00AF0B9C" w:rsidRDefault="2C3178F8"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tcBorders>
              <w:bottom w:val="nil"/>
            </w:tcBorders>
            <w:vAlign w:val="center"/>
          </w:tcPr>
          <w:p w14:paraId="17939623" w14:textId="12A81A8C" w:rsidR="2C3178F8" w:rsidRPr="00AF0B9C" w:rsidRDefault="2C3178F8"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-6 to 0</w:t>
            </w:r>
          </w:p>
        </w:tc>
        <w:tc>
          <w:tcPr>
            <w:tcW w:w="1650" w:type="dxa"/>
            <w:tcBorders>
              <w:bottom w:val="nil"/>
            </w:tcBorders>
            <w:vAlign w:val="center"/>
          </w:tcPr>
          <w:p w14:paraId="3327DEAB" w14:textId="48D05AD8" w:rsidR="56428022" w:rsidRPr="00AF0B9C" w:rsidRDefault="5642802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30</w:t>
            </w:r>
          </w:p>
        </w:tc>
        <w:tc>
          <w:tcPr>
            <w:tcW w:w="1785" w:type="dxa"/>
            <w:tcBorders>
              <w:bottom w:val="nil"/>
            </w:tcBorders>
            <w:vAlign w:val="center"/>
          </w:tcPr>
          <w:p w14:paraId="318E122B" w14:textId="03AD50FB" w:rsidR="56428022" w:rsidRPr="00AF0B9C" w:rsidRDefault="56428022"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30</w:t>
            </w:r>
          </w:p>
        </w:tc>
      </w:tr>
      <w:tr w:rsidR="65215FB1" w14:paraId="75BA7A9F" w14:textId="77777777" w:rsidTr="5937A937">
        <w:trPr>
          <w:jc w:val="center"/>
        </w:trPr>
        <w:tc>
          <w:tcPr>
            <w:tcW w:w="2835" w:type="dxa"/>
            <w:tcBorders>
              <w:top w:val="nil"/>
              <w:left w:val="nil"/>
              <w:bottom w:val="single" w:sz="4" w:space="0" w:color="auto"/>
              <w:right w:val="nil"/>
            </w:tcBorders>
            <w:vAlign w:val="center"/>
          </w:tcPr>
          <w:p w14:paraId="70598BE5" w14:textId="648F03EE"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Carbon Residue – micro method (% w/w)</w:t>
            </w:r>
          </w:p>
        </w:tc>
        <w:tc>
          <w:tcPr>
            <w:tcW w:w="1017" w:type="dxa"/>
            <w:tcBorders>
              <w:top w:val="nil"/>
              <w:left w:val="nil"/>
              <w:bottom w:val="single" w:sz="4" w:space="0" w:color="auto"/>
              <w:right w:val="nil"/>
            </w:tcBorders>
            <w:vAlign w:val="center"/>
          </w:tcPr>
          <w:p w14:paraId="53046BEA" w14:textId="5766020E"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Max</w:t>
            </w:r>
          </w:p>
        </w:tc>
        <w:tc>
          <w:tcPr>
            <w:tcW w:w="1590" w:type="dxa"/>
            <w:tcBorders>
              <w:top w:val="nil"/>
              <w:left w:val="nil"/>
              <w:bottom w:val="single" w:sz="4" w:space="0" w:color="auto"/>
              <w:right w:val="nil"/>
            </w:tcBorders>
            <w:vAlign w:val="center"/>
          </w:tcPr>
          <w:p w14:paraId="4C92333B" w14:textId="0B1ABC7D"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0.3</w:t>
            </w:r>
          </w:p>
        </w:tc>
        <w:tc>
          <w:tcPr>
            <w:tcW w:w="1650" w:type="dxa"/>
            <w:tcBorders>
              <w:top w:val="nil"/>
              <w:left w:val="nil"/>
              <w:bottom w:val="single" w:sz="4" w:space="0" w:color="auto"/>
              <w:right w:val="nil"/>
            </w:tcBorders>
            <w:vAlign w:val="center"/>
          </w:tcPr>
          <w:p w14:paraId="4A1C89AB" w14:textId="7074F753"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18</w:t>
            </w:r>
          </w:p>
        </w:tc>
        <w:tc>
          <w:tcPr>
            <w:tcW w:w="1785" w:type="dxa"/>
            <w:tcBorders>
              <w:top w:val="nil"/>
              <w:left w:val="nil"/>
              <w:bottom w:val="single" w:sz="4" w:space="0" w:color="auto"/>
              <w:right w:val="nil"/>
            </w:tcBorders>
            <w:vAlign w:val="center"/>
          </w:tcPr>
          <w:p w14:paraId="1B59DC3C" w14:textId="45107799" w:rsidR="1C7D329A" w:rsidRPr="00AF0B9C" w:rsidRDefault="1C7D329A" w:rsidP="65215FB1">
            <w:pPr>
              <w:spacing w:after="120"/>
              <w:jc w:val="center"/>
              <w:rPr>
                <w:rFonts w:asciiTheme="minorHAnsi" w:hAnsiTheme="minorHAnsi" w:cstheme="minorHAnsi"/>
                <w:sz w:val="18"/>
                <w:szCs w:val="18"/>
                <w:lang w:val="en-GB"/>
              </w:rPr>
            </w:pPr>
            <w:r w:rsidRPr="00AF0B9C">
              <w:rPr>
                <w:rFonts w:asciiTheme="minorHAnsi" w:hAnsiTheme="minorHAnsi" w:cstheme="minorHAnsi"/>
                <w:sz w:val="18"/>
                <w:szCs w:val="18"/>
                <w:lang w:val="en-GB"/>
              </w:rPr>
              <w:t>18</w:t>
            </w:r>
          </w:p>
        </w:tc>
      </w:tr>
      <w:tr w:rsidR="008D543C" w14:paraId="79B35681" w14:textId="77777777" w:rsidTr="5937A937">
        <w:trPr>
          <w:jc w:val="center"/>
        </w:trPr>
        <w:tc>
          <w:tcPr>
            <w:tcW w:w="8877" w:type="dxa"/>
            <w:gridSpan w:val="5"/>
            <w:tcBorders>
              <w:top w:val="single" w:sz="4" w:space="0" w:color="auto"/>
              <w:left w:val="nil"/>
              <w:bottom w:val="nil"/>
              <w:right w:val="nil"/>
            </w:tcBorders>
            <w:vAlign w:val="center"/>
          </w:tcPr>
          <w:p w14:paraId="039B5909" w14:textId="7ABCB74C" w:rsidR="008D543C" w:rsidRPr="00AF0B9C" w:rsidRDefault="007D04E3" w:rsidP="007D04E3">
            <w:pPr>
              <w:spacing w:after="120"/>
              <w:jc w:val="left"/>
              <w:rPr>
                <w:rFonts w:asciiTheme="minorHAnsi" w:hAnsiTheme="minorHAnsi" w:cstheme="minorHAnsi"/>
                <w:sz w:val="18"/>
                <w:szCs w:val="18"/>
                <w:lang w:val="en-GB"/>
              </w:rPr>
            </w:pPr>
            <w:r>
              <w:rPr>
                <w:rFonts w:asciiTheme="minorHAnsi" w:hAnsiTheme="minorHAnsi" w:cstheme="minorHAnsi"/>
                <w:sz w:val="18"/>
                <w:szCs w:val="18"/>
                <w:lang w:val="en-GB"/>
              </w:rPr>
              <w:t>*</w:t>
            </w:r>
            <w:r w:rsidRPr="00AF0B9C">
              <w:rPr>
                <w:rFonts w:asciiTheme="minorHAnsi" w:hAnsiTheme="minorHAnsi" w:cstheme="minorHAnsi"/>
                <w:sz w:val="18"/>
                <w:szCs w:val="18"/>
                <w:lang w:val="en-GB"/>
              </w:rPr>
              <w:t xml:space="preserve"> </w:t>
            </w:r>
            <w:r>
              <w:rPr>
                <w:rFonts w:asciiTheme="minorHAnsi" w:hAnsiTheme="minorHAnsi" w:cstheme="minorHAnsi"/>
                <w:sz w:val="18"/>
                <w:szCs w:val="18"/>
                <w:lang w:val="en-GB"/>
              </w:rPr>
              <w:t>O</w:t>
            </w:r>
            <w:r w:rsidRPr="00AF0B9C">
              <w:rPr>
                <w:rFonts w:asciiTheme="minorHAnsi" w:hAnsiTheme="minorHAnsi" w:cstheme="minorHAnsi"/>
                <w:sz w:val="18"/>
                <w:szCs w:val="18"/>
                <w:lang w:val="en-GB"/>
              </w:rPr>
              <w:t>r as required in ECA zone</w:t>
            </w:r>
          </w:p>
        </w:tc>
      </w:tr>
    </w:tbl>
    <w:p w14:paraId="5740E9AA" w14:textId="3DE256E2" w:rsidR="65215FB1" w:rsidRDefault="65215FB1" w:rsidP="65215FB1">
      <w:pPr>
        <w:spacing w:line="360" w:lineRule="auto"/>
        <w:ind w:firstLine="720"/>
        <w:rPr>
          <w:rFonts w:ascii="Times New Roman" w:hAnsi="Times New Roman"/>
          <w:sz w:val="22"/>
          <w:szCs w:val="22"/>
          <w:lang w:val="en-GB"/>
        </w:rPr>
      </w:pPr>
    </w:p>
    <w:p w14:paraId="5473E7E8" w14:textId="44108BEE" w:rsidR="00BA28AF" w:rsidRDefault="00BA28AF" w:rsidP="002F7E75">
      <w:pPr>
        <w:pStyle w:val="Heading2"/>
      </w:pPr>
      <w:bookmarkStart w:id="23" w:name="_Toc84019452"/>
      <w:r>
        <w:t>Alternative Fuels</w:t>
      </w:r>
      <w:bookmarkEnd w:id="23"/>
    </w:p>
    <w:p w14:paraId="1FA2A874" w14:textId="29BACD07" w:rsidR="00BA28AF" w:rsidRPr="000D7D19" w:rsidRDefault="6170CE0A" w:rsidP="791B8135">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The discussion about</w:t>
      </w:r>
      <w:r w:rsidR="182BA598" w:rsidRPr="5937A937">
        <w:rPr>
          <w:rFonts w:asciiTheme="majorHAnsi" w:hAnsiTheme="majorHAnsi" w:cstheme="majorBidi"/>
          <w:sz w:val="22"/>
          <w:szCs w:val="22"/>
          <w:lang w:val="en-GB"/>
        </w:rPr>
        <w:t xml:space="preserve"> decarbonization </w:t>
      </w:r>
      <w:r w:rsidR="7EA680AF" w:rsidRPr="5937A937">
        <w:rPr>
          <w:rFonts w:asciiTheme="majorHAnsi" w:hAnsiTheme="majorHAnsi" w:cstheme="majorBidi"/>
          <w:sz w:val="22"/>
          <w:szCs w:val="22"/>
          <w:lang w:val="en-GB"/>
        </w:rPr>
        <w:t>put on</w:t>
      </w:r>
      <w:r w:rsidR="182BA598" w:rsidRPr="5937A937">
        <w:rPr>
          <w:rFonts w:asciiTheme="majorHAnsi" w:hAnsiTheme="majorHAnsi" w:cstheme="majorBidi"/>
          <w:sz w:val="22"/>
          <w:szCs w:val="22"/>
          <w:lang w:val="en-GB"/>
        </w:rPr>
        <w:t xml:space="preserve"> d</w:t>
      </w:r>
      <w:r w:rsidR="4783DE98" w:rsidRPr="5937A937">
        <w:rPr>
          <w:rFonts w:asciiTheme="majorHAnsi" w:hAnsiTheme="majorHAnsi" w:cstheme="majorBidi"/>
          <w:sz w:val="22"/>
          <w:szCs w:val="22"/>
          <w:lang w:val="en-GB"/>
        </w:rPr>
        <w:t xml:space="preserve">ebate </w:t>
      </w:r>
      <w:r w:rsidR="182BA598" w:rsidRPr="5937A937">
        <w:rPr>
          <w:rFonts w:asciiTheme="majorHAnsi" w:hAnsiTheme="majorHAnsi" w:cstheme="majorBidi"/>
          <w:sz w:val="22"/>
          <w:szCs w:val="22"/>
          <w:lang w:val="en-GB"/>
        </w:rPr>
        <w:t xml:space="preserve">the use of alternative energy carriers </w:t>
      </w:r>
      <w:r w:rsidR="4E441BDB" w:rsidRPr="5937A937">
        <w:rPr>
          <w:rFonts w:asciiTheme="majorHAnsi" w:hAnsiTheme="majorHAnsi" w:cstheme="majorBidi"/>
          <w:sz w:val="22"/>
          <w:szCs w:val="22"/>
          <w:lang w:val="en-GB"/>
        </w:rPr>
        <w:t>for</w:t>
      </w:r>
      <w:r w:rsidR="182BA598" w:rsidRPr="5937A937">
        <w:rPr>
          <w:rFonts w:asciiTheme="majorHAnsi" w:hAnsiTheme="majorHAnsi" w:cstheme="majorBidi"/>
          <w:sz w:val="22"/>
          <w:szCs w:val="22"/>
          <w:lang w:val="en-GB"/>
        </w:rPr>
        <w:t xml:space="preserve"> marine use. Among them</w:t>
      </w:r>
      <w:r w:rsidR="4E441BDB" w:rsidRPr="5937A937">
        <w:rPr>
          <w:rFonts w:asciiTheme="majorHAnsi" w:hAnsiTheme="majorHAnsi" w:cstheme="majorBidi"/>
          <w:sz w:val="22"/>
          <w:szCs w:val="22"/>
          <w:lang w:val="en-GB"/>
        </w:rPr>
        <w:t xml:space="preserve"> </w:t>
      </w:r>
      <w:r w:rsidR="182BA598" w:rsidRPr="5937A937">
        <w:rPr>
          <w:rFonts w:asciiTheme="majorHAnsi" w:hAnsiTheme="majorHAnsi" w:cstheme="majorBidi"/>
          <w:sz w:val="22"/>
          <w:szCs w:val="22"/>
          <w:lang w:val="en-GB"/>
        </w:rPr>
        <w:t>LNG</w:t>
      </w:r>
      <w:r w:rsidR="4A503B74" w:rsidRPr="5937A937">
        <w:rPr>
          <w:rFonts w:asciiTheme="majorHAnsi" w:hAnsiTheme="majorHAnsi" w:cstheme="majorBidi"/>
          <w:sz w:val="22"/>
          <w:szCs w:val="22"/>
          <w:lang w:val="en-GB"/>
        </w:rPr>
        <w:t xml:space="preserve">, </w:t>
      </w:r>
      <w:r w:rsidR="4BEFFF09" w:rsidRPr="5937A937">
        <w:rPr>
          <w:rFonts w:asciiTheme="majorHAnsi" w:hAnsiTheme="majorHAnsi" w:cstheme="majorBidi"/>
          <w:sz w:val="22"/>
          <w:szCs w:val="22"/>
          <w:lang w:val="en-GB"/>
        </w:rPr>
        <w:t>LPG</w:t>
      </w:r>
      <w:r w:rsidR="13544EB1" w:rsidRPr="5937A937">
        <w:rPr>
          <w:rFonts w:asciiTheme="majorHAnsi" w:hAnsiTheme="majorHAnsi" w:cstheme="majorBidi"/>
          <w:sz w:val="22"/>
          <w:szCs w:val="22"/>
          <w:lang w:val="en-GB"/>
        </w:rPr>
        <w:t>,</w:t>
      </w:r>
      <w:r w:rsidR="4BEFFF09" w:rsidRPr="5937A937">
        <w:rPr>
          <w:rFonts w:asciiTheme="majorHAnsi" w:hAnsiTheme="majorHAnsi" w:cstheme="majorBidi"/>
          <w:sz w:val="22"/>
          <w:szCs w:val="22"/>
          <w:lang w:val="en-GB"/>
        </w:rPr>
        <w:t xml:space="preserve"> </w:t>
      </w:r>
      <w:r w:rsidR="4A503B74" w:rsidRPr="5937A937">
        <w:rPr>
          <w:rFonts w:asciiTheme="majorHAnsi" w:hAnsiTheme="majorHAnsi" w:cstheme="majorBidi"/>
          <w:sz w:val="22"/>
          <w:szCs w:val="22"/>
          <w:lang w:val="en-GB"/>
        </w:rPr>
        <w:t>ammonia, hydrogen, methanol and biofuels</w:t>
      </w:r>
      <w:r w:rsidR="4E441BDB" w:rsidRPr="5937A937">
        <w:rPr>
          <w:rFonts w:asciiTheme="majorHAnsi" w:hAnsiTheme="majorHAnsi" w:cstheme="majorBidi"/>
          <w:sz w:val="22"/>
          <w:szCs w:val="22"/>
          <w:lang w:val="en-GB"/>
        </w:rPr>
        <w:t xml:space="preserve"> can be listed. Below </w:t>
      </w:r>
      <w:r w:rsidR="45B1FDBB" w:rsidRPr="5937A937">
        <w:rPr>
          <w:rFonts w:asciiTheme="majorHAnsi" w:hAnsiTheme="majorHAnsi" w:cstheme="majorBidi"/>
          <w:sz w:val="22"/>
          <w:szCs w:val="22"/>
          <w:lang w:val="en-GB"/>
        </w:rPr>
        <w:t>those fuels are</w:t>
      </w:r>
      <w:r w:rsidR="678508D7" w:rsidRPr="5937A937">
        <w:rPr>
          <w:rFonts w:asciiTheme="majorHAnsi" w:hAnsiTheme="majorHAnsi" w:cstheme="majorBidi"/>
          <w:sz w:val="22"/>
          <w:szCs w:val="22"/>
          <w:lang w:val="en-GB"/>
        </w:rPr>
        <w:t xml:space="preserve"> further discussed.</w:t>
      </w:r>
    </w:p>
    <w:p w14:paraId="4B7BC9E4" w14:textId="73202786" w:rsidR="00020333" w:rsidRDefault="007659BF" w:rsidP="00020333">
      <w:pPr>
        <w:spacing w:after="120" w:line="360" w:lineRule="auto"/>
        <w:rPr>
          <w:rFonts w:asciiTheme="majorHAnsi" w:hAnsiTheme="majorHAnsi" w:cstheme="majorBidi"/>
          <w:sz w:val="22"/>
          <w:szCs w:val="22"/>
          <w:lang w:val="en-GB"/>
        </w:rPr>
      </w:pPr>
      <w:r w:rsidRPr="000D7D19">
        <w:rPr>
          <w:rFonts w:asciiTheme="majorHAnsi" w:hAnsiTheme="majorHAnsi" w:cstheme="majorHAnsi"/>
          <w:sz w:val="22"/>
          <w:szCs w:val="22"/>
          <w:lang w:val="en-GB"/>
        </w:rPr>
        <w:tab/>
      </w:r>
      <w:r w:rsidR="43ED38DE" w:rsidRPr="791B8135">
        <w:rPr>
          <w:rFonts w:asciiTheme="majorHAnsi" w:hAnsiTheme="majorHAnsi" w:cstheme="majorBidi"/>
          <w:b/>
          <w:bCs/>
          <w:sz w:val="22"/>
          <w:szCs w:val="22"/>
          <w:lang w:val="en-GB"/>
        </w:rPr>
        <w:t>LNG</w:t>
      </w:r>
      <w:r w:rsidR="43ED38DE" w:rsidRPr="791B8135">
        <w:rPr>
          <w:rFonts w:asciiTheme="majorHAnsi" w:hAnsiTheme="majorHAnsi" w:cstheme="majorBidi"/>
          <w:sz w:val="22"/>
          <w:szCs w:val="22"/>
          <w:lang w:val="en-GB"/>
        </w:rPr>
        <w:t xml:space="preserve"> has been discussed as an </w:t>
      </w:r>
      <w:r w:rsidR="15425B57" w:rsidRPr="791B8135">
        <w:rPr>
          <w:rFonts w:asciiTheme="majorHAnsi" w:hAnsiTheme="majorHAnsi" w:cstheme="majorBidi"/>
          <w:sz w:val="22"/>
          <w:szCs w:val="22"/>
          <w:lang w:val="en-GB"/>
        </w:rPr>
        <w:t>early</w:t>
      </w:r>
      <w:r w:rsidR="43ED38DE" w:rsidRPr="791B8135">
        <w:rPr>
          <w:rFonts w:asciiTheme="majorHAnsi" w:hAnsiTheme="majorHAnsi" w:cstheme="majorBidi"/>
          <w:sz w:val="22"/>
          <w:szCs w:val="22"/>
          <w:lang w:val="en-GB"/>
        </w:rPr>
        <w:t xml:space="preserve"> alternative</w:t>
      </w:r>
      <w:r w:rsidR="15425B57" w:rsidRPr="791B8135">
        <w:rPr>
          <w:rFonts w:asciiTheme="majorHAnsi" w:hAnsiTheme="majorHAnsi" w:cstheme="majorBidi"/>
          <w:sz w:val="22"/>
          <w:szCs w:val="22"/>
          <w:lang w:val="en-GB"/>
        </w:rPr>
        <w:t xml:space="preserve"> to reduce </w:t>
      </w:r>
      <w:r w:rsidR="69F8775C" w:rsidRPr="791B8135">
        <w:rPr>
          <w:rFonts w:asciiTheme="majorHAnsi" w:hAnsiTheme="majorHAnsi" w:cstheme="majorBidi"/>
          <w:sz w:val="22"/>
          <w:szCs w:val="22"/>
          <w:lang w:val="en-GB"/>
        </w:rPr>
        <w:t xml:space="preserve">direct </w:t>
      </w:r>
      <w:r w:rsidR="15425B57" w:rsidRPr="791B8135">
        <w:rPr>
          <w:rFonts w:asciiTheme="majorHAnsi" w:hAnsiTheme="majorHAnsi" w:cstheme="majorBidi"/>
          <w:sz w:val="22"/>
          <w:szCs w:val="22"/>
          <w:lang w:val="en-GB"/>
        </w:rPr>
        <w:t>emissions</w:t>
      </w:r>
      <w:r w:rsidR="69F8775C" w:rsidRPr="791B8135">
        <w:rPr>
          <w:rFonts w:asciiTheme="majorHAnsi" w:hAnsiTheme="majorHAnsi" w:cstheme="majorBidi"/>
          <w:sz w:val="22"/>
          <w:szCs w:val="22"/>
          <w:lang w:val="en-GB"/>
        </w:rPr>
        <w:t xml:space="preserve"> from engines</w:t>
      </w:r>
      <w:r w:rsidR="15425B57" w:rsidRPr="791B8135">
        <w:rPr>
          <w:rFonts w:asciiTheme="majorHAnsi" w:hAnsiTheme="majorHAnsi" w:cstheme="majorBidi"/>
          <w:sz w:val="22"/>
          <w:szCs w:val="22"/>
          <w:lang w:val="en-GB"/>
        </w:rPr>
        <w:t xml:space="preserve">, </w:t>
      </w:r>
      <w:proofErr w:type="spellStart"/>
      <w:r w:rsidR="15425B57" w:rsidRPr="791B8135">
        <w:rPr>
          <w:rFonts w:asciiTheme="majorHAnsi" w:hAnsiTheme="majorHAnsi" w:cstheme="majorBidi"/>
          <w:sz w:val="22"/>
          <w:szCs w:val="22"/>
          <w:lang w:val="en-GB"/>
        </w:rPr>
        <w:t>e.g</w:t>
      </w:r>
      <w:proofErr w:type="spellEnd"/>
      <w:r w:rsidR="15425B57" w:rsidRPr="791B8135">
        <w:rPr>
          <w:rFonts w:asciiTheme="majorHAnsi" w:hAnsiTheme="majorHAnsi" w:cstheme="majorBidi"/>
          <w:sz w:val="22"/>
          <w:szCs w:val="22"/>
          <w:lang w:val="en-GB"/>
        </w:rPr>
        <w:t xml:space="preserve">, </w:t>
      </w:r>
      <w:proofErr w:type="spellStart"/>
      <w:r w:rsidR="15425B57" w:rsidRPr="791B8135">
        <w:rPr>
          <w:rFonts w:asciiTheme="majorHAnsi" w:hAnsiTheme="majorHAnsi" w:cstheme="majorBidi"/>
          <w:sz w:val="22"/>
          <w:szCs w:val="22"/>
          <w:lang w:val="en-GB"/>
        </w:rPr>
        <w:t>C</w:t>
      </w:r>
      <w:r w:rsidR="69F8775C" w:rsidRPr="791B8135">
        <w:rPr>
          <w:rFonts w:asciiTheme="majorHAnsi" w:hAnsiTheme="majorHAnsi" w:cstheme="majorBidi"/>
          <w:sz w:val="22"/>
          <w:szCs w:val="22"/>
          <w:lang w:val="en-GB"/>
        </w:rPr>
        <w:t>O</w:t>
      </w:r>
      <w:r w:rsidR="15425B57" w:rsidRPr="791B8135">
        <w:rPr>
          <w:rFonts w:asciiTheme="majorHAnsi" w:hAnsiTheme="majorHAnsi" w:cstheme="majorBidi"/>
          <w:sz w:val="22"/>
          <w:szCs w:val="22"/>
          <w:lang w:val="en-GB"/>
        </w:rPr>
        <w:t>x</w:t>
      </w:r>
      <w:proofErr w:type="spellEnd"/>
      <w:r w:rsidR="15425B57" w:rsidRPr="791B8135">
        <w:rPr>
          <w:rFonts w:asciiTheme="majorHAnsi" w:hAnsiTheme="majorHAnsi" w:cstheme="majorBidi"/>
          <w:sz w:val="22"/>
          <w:szCs w:val="22"/>
          <w:lang w:val="en-GB"/>
        </w:rPr>
        <w:t xml:space="preserve">, NOx, </w:t>
      </w:r>
      <w:proofErr w:type="spellStart"/>
      <w:r w:rsidR="15425B57" w:rsidRPr="791B8135">
        <w:rPr>
          <w:rFonts w:asciiTheme="majorHAnsi" w:hAnsiTheme="majorHAnsi" w:cstheme="majorBidi"/>
          <w:sz w:val="22"/>
          <w:szCs w:val="22"/>
          <w:lang w:val="en-GB"/>
        </w:rPr>
        <w:t>S</w:t>
      </w:r>
      <w:r w:rsidR="005B4BC3" w:rsidRPr="791B8135">
        <w:rPr>
          <w:rFonts w:asciiTheme="majorHAnsi" w:hAnsiTheme="majorHAnsi" w:cstheme="majorBidi"/>
          <w:sz w:val="22"/>
          <w:szCs w:val="22"/>
          <w:lang w:val="en-GB"/>
        </w:rPr>
        <w:t>O</w:t>
      </w:r>
      <w:r w:rsidR="15425B57" w:rsidRPr="791B8135">
        <w:rPr>
          <w:rFonts w:asciiTheme="majorHAnsi" w:hAnsiTheme="majorHAnsi" w:cstheme="majorBidi"/>
          <w:sz w:val="22"/>
          <w:szCs w:val="22"/>
          <w:lang w:val="en-GB"/>
        </w:rPr>
        <w:t>x</w:t>
      </w:r>
      <w:proofErr w:type="spellEnd"/>
      <w:r w:rsidR="74DE1A68" w:rsidRPr="791B8135">
        <w:rPr>
          <w:rFonts w:asciiTheme="majorHAnsi" w:hAnsiTheme="majorHAnsi" w:cstheme="majorBidi"/>
          <w:sz w:val="22"/>
          <w:szCs w:val="22"/>
          <w:lang w:val="en-GB"/>
        </w:rPr>
        <w:t>. P</w:t>
      </w:r>
      <w:r w:rsidR="15425B57" w:rsidRPr="791B8135">
        <w:rPr>
          <w:rFonts w:asciiTheme="majorHAnsi" w:hAnsiTheme="majorHAnsi" w:cstheme="majorBidi"/>
          <w:sz w:val="22"/>
          <w:szCs w:val="22"/>
          <w:lang w:val="en-GB"/>
        </w:rPr>
        <w:t xml:space="preserve">roduct, transport infrastructure and engine technology are readily available. </w:t>
      </w:r>
      <w:r w:rsidR="69F8775C" w:rsidRPr="791B8135">
        <w:rPr>
          <w:rFonts w:asciiTheme="majorHAnsi" w:hAnsiTheme="majorHAnsi" w:cstheme="majorBidi"/>
          <w:sz w:val="22"/>
          <w:szCs w:val="22"/>
          <w:lang w:val="en-GB"/>
        </w:rPr>
        <w:t>LNG consist</w:t>
      </w:r>
      <w:r w:rsidR="23EA0443" w:rsidRPr="791B8135">
        <w:rPr>
          <w:rFonts w:asciiTheme="majorHAnsi" w:hAnsiTheme="majorHAnsi" w:cstheme="majorBidi"/>
          <w:sz w:val="22"/>
          <w:szCs w:val="22"/>
          <w:lang w:val="en-GB"/>
        </w:rPr>
        <w:t>s</w:t>
      </w:r>
      <w:r w:rsidR="69F8775C" w:rsidRPr="791B8135">
        <w:rPr>
          <w:rFonts w:asciiTheme="majorHAnsi" w:hAnsiTheme="majorHAnsi" w:cstheme="majorBidi"/>
          <w:sz w:val="22"/>
          <w:szCs w:val="22"/>
          <w:lang w:val="en-GB"/>
        </w:rPr>
        <w:t xml:space="preserve"> of methane in its majority, </w:t>
      </w:r>
      <w:r w:rsidR="30BA3EB9" w:rsidRPr="791B8135">
        <w:rPr>
          <w:rFonts w:asciiTheme="majorHAnsi" w:hAnsiTheme="majorHAnsi" w:cstheme="majorBidi"/>
          <w:sz w:val="22"/>
          <w:szCs w:val="22"/>
          <w:lang w:val="en-GB"/>
        </w:rPr>
        <w:t>with a small fraction</w:t>
      </w:r>
      <w:r w:rsidR="69F8775C" w:rsidRPr="791B8135">
        <w:rPr>
          <w:rFonts w:asciiTheme="majorHAnsi" w:hAnsiTheme="majorHAnsi" w:cstheme="majorBidi"/>
          <w:sz w:val="22"/>
          <w:szCs w:val="22"/>
          <w:lang w:val="en-GB"/>
        </w:rPr>
        <w:t xml:space="preserve"> of nitrogen, ethane, propane and butane. </w:t>
      </w:r>
      <w:r w:rsidR="52C01F03" w:rsidRPr="791B8135">
        <w:rPr>
          <w:rFonts w:asciiTheme="majorHAnsi" w:hAnsiTheme="majorHAnsi" w:cstheme="majorBidi"/>
          <w:sz w:val="22"/>
          <w:szCs w:val="22"/>
          <w:lang w:val="en-GB"/>
        </w:rPr>
        <w:t xml:space="preserve"> </w:t>
      </w:r>
      <w:r w:rsidR="00963F36">
        <w:rPr>
          <w:rStyle w:val="normaltextrun"/>
          <w:rFonts w:cs="Calibri"/>
          <w:color w:val="1F1F1F"/>
          <w:sz w:val="22"/>
          <w:szCs w:val="22"/>
          <w:shd w:val="clear" w:color="auto" w:fill="FFFFFF"/>
          <w:lang w:val="en-GB"/>
        </w:rPr>
        <w:t>When cooled down to -160 ˚C, the gas is liquefied and reduces its volume, occupying 1/600</w:t>
      </w:r>
      <w:r w:rsidR="00963F36">
        <w:rPr>
          <w:rStyle w:val="normaltextrun"/>
          <w:rFonts w:cs="Calibri"/>
          <w:color w:val="1F1F1F"/>
          <w:sz w:val="17"/>
          <w:szCs w:val="17"/>
          <w:shd w:val="clear" w:color="auto" w:fill="FFFFFF"/>
          <w:vertAlign w:val="superscript"/>
          <w:lang w:val="en-GB"/>
        </w:rPr>
        <w:t>th</w:t>
      </w:r>
      <w:r w:rsidR="00963F36">
        <w:rPr>
          <w:rStyle w:val="normaltextrun"/>
          <w:rFonts w:cs="Calibri"/>
          <w:color w:val="1F1F1F"/>
          <w:sz w:val="22"/>
          <w:szCs w:val="22"/>
          <w:shd w:val="clear" w:color="auto" w:fill="FFFFFF"/>
          <w:lang w:val="en-GB"/>
        </w:rPr>
        <w:t> of its original space</w:t>
      </w:r>
      <w:r w:rsidR="69F8775C" w:rsidRPr="791B8135">
        <w:rPr>
          <w:rFonts w:asciiTheme="majorHAnsi" w:hAnsiTheme="majorHAnsi" w:cstheme="majorBidi"/>
          <w:sz w:val="22"/>
          <w:szCs w:val="22"/>
          <w:lang w:val="en-GB"/>
        </w:rPr>
        <w:t xml:space="preserve">. The liquefaction process usually </w:t>
      </w:r>
      <w:r w:rsidR="00121EAE">
        <w:rPr>
          <w:rFonts w:asciiTheme="majorHAnsi" w:hAnsiTheme="majorHAnsi" w:cstheme="majorBidi"/>
          <w:sz w:val="22"/>
          <w:szCs w:val="22"/>
          <w:lang w:val="en-GB"/>
        </w:rPr>
        <w:t>consumes</w:t>
      </w:r>
      <w:r w:rsidR="69F8775C"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 xml:space="preserve">8% to </w:t>
      </w:r>
      <w:r w:rsidR="69F8775C" w:rsidRPr="791B8135">
        <w:rPr>
          <w:rFonts w:asciiTheme="majorHAnsi" w:hAnsiTheme="majorHAnsi" w:cstheme="majorBidi"/>
          <w:sz w:val="22"/>
          <w:szCs w:val="22"/>
          <w:lang w:val="en-GB"/>
        </w:rPr>
        <w:t>25% of the</w:t>
      </w:r>
      <w:r w:rsidR="56F8E294" w:rsidRPr="791B8135">
        <w:rPr>
          <w:rFonts w:asciiTheme="majorHAnsi" w:hAnsiTheme="majorHAnsi" w:cstheme="majorBidi"/>
          <w:sz w:val="22"/>
          <w:szCs w:val="22"/>
          <w:lang w:val="en-GB"/>
        </w:rPr>
        <w:t xml:space="preserve"> </w:t>
      </w:r>
      <w:r w:rsidR="69F8775C" w:rsidRPr="791B8135">
        <w:rPr>
          <w:rFonts w:asciiTheme="majorHAnsi" w:hAnsiTheme="majorHAnsi" w:cstheme="majorBidi"/>
          <w:sz w:val="22"/>
          <w:szCs w:val="22"/>
          <w:lang w:val="en-GB"/>
        </w:rPr>
        <w:t xml:space="preserve">energy </w:t>
      </w:r>
      <w:r w:rsidR="00121EAE">
        <w:rPr>
          <w:rFonts w:asciiTheme="majorHAnsi" w:hAnsiTheme="majorHAnsi" w:cstheme="majorBidi"/>
          <w:sz w:val="22"/>
          <w:szCs w:val="22"/>
          <w:lang w:val="en-GB"/>
        </w:rPr>
        <w:t xml:space="preserve"> used to produce </w:t>
      </w:r>
      <w:r w:rsidR="69F8775C" w:rsidRPr="791B8135">
        <w:rPr>
          <w:rFonts w:asciiTheme="majorHAnsi" w:hAnsiTheme="majorHAnsi" w:cstheme="majorBidi"/>
          <w:sz w:val="22"/>
          <w:szCs w:val="22"/>
          <w:lang w:val="en-GB"/>
        </w:rPr>
        <w:t>LNG</w:t>
      </w:r>
      <w:r w:rsidR="4B0AA93F" w:rsidRPr="791B8135">
        <w:rPr>
          <w:rFonts w:asciiTheme="majorHAnsi" w:hAnsiTheme="majorHAnsi" w:cstheme="majorBidi"/>
          <w:sz w:val="22"/>
          <w:szCs w:val="22"/>
          <w:lang w:val="en-GB"/>
        </w:rPr>
        <w:t xml:space="preserve"> </w:t>
      </w:r>
      <w:r w:rsidR="005525CB" w:rsidRPr="791B8135">
        <w:rPr>
          <w:rFonts w:asciiTheme="majorHAnsi" w:hAnsiTheme="majorHAnsi" w:cstheme="majorBidi"/>
          <w:sz w:val="22"/>
          <w:szCs w:val="22"/>
          <w:lang w:val="en-GB"/>
        </w:rPr>
        <w:fldChar w:fldCharType="begin" w:fldLock="1"/>
      </w:r>
      <w:r w:rsidR="00C72DA0" w:rsidRPr="791B8135">
        <w:rPr>
          <w:rFonts w:asciiTheme="majorHAnsi" w:hAnsiTheme="majorHAnsi" w:cstheme="majorBidi"/>
          <w:sz w:val="22"/>
          <w:szCs w:val="22"/>
          <w:lang w:val="en-GB"/>
        </w:rPr>
        <w:instrText>ADDIN CSL_CITATION {"citationItems":[{"id":"ITEM-1","itemData":{"URL":"https://www.oiltanking.com/en/news-info/glossary/details/term/lng-liquefied-natural-gas.html","accessed":{"date-parts":[["2021","9","20"]]},"author":[{"dropping-particle":"","family":"Oiltanking GmbH","given":"","non-dropping-particle":"","parse-names":false,"suffix":""}],"id":"ITEM-1","issued":{"date-parts":[["0"]]},"title":"Important Terms from A to Z","type":"webpage"},"uris":["http://www.mendeley.com/documents/?uuid=af4dbd65-d916-4cdd-ab29-21ac7ff36c99"]},{"id":"ITEM-2","itemData":{"DOI":"10.1016/j.enconman.2018.12.080","ISSN":"01968904","abstract":"International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Management","id":"ITEM-2","issue":"December 2018","issued":{"date-parts":[["2019"]]},"page":"72-88","title":"How to decarbonise international shipping: Options for fuels, technologies and policies","type":"article-journal","volume":"182"},"uris":["http://www.mendeley.com/documents/?uuid=96546af7-7da1-41da-8ebe-86d293776d81"]}],"mendeley":{"formattedCitation":"(Balcombe et al., 2019; Oiltanking GmbH, n.d.)","plainTextFormattedCitation":"(Balcombe et al., 2019; Oiltanking GmbH, n.d.)","previouslyFormattedCitation":"(Balcombe et al., 2019; Oiltanking GmbH, n.d.)"},"properties":{"noteIndex":0},"schema":"https://github.com/citation-style-language/schema/raw/master/csl-citation.json"}</w:instrText>
      </w:r>
      <w:r w:rsidR="005525CB" w:rsidRPr="791B8135">
        <w:rPr>
          <w:rFonts w:asciiTheme="majorHAnsi" w:hAnsiTheme="majorHAnsi" w:cstheme="majorBidi"/>
          <w:sz w:val="22"/>
          <w:szCs w:val="22"/>
          <w:lang w:val="en-GB"/>
        </w:rPr>
        <w:fldChar w:fldCharType="separate"/>
      </w:r>
      <w:r w:rsidR="4B0AA93F" w:rsidRPr="791B8135">
        <w:rPr>
          <w:rFonts w:asciiTheme="majorHAnsi" w:hAnsiTheme="majorHAnsi" w:cstheme="majorBidi"/>
          <w:noProof/>
          <w:sz w:val="22"/>
          <w:szCs w:val="22"/>
          <w:lang w:val="en-GB"/>
        </w:rPr>
        <w:t>(Balcombe et al., 2019; Oiltanking GmbH, n.d.)</w:t>
      </w:r>
      <w:r w:rsidR="005525CB" w:rsidRPr="791B8135">
        <w:rPr>
          <w:rFonts w:asciiTheme="majorHAnsi" w:hAnsiTheme="majorHAnsi" w:cstheme="majorBidi"/>
          <w:sz w:val="22"/>
          <w:szCs w:val="22"/>
          <w:lang w:val="en-GB"/>
        </w:rPr>
        <w:fldChar w:fldCharType="end"/>
      </w:r>
      <w:r w:rsidR="69F8775C" w:rsidRPr="791B8135">
        <w:rPr>
          <w:rFonts w:asciiTheme="majorHAnsi" w:hAnsiTheme="majorHAnsi" w:cstheme="majorBidi"/>
          <w:sz w:val="22"/>
          <w:szCs w:val="22"/>
          <w:lang w:val="en-GB"/>
        </w:rPr>
        <w:t>.</w:t>
      </w:r>
      <w:r w:rsidR="6B7E2614" w:rsidRPr="791B8135">
        <w:rPr>
          <w:rFonts w:asciiTheme="majorHAnsi" w:hAnsiTheme="majorHAnsi" w:cstheme="majorBidi"/>
          <w:sz w:val="22"/>
          <w:szCs w:val="22"/>
          <w:lang w:val="en-GB"/>
        </w:rPr>
        <w:t xml:space="preserve"> </w:t>
      </w:r>
      <w:r w:rsidR="4A532B7D" w:rsidRPr="791B8135">
        <w:rPr>
          <w:rFonts w:asciiTheme="majorHAnsi" w:hAnsiTheme="majorHAnsi" w:cstheme="majorBidi"/>
          <w:sz w:val="22"/>
          <w:szCs w:val="22"/>
          <w:lang w:val="en-GB"/>
        </w:rPr>
        <w:t>LNG</w:t>
      </w:r>
      <w:r w:rsidR="6B7E2614" w:rsidRPr="791B8135">
        <w:rPr>
          <w:rFonts w:asciiTheme="majorHAnsi" w:hAnsiTheme="majorHAnsi" w:cstheme="majorBidi"/>
          <w:sz w:val="22"/>
          <w:szCs w:val="22"/>
          <w:lang w:val="en-GB"/>
        </w:rPr>
        <w:t xml:space="preserve"> can </w:t>
      </w:r>
      <w:r w:rsidR="7348B0EF" w:rsidRPr="791B8135">
        <w:rPr>
          <w:rFonts w:asciiTheme="majorHAnsi" w:hAnsiTheme="majorHAnsi" w:cstheme="majorBidi"/>
          <w:sz w:val="22"/>
          <w:szCs w:val="22"/>
          <w:lang w:val="en-GB"/>
        </w:rPr>
        <w:t>be used</w:t>
      </w:r>
      <w:r w:rsidR="6B7E2614" w:rsidRPr="791B8135">
        <w:rPr>
          <w:rFonts w:asciiTheme="majorHAnsi" w:hAnsiTheme="majorHAnsi" w:cstheme="majorBidi"/>
          <w:sz w:val="22"/>
          <w:szCs w:val="22"/>
          <w:lang w:val="en-GB"/>
        </w:rPr>
        <w:t xml:space="preserve"> </w:t>
      </w:r>
      <w:r w:rsidR="4AE5DCBC" w:rsidRPr="791B8135">
        <w:rPr>
          <w:rFonts w:asciiTheme="majorHAnsi" w:hAnsiTheme="majorHAnsi" w:cstheme="majorBidi"/>
          <w:sz w:val="22"/>
          <w:szCs w:val="22"/>
          <w:lang w:val="en-GB"/>
        </w:rPr>
        <w:t xml:space="preserve">namely </w:t>
      </w:r>
      <w:r w:rsidR="6B7E2614" w:rsidRPr="791B8135">
        <w:rPr>
          <w:rFonts w:asciiTheme="majorHAnsi" w:hAnsiTheme="majorHAnsi" w:cstheme="majorBidi"/>
          <w:sz w:val="22"/>
          <w:szCs w:val="22"/>
          <w:lang w:val="en-GB"/>
        </w:rPr>
        <w:t>lean-burn spark ignition, 2 and 4 st</w:t>
      </w:r>
      <w:r w:rsidR="50C15610" w:rsidRPr="791B8135">
        <w:rPr>
          <w:rFonts w:asciiTheme="majorHAnsi" w:hAnsiTheme="majorHAnsi" w:cstheme="majorBidi"/>
          <w:sz w:val="22"/>
          <w:szCs w:val="22"/>
          <w:lang w:val="en-GB"/>
        </w:rPr>
        <w:t>r</w:t>
      </w:r>
      <w:r w:rsidR="6B7E2614" w:rsidRPr="791B8135">
        <w:rPr>
          <w:rFonts w:asciiTheme="majorHAnsi" w:hAnsiTheme="majorHAnsi" w:cstheme="majorBidi"/>
          <w:sz w:val="22"/>
          <w:szCs w:val="22"/>
          <w:lang w:val="en-GB"/>
        </w:rPr>
        <w:t xml:space="preserve">okes low pressure dual-fuel, </w:t>
      </w:r>
      <w:r w:rsidR="4AE5DCBC" w:rsidRPr="791B8135">
        <w:rPr>
          <w:rFonts w:asciiTheme="majorHAnsi" w:hAnsiTheme="majorHAnsi" w:cstheme="majorBidi"/>
          <w:sz w:val="22"/>
          <w:szCs w:val="22"/>
          <w:lang w:val="en-GB"/>
        </w:rPr>
        <w:t xml:space="preserve">and </w:t>
      </w:r>
      <w:r w:rsidR="01C5D94B" w:rsidRPr="791B8135">
        <w:rPr>
          <w:rFonts w:asciiTheme="majorHAnsi" w:hAnsiTheme="majorHAnsi" w:cstheme="majorBidi"/>
          <w:sz w:val="22"/>
          <w:szCs w:val="22"/>
          <w:lang w:val="en-GB"/>
        </w:rPr>
        <w:t>high-pressure</w:t>
      </w:r>
      <w:r w:rsidR="6B7E2614" w:rsidRPr="791B8135">
        <w:rPr>
          <w:rFonts w:asciiTheme="majorHAnsi" w:hAnsiTheme="majorHAnsi" w:cstheme="majorBidi"/>
          <w:sz w:val="22"/>
          <w:szCs w:val="22"/>
          <w:lang w:val="en-GB"/>
        </w:rPr>
        <w:t xml:space="preserve"> dual-fuel and gas turbine</w:t>
      </w:r>
      <w:r w:rsidR="40CF2A36" w:rsidRPr="791B8135">
        <w:rPr>
          <w:rFonts w:asciiTheme="majorHAnsi" w:hAnsiTheme="majorHAnsi" w:cstheme="majorBidi"/>
          <w:sz w:val="22"/>
          <w:szCs w:val="22"/>
          <w:lang w:val="en-GB"/>
        </w:rPr>
        <w:t>.</w:t>
      </w:r>
      <w:r w:rsidR="04F018E5"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 xml:space="preserve">Dual-fuel engines have been used for the past 40 years by LNG </w:t>
      </w:r>
      <w:r w:rsidR="3E528D59" w:rsidRPr="791B8135">
        <w:rPr>
          <w:rFonts w:asciiTheme="majorHAnsi" w:hAnsiTheme="majorHAnsi" w:cstheme="majorBidi"/>
          <w:sz w:val="22"/>
          <w:szCs w:val="22"/>
          <w:lang w:val="en-GB"/>
        </w:rPr>
        <w:t>carriers</w:t>
      </w:r>
      <w:r w:rsidR="2F7258BB" w:rsidRPr="791B8135">
        <w:rPr>
          <w:rFonts w:asciiTheme="majorHAnsi" w:hAnsiTheme="majorHAnsi" w:cstheme="majorBidi"/>
          <w:sz w:val="22"/>
          <w:szCs w:val="22"/>
          <w:lang w:val="en-GB"/>
        </w:rPr>
        <w:t>. I was</w:t>
      </w:r>
      <w:r w:rsidR="40CF2A36" w:rsidRPr="791B8135">
        <w:rPr>
          <w:rFonts w:asciiTheme="majorHAnsi" w:hAnsiTheme="majorHAnsi" w:cstheme="majorBidi"/>
          <w:sz w:val="22"/>
          <w:szCs w:val="22"/>
          <w:lang w:val="en-GB"/>
        </w:rPr>
        <w:t xml:space="preserve"> the first dedicated engine being constructed in 2000</w:t>
      </w:r>
      <w:r w:rsidR="04F018E5" w:rsidRPr="791B8135">
        <w:rPr>
          <w:rFonts w:asciiTheme="majorHAnsi" w:hAnsiTheme="majorHAnsi" w:cstheme="majorBidi"/>
          <w:sz w:val="22"/>
          <w:szCs w:val="22"/>
          <w:lang w:val="en-GB"/>
        </w:rPr>
        <w:t>.</w:t>
      </w:r>
      <w:r w:rsidR="6B7E2614"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 xml:space="preserve">Although LNG </w:t>
      </w:r>
      <w:r w:rsidR="277E3315" w:rsidRPr="791B8135">
        <w:rPr>
          <w:rFonts w:asciiTheme="majorHAnsi" w:hAnsiTheme="majorHAnsi" w:cstheme="majorBidi"/>
          <w:sz w:val="22"/>
          <w:szCs w:val="22"/>
          <w:lang w:val="en-GB"/>
        </w:rPr>
        <w:t>technology benefit</w:t>
      </w:r>
      <w:r w:rsidR="135CCA84" w:rsidRPr="791B8135">
        <w:rPr>
          <w:rFonts w:asciiTheme="majorHAnsi" w:hAnsiTheme="majorHAnsi" w:cstheme="majorBidi"/>
          <w:sz w:val="22"/>
          <w:szCs w:val="22"/>
          <w:lang w:val="en-GB"/>
        </w:rPr>
        <w:t>s</w:t>
      </w:r>
      <w:r w:rsidR="277E3315" w:rsidRPr="791B8135">
        <w:rPr>
          <w:rFonts w:asciiTheme="majorHAnsi" w:hAnsiTheme="majorHAnsi" w:cstheme="majorBidi"/>
          <w:sz w:val="22"/>
          <w:szCs w:val="22"/>
          <w:lang w:val="en-GB"/>
        </w:rPr>
        <w:t xml:space="preserve"> by lower </w:t>
      </w:r>
      <w:r w:rsidR="2B43174F" w:rsidRPr="791B8135">
        <w:rPr>
          <w:rFonts w:asciiTheme="majorHAnsi" w:hAnsiTheme="majorHAnsi" w:cstheme="majorBidi"/>
          <w:sz w:val="22"/>
          <w:szCs w:val="22"/>
          <w:lang w:val="en-GB"/>
        </w:rPr>
        <w:t>tank to wake</w:t>
      </w:r>
      <w:r w:rsidR="40CF2A36" w:rsidRPr="791B8135">
        <w:rPr>
          <w:rFonts w:asciiTheme="majorHAnsi" w:hAnsiTheme="majorHAnsi" w:cstheme="majorBidi"/>
          <w:sz w:val="22"/>
          <w:szCs w:val="22"/>
          <w:lang w:val="en-GB"/>
        </w:rPr>
        <w:t xml:space="preserve"> emissions</w:t>
      </w:r>
      <w:r w:rsidR="277E3315" w:rsidRPr="791B8135">
        <w:rPr>
          <w:rFonts w:asciiTheme="majorHAnsi" w:hAnsiTheme="majorHAnsi" w:cstheme="majorBidi"/>
          <w:sz w:val="22"/>
          <w:szCs w:val="22"/>
          <w:lang w:val="en-GB"/>
        </w:rPr>
        <w:t xml:space="preserve">, </w:t>
      </w:r>
      <w:r w:rsidR="40CF2A36" w:rsidRPr="791B8135">
        <w:rPr>
          <w:rFonts w:asciiTheme="majorHAnsi" w:hAnsiTheme="majorHAnsi" w:cstheme="majorBidi"/>
          <w:sz w:val="22"/>
          <w:szCs w:val="22"/>
          <w:lang w:val="en-GB"/>
        </w:rPr>
        <w:t>20% - 30 %</w:t>
      </w:r>
      <w:r w:rsidR="277E3315" w:rsidRPr="791B8135">
        <w:rPr>
          <w:rFonts w:asciiTheme="majorHAnsi" w:hAnsiTheme="majorHAnsi" w:cstheme="majorBidi"/>
          <w:sz w:val="22"/>
          <w:szCs w:val="22"/>
          <w:lang w:val="en-GB"/>
        </w:rPr>
        <w:t xml:space="preserve"> reduction in comparison with liquid fossil fuels, the energy consumed during upstream </w:t>
      </w:r>
      <w:r w:rsidR="41B83420" w:rsidRPr="791B8135">
        <w:rPr>
          <w:rFonts w:asciiTheme="majorHAnsi" w:hAnsiTheme="majorHAnsi" w:cstheme="majorBidi"/>
          <w:sz w:val="22"/>
          <w:szCs w:val="22"/>
          <w:lang w:val="en-GB"/>
        </w:rPr>
        <w:t>has a negative impact on</w:t>
      </w:r>
      <w:r w:rsidR="277E3315" w:rsidRPr="791B8135">
        <w:rPr>
          <w:rFonts w:asciiTheme="majorHAnsi" w:hAnsiTheme="majorHAnsi" w:cstheme="majorBidi"/>
          <w:sz w:val="22"/>
          <w:szCs w:val="22"/>
          <w:lang w:val="en-GB"/>
        </w:rPr>
        <w:t xml:space="preserve"> the overall emissions</w:t>
      </w:r>
      <w:r w:rsidR="00882970">
        <w:rPr>
          <w:rFonts w:asciiTheme="majorHAnsi" w:hAnsiTheme="majorHAnsi" w:cstheme="majorBidi"/>
          <w:sz w:val="22"/>
          <w:szCs w:val="22"/>
          <w:lang w:val="en-GB"/>
        </w:rPr>
        <w:t xml:space="preserve"> </w:t>
      </w:r>
      <w:r w:rsidR="00882970" w:rsidRPr="791B8135">
        <w:rPr>
          <w:rFonts w:asciiTheme="majorHAnsi" w:hAnsiTheme="majorHAnsi" w:cstheme="majorBidi"/>
          <w:sz w:val="22"/>
          <w:szCs w:val="22"/>
          <w:lang w:val="en-GB"/>
        </w:rPr>
        <w:fldChar w:fldCharType="begin" w:fldLock="1"/>
      </w:r>
      <w:r w:rsidR="00882970" w:rsidRPr="791B8135">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882970" w:rsidRPr="791B8135">
        <w:rPr>
          <w:rFonts w:asciiTheme="majorHAnsi" w:hAnsiTheme="majorHAnsi" w:cstheme="majorBidi"/>
          <w:sz w:val="22"/>
          <w:szCs w:val="22"/>
          <w:lang w:val="en-GB"/>
        </w:rPr>
        <w:fldChar w:fldCharType="separate"/>
      </w:r>
      <w:r w:rsidR="00882970" w:rsidRPr="791B8135">
        <w:rPr>
          <w:rFonts w:asciiTheme="majorHAnsi" w:hAnsiTheme="majorHAnsi" w:cstheme="majorBidi"/>
          <w:noProof/>
          <w:sz w:val="22"/>
          <w:szCs w:val="22"/>
          <w:lang w:val="en-GB"/>
        </w:rPr>
        <w:t>(Balcombe et al., 2019)</w:t>
      </w:r>
      <w:r w:rsidR="00882970" w:rsidRPr="791B8135">
        <w:rPr>
          <w:rFonts w:asciiTheme="majorHAnsi" w:hAnsiTheme="majorHAnsi" w:cstheme="majorBidi"/>
          <w:sz w:val="22"/>
          <w:szCs w:val="22"/>
          <w:lang w:val="en-GB"/>
        </w:rPr>
        <w:fldChar w:fldCharType="end"/>
      </w:r>
      <w:r w:rsidR="00020333">
        <w:rPr>
          <w:rFonts w:asciiTheme="majorHAnsi" w:hAnsiTheme="majorHAnsi" w:cstheme="majorBidi"/>
          <w:sz w:val="22"/>
          <w:szCs w:val="22"/>
          <w:lang w:val="en-GB"/>
        </w:rPr>
        <w:t xml:space="preserve"> Moreover, there is the downside of upstream methane leakage and downstream methane slip from LNG</w:t>
      </w:r>
      <w:r w:rsidR="00020333" w:rsidRPr="791B8135">
        <w:rPr>
          <w:rFonts w:asciiTheme="majorHAnsi" w:hAnsiTheme="majorHAnsi" w:cstheme="majorBidi"/>
          <w:sz w:val="22"/>
          <w:szCs w:val="22"/>
          <w:lang w:val="en-GB"/>
        </w:rPr>
        <w:t xml:space="preserve">. </w:t>
      </w:r>
      <w:r w:rsidR="00020333">
        <w:rPr>
          <w:rFonts w:asciiTheme="majorHAnsi" w:hAnsiTheme="majorHAnsi" w:cstheme="majorBidi"/>
          <w:sz w:val="22"/>
          <w:szCs w:val="22"/>
          <w:lang w:val="en-GB"/>
        </w:rPr>
        <w:t>When this slip emission are accounted in the life cycle (</w:t>
      </w:r>
      <w:r w:rsidR="00020333" w:rsidRPr="791B8135">
        <w:rPr>
          <w:rFonts w:asciiTheme="majorHAnsi" w:hAnsiTheme="majorHAnsi" w:cstheme="majorBidi"/>
          <w:sz w:val="22"/>
          <w:szCs w:val="22"/>
          <w:lang w:val="en-GB"/>
        </w:rPr>
        <w:t>well-to-wake emissions</w:t>
      </w:r>
      <w:r w:rsidR="00020333">
        <w:rPr>
          <w:rFonts w:asciiTheme="majorHAnsi" w:hAnsiTheme="majorHAnsi" w:cstheme="majorBidi"/>
          <w:sz w:val="22"/>
          <w:szCs w:val="22"/>
          <w:lang w:val="en-GB"/>
        </w:rPr>
        <w:t xml:space="preserve">), the emissions result higher than when using MGO, depending on the engine the increment could range from 17 % to 62% </w:t>
      </w:r>
      <w:r w:rsidR="00020333">
        <w:rPr>
          <w:rFonts w:asciiTheme="majorHAnsi" w:hAnsiTheme="majorHAnsi" w:cstheme="majorBidi"/>
          <w:sz w:val="22"/>
          <w:szCs w:val="22"/>
          <w:lang w:val="en-GB"/>
        </w:rPr>
        <w:fldChar w:fldCharType="begin" w:fldLock="1"/>
      </w:r>
      <w:r w:rsidR="003500DA">
        <w:rPr>
          <w:rFonts w:asciiTheme="majorHAnsi" w:hAnsiTheme="majorHAnsi" w:cstheme="majorBidi"/>
          <w:sz w:val="22"/>
          <w:szCs w:val="22"/>
          <w:lang w:val="en-GB"/>
        </w:rPr>
        <w:instrText>ADDIN CSL_CITATION {"citationItems":[{"id":"ITEM-1","itemData":{"author":[{"dropping-particle":"","family":"Pavlenko","given":"Authors Nikita","non-dropping-particle":"","parse-names":false,"suffix":""},{"dropping-particle":"","family":"Comer","given":"Bryan","non-dropping-particle":"","parse-names":false,"suffix":""},{"dropping-particle":"","family":"Zhou","given":"Yuanrong","non-dropping-particle":"","parse-names":false,"suffix":""},{"dropping-particle":"","family":"Clark","given":"Nigel","non-dropping-particle":"","parse-names":false,"suffix":""},{"dropping-particle":"","family":"Rutherford","given":"Dan","non-dropping-particle":"","parse-names":false,"suffix":""}],"id":"ITEM-1","issue":"January","issued":{"date-parts":[["2020"]]},"title":"The climate implications of using LNG as a marine fuel","type":"article-journal"},"uris":["http://www.mendeley.com/documents/?uuid=4935b8aa-fbec-4a26-b961-f8001214862b"]}],"mendeley":{"formattedCitation":"(Pavlenko et al., 2020)","plainTextFormattedCitation":"(Pavlenko et al., 2020)","previouslyFormattedCitation":"(Pavlenko et al., 2020)"},"properties":{"noteIndex":0},"schema":"https://github.com/citation-style-language/schema/raw/master/csl-citation.json"}</w:instrText>
      </w:r>
      <w:r w:rsidR="00020333">
        <w:rPr>
          <w:rFonts w:asciiTheme="majorHAnsi" w:hAnsiTheme="majorHAnsi" w:cstheme="majorBidi"/>
          <w:sz w:val="22"/>
          <w:szCs w:val="22"/>
          <w:lang w:val="en-GB"/>
        </w:rPr>
        <w:fldChar w:fldCharType="separate"/>
      </w:r>
      <w:r w:rsidR="00020333" w:rsidRPr="00882970">
        <w:rPr>
          <w:rFonts w:asciiTheme="majorHAnsi" w:hAnsiTheme="majorHAnsi" w:cstheme="majorBidi"/>
          <w:noProof/>
          <w:sz w:val="22"/>
          <w:szCs w:val="22"/>
          <w:lang w:val="en-GB"/>
        </w:rPr>
        <w:t>(Pavlenko et al., 2020)</w:t>
      </w:r>
      <w:r w:rsidR="00020333">
        <w:rPr>
          <w:rFonts w:asciiTheme="majorHAnsi" w:hAnsiTheme="majorHAnsi" w:cstheme="majorBidi"/>
          <w:sz w:val="22"/>
          <w:szCs w:val="22"/>
          <w:lang w:val="en-GB"/>
        </w:rPr>
        <w:fldChar w:fldCharType="end"/>
      </w:r>
      <w:r w:rsidR="00020333">
        <w:rPr>
          <w:rFonts w:asciiTheme="majorHAnsi" w:hAnsiTheme="majorHAnsi" w:cstheme="majorBidi"/>
          <w:sz w:val="22"/>
          <w:szCs w:val="22"/>
          <w:lang w:val="en-GB"/>
        </w:rPr>
        <w:t xml:space="preserve"> </w:t>
      </w:r>
    </w:p>
    <w:p w14:paraId="2121A01E" w14:textId="67CA96C7" w:rsidR="00D377B1" w:rsidRPr="000D7D19" w:rsidRDefault="277E3315" w:rsidP="00E37C84">
      <w:pPr>
        <w:spacing w:after="120" w:line="360" w:lineRule="auto"/>
        <w:ind w:firstLine="720"/>
        <w:rPr>
          <w:szCs w:val="21"/>
          <w:lang w:val="en-GB"/>
        </w:rPr>
      </w:pPr>
      <w:r w:rsidRPr="791B8135">
        <w:rPr>
          <w:rFonts w:asciiTheme="majorHAnsi" w:hAnsiTheme="majorHAnsi" w:cstheme="majorBidi"/>
          <w:sz w:val="22"/>
          <w:szCs w:val="22"/>
          <w:lang w:val="en-GB"/>
        </w:rPr>
        <w:t xml:space="preserve"> </w:t>
      </w:r>
      <w:r w:rsidRPr="59587566">
        <w:rPr>
          <w:rFonts w:asciiTheme="majorHAnsi" w:hAnsiTheme="majorHAnsi" w:cstheme="majorBidi"/>
          <w:b/>
          <w:bCs/>
          <w:sz w:val="22"/>
          <w:szCs w:val="22"/>
          <w:lang w:val="en-GB"/>
        </w:rPr>
        <w:t>Bio-LNG</w:t>
      </w:r>
      <w:r w:rsidRPr="59587566">
        <w:rPr>
          <w:rFonts w:asciiTheme="majorHAnsi" w:hAnsiTheme="majorHAnsi" w:cstheme="majorBidi"/>
          <w:sz w:val="22"/>
          <w:szCs w:val="22"/>
          <w:lang w:val="en-GB"/>
        </w:rPr>
        <w:t xml:space="preserve"> could be an alternative to fossil LNG</w:t>
      </w:r>
      <w:r w:rsidR="4D6FA5B0" w:rsidRPr="59587566">
        <w:rPr>
          <w:rFonts w:asciiTheme="majorHAnsi" w:hAnsiTheme="majorHAnsi" w:cstheme="majorBidi"/>
          <w:sz w:val="22"/>
          <w:szCs w:val="22"/>
          <w:lang w:val="en-GB"/>
        </w:rPr>
        <w:t xml:space="preserve">, reducing overall emission to less than half </w:t>
      </w:r>
      <w:r w:rsidR="5B0A515A" w:rsidRPr="59587566">
        <w:rPr>
          <w:rFonts w:asciiTheme="majorHAnsi" w:hAnsiTheme="majorHAnsi" w:cstheme="majorBidi"/>
          <w:sz w:val="22"/>
          <w:szCs w:val="22"/>
          <w:lang w:val="en-GB"/>
        </w:rPr>
        <w:t>compare with its</w:t>
      </w:r>
      <w:r w:rsidR="4D6FA5B0" w:rsidRPr="59587566">
        <w:rPr>
          <w:rFonts w:asciiTheme="majorHAnsi" w:hAnsiTheme="majorHAnsi" w:cstheme="majorBidi"/>
          <w:sz w:val="22"/>
          <w:szCs w:val="22"/>
          <w:lang w:val="en-GB"/>
        </w:rPr>
        <w:t xml:space="preserve"> fossil </w:t>
      </w:r>
      <w:r w:rsidR="5B0A515A" w:rsidRPr="59587566">
        <w:rPr>
          <w:rFonts w:asciiTheme="majorHAnsi" w:hAnsiTheme="majorHAnsi" w:cstheme="majorBidi"/>
          <w:sz w:val="22"/>
          <w:szCs w:val="22"/>
          <w:lang w:val="en-GB"/>
        </w:rPr>
        <w:t xml:space="preserve">equivalent </w:t>
      </w:r>
      <w:r w:rsidR="005260B5" w:rsidRPr="59587566">
        <w:rPr>
          <w:rFonts w:asciiTheme="majorHAnsi" w:hAnsiTheme="majorHAnsi" w:cstheme="majorBidi"/>
          <w:sz w:val="22"/>
          <w:szCs w:val="22"/>
          <w:lang w:val="en-GB"/>
        </w:rPr>
        <w:fldChar w:fldCharType="begin" w:fldLock="1"/>
      </w:r>
      <w:r w:rsidR="005260B5" w:rsidRPr="59587566">
        <w:rPr>
          <w:rFonts w:asciiTheme="majorHAnsi" w:hAnsiTheme="majorHAnsi" w:cstheme="majorBidi"/>
          <w:sz w:val="22"/>
          <w:szCs w:val="22"/>
          <w:lang w:val="en-GB"/>
        </w:rPr>
        <w:instrText>ADDIN CSL_CITATION {"citationItems":[{"id":"ITEM-1","itemData":{"DOI":"10.1016/j.jclepro.2014.03.052","ISSN":"09596526","abstract":"The combined effort of reducing the emissions of sulphur dioxide, nitrogen oxides and greenhouse gases to comply with future regulations and reduce impact on climate change will require a significant change in ship propulsion. One alternative is to change fuels. In this study we compare the life cycle environmental performance of liquefied natural gas (LNG), liquefied biogas (LBG), methanol and bio-methanol. We also highlight a number of important aspects to consider when selecting marine fuels. A transition to use of LNG or methanol produced from natural gas would significantly improve the overall environmental performance. However, the impact on climate change is of the same order of magnitude as with use of heavy fuel oil. It is only the use of LBG and bio-methanol that has the potential to reduce the climate impact. The analysis did not show any significant differences in environmental performance between methane and methanol when produced from the same raw materials, but the performance of the methanol engines are yet to be validated. © 2014 Elsevier Ltd. All rights reserved.","author":[{"dropping-particle":"","family":"Brynolf","given":"Selma","non-dropping-particle":"","parse-names":false,"suffix":""},{"dropping-particle":"","family":"Fridell","given":"Erik","non-dropping-particle":"","parse-names":false,"suffix":""},{"dropping-particle":"","family":"Andersson","given":"Karin","non-dropping-particle":"","parse-names":false,"suffix":""}],"container-title":"Journal of Cleaner Production","id":"ITEM-1","issue":"X","issued":{"date-parts":[["2014"]]},"page":"86-95","title":"Environmental assessment of marine fuels: Liquefied natural gas, liquefied biogas, methanol and bio-methanol","type":"article-journal","volume":"74"},"uris":["http://www.mendeley.com/documents/?uuid=4b4b5665-fff8-4dd6-a44a-12c90be3c561"]}],"mendeley":{"formattedCitation":"(Brynolf et al., 2014)","plainTextFormattedCitation":"(Brynolf et al., 2014)","previouslyFormattedCitation":"(Brynolf et al., 2014)"},"properties":{"noteIndex":0},"schema":"https://github.com/citation-style-language/schema/raw/master/csl-citation.json"}</w:instrText>
      </w:r>
      <w:r w:rsidR="005260B5" w:rsidRPr="59587566">
        <w:rPr>
          <w:rFonts w:asciiTheme="majorHAnsi" w:hAnsiTheme="majorHAnsi" w:cstheme="majorBidi"/>
          <w:sz w:val="22"/>
          <w:szCs w:val="22"/>
          <w:lang w:val="en-GB"/>
        </w:rPr>
        <w:fldChar w:fldCharType="separate"/>
      </w:r>
      <w:r w:rsidR="6E8C627C" w:rsidRPr="59587566">
        <w:rPr>
          <w:rFonts w:asciiTheme="majorHAnsi" w:hAnsiTheme="majorHAnsi" w:cstheme="majorBidi"/>
          <w:noProof/>
          <w:sz w:val="22"/>
          <w:szCs w:val="22"/>
          <w:lang w:val="en-GB"/>
        </w:rPr>
        <w:t>(Brynolf et al., 2014)</w:t>
      </w:r>
      <w:r w:rsidR="005260B5" w:rsidRPr="59587566">
        <w:rPr>
          <w:rFonts w:asciiTheme="majorHAnsi" w:hAnsiTheme="majorHAnsi" w:cstheme="majorBidi"/>
          <w:sz w:val="22"/>
          <w:szCs w:val="22"/>
          <w:lang w:val="en-GB"/>
        </w:rPr>
        <w:fldChar w:fldCharType="end"/>
      </w:r>
      <w:r w:rsidRPr="59587566">
        <w:rPr>
          <w:rFonts w:asciiTheme="majorHAnsi" w:hAnsiTheme="majorHAnsi" w:cstheme="majorBidi"/>
          <w:sz w:val="22"/>
          <w:szCs w:val="22"/>
          <w:lang w:val="en-GB"/>
        </w:rPr>
        <w:t>. Bio-LNG is mostly produced from methanogenesis of organic material, from which a methane rich stream (</w:t>
      </w:r>
      <w:r w:rsidR="4D6FA5B0" w:rsidRPr="59587566">
        <w:rPr>
          <w:rFonts w:asciiTheme="majorHAnsi" w:hAnsiTheme="majorHAnsi" w:cstheme="majorBidi"/>
          <w:sz w:val="22"/>
          <w:szCs w:val="22"/>
          <w:lang w:val="en-GB"/>
        </w:rPr>
        <w:t>up to 50 %) can be obtained. After upgrade, Bio-LGN can be used as a drop-in for fossil-based LNG.</w:t>
      </w:r>
      <w:r w:rsidRPr="59587566">
        <w:rPr>
          <w:rFonts w:asciiTheme="majorHAnsi" w:hAnsiTheme="majorHAnsi" w:cstheme="majorBidi"/>
          <w:sz w:val="22"/>
          <w:szCs w:val="22"/>
          <w:lang w:val="en-GB"/>
        </w:rPr>
        <w:t xml:space="preserve"> </w:t>
      </w:r>
      <w:r w:rsidR="40368B8D" w:rsidRPr="59587566">
        <w:rPr>
          <w:rFonts w:asciiTheme="majorHAnsi" w:hAnsiTheme="majorHAnsi" w:cstheme="majorBidi"/>
          <w:sz w:val="22"/>
          <w:szCs w:val="22"/>
          <w:lang w:val="en-GB"/>
        </w:rPr>
        <w:t xml:space="preserve"> Nevertheless, </w:t>
      </w:r>
      <w:r w:rsidR="06173069" w:rsidRPr="59587566">
        <w:rPr>
          <w:rFonts w:asciiTheme="majorHAnsi" w:hAnsiTheme="majorHAnsi" w:cstheme="majorBidi"/>
          <w:sz w:val="22"/>
          <w:szCs w:val="22"/>
          <w:lang w:val="en-GB"/>
        </w:rPr>
        <w:t>for both</w:t>
      </w:r>
      <w:r w:rsidR="62233090" w:rsidRPr="59587566">
        <w:rPr>
          <w:rFonts w:asciiTheme="majorHAnsi" w:hAnsiTheme="majorHAnsi" w:cstheme="majorBidi"/>
          <w:sz w:val="22"/>
          <w:szCs w:val="22"/>
          <w:lang w:val="en-GB"/>
        </w:rPr>
        <w:t>,</w:t>
      </w:r>
      <w:r w:rsidR="06173069" w:rsidRPr="59587566">
        <w:rPr>
          <w:rFonts w:asciiTheme="majorHAnsi" w:hAnsiTheme="majorHAnsi" w:cstheme="majorBidi"/>
          <w:sz w:val="22"/>
          <w:szCs w:val="22"/>
          <w:lang w:val="en-GB"/>
        </w:rPr>
        <w:t xml:space="preserve"> Bio and fossil LNG</w:t>
      </w:r>
      <w:r w:rsidR="051CE30A" w:rsidRPr="59587566">
        <w:rPr>
          <w:rFonts w:asciiTheme="majorHAnsi" w:hAnsiTheme="majorHAnsi" w:cstheme="majorBidi"/>
          <w:sz w:val="22"/>
          <w:szCs w:val="22"/>
          <w:lang w:val="en-GB"/>
        </w:rPr>
        <w:t>,</w:t>
      </w:r>
      <w:r w:rsidR="06173069" w:rsidRPr="59587566">
        <w:rPr>
          <w:rFonts w:asciiTheme="majorHAnsi" w:hAnsiTheme="majorHAnsi" w:cstheme="majorBidi"/>
          <w:sz w:val="22"/>
          <w:szCs w:val="22"/>
          <w:lang w:val="en-GB"/>
        </w:rPr>
        <w:t xml:space="preserve"> methane slips during upstream and combustion might represent a threat to </w:t>
      </w:r>
      <w:r w:rsidR="014D1895" w:rsidRPr="59587566">
        <w:rPr>
          <w:rFonts w:asciiTheme="majorHAnsi" w:hAnsiTheme="majorHAnsi" w:cstheme="majorBidi"/>
          <w:sz w:val="22"/>
          <w:szCs w:val="22"/>
          <w:lang w:val="en-GB"/>
        </w:rPr>
        <w:t>the environment and market use</w:t>
      </w:r>
      <w:r w:rsidR="06173069" w:rsidRPr="59587566">
        <w:rPr>
          <w:rFonts w:asciiTheme="majorHAnsi" w:hAnsiTheme="majorHAnsi" w:cstheme="majorBidi"/>
          <w:sz w:val="22"/>
          <w:szCs w:val="22"/>
          <w:lang w:val="en-GB"/>
        </w:rPr>
        <w:t>. Methane is</w:t>
      </w:r>
      <w:r w:rsidR="2D606006" w:rsidRPr="59587566">
        <w:rPr>
          <w:rFonts w:asciiTheme="majorHAnsi" w:hAnsiTheme="majorHAnsi" w:cstheme="majorBidi"/>
          <w:sz w:val="22"/>
          <w:szCs w:val="22"/>
          <w:lang w:val="en-GB"/>
        </w:rPr>
        <w:t>,</w:t>
      </w:r>
      <w:r w:rsidR="06173069" w:rsidRPr="59587566">
        <w:rPr>
          <w:rFonts w:asciiTheme="majorHAnsi" w:hAnsiTheme="majorHAnsi" w:cstheme="majorBidi"/>
          <w:sz w:val="22"/>
          <w:szCs w:val="22"/>
          <w:lang w:val="en-GB"/>
        </w:rPr>
        <w:t xml:space="preserve"> </w:t>
      </w:r>
      <w:r w:rsidR="48EDFFA4" w:rsidRPr="59587566">
        <w:rPr>
          <w:rFonts w:asciiTheme="majorHAnsi" w:hAnsiTheme="majorHAnsi" w:cstheme="majorBidi"/>
          <w:sz w:val="22"/>
          <w:szCs w:val="22"/>
          <w:lang w:val="en-GB"/>
        </w:rPr>
        <w:t>approximately</w:t>
      </w:r>
      <w:r w:rsidR="3911AF53" w:rsidRPr="59587566">
        <w:rPr>
          <w:rFonts w:asciiTheme="majorHAnsi" w:hAnsiTheme="majorHAnsi" w:cstheme="majorBidi"/>
          <w:sz w:val="22"/>
          <w:szCs w:val="22"/>
          <w:lang w:val="en-GB"/>
        </w:rPr>
        <w:t>,</w:t>
      </w:r>
      <w:r w:rsidR="48EDFFA4" w:rsidRPr="59587566">
        <w:rPr>
          <w:rFonts w:asciiTheme="majorHAnsi" w:hAnsiTheme="majorHAnsi" w:cstheme="majorBidi"/>
          <w:sz w:val="22"/>
          <w:szCs w:val="22"/>
          <w:lang w:val="en-GB"/>
        </w:rPr>
        <w:t xml:space="preserve"> 30</w:t>
      </w:r>
      <w:r w:rsidR="06173069" w:rsidRPr="59587566">
        <w:rPr>
          <w:rFonts w:asciiTheme="majorHAnsi" w:hAnsiTheme="majorHAnsi" w:cstheme="majorBidi"/>
          <w:sz w:val="22"/>
          <w:szCs w:val="22"/>
          <w:lang w:val="en-GB"/>
        </w:rPr>
        <w:t xml:space="preserve"> times more impacting greenhouse</w:t>
      </w:r>
      <w:r w:rsidR="0208BC7E" w:rsidRPr="59587566">
        <w:rPr>
          <w:rFonts w:asciiTheme="majorHAnsi" w:hAnsiTheme="majorHAnsi" w:cstheme="majorBidi"/>
          <w:sz w:val="22"/>
          <w:szCs w:val="22"/>
          <w:lang w:val="en-GB"/>
        </w:rPr>
        <w:t xml:space="preserve"> gas</w:t>
      </w:r>
      <w:r w:rsidR="06173069" w:rsidRPr="59587566">
        <w:rPr>
          <w:rFonts w:asciiTheme="majorHAnsi" w:hAnsiTheme="majorHAnsi" w:cstheme="majorBidi"/>
          <w:sz w:val="22"/>
          <w:szCs w:val="22"/>
          <w:lang w:val="en-GB"/>
        </w:rPr>
        <w:t xml:space="preserve"> than CO</w:t>
      </w:r>
      <w:r w:rsidR="06173069" w:rsidRPr="59587566">
        <w:rPr>
          <w:rFonts w:asciiTheme="majorHAnsi" w:hAnsiTheme="majorHAnsi" w:cstheme="majorBidi"/>
          <w:sz w:val="22"/>
          <w:szCs w:val="22"/>
          <w:vertAlign w:val="subscript"/>
          <w:lang w:val="en-GB"/>
        </w:rPr>
        <w:t>2</w:t>
      </w:r>
      <w:r w:rsidR="0058663D">
        <w:rPr>
          <w:rFonts w:asciiTheme="majorHAnsi" w:hAnsiTheme="majorHAnsi" w:cstheme="majorBidi"/>
          <w:sz w:val="22"/>
          <w:szCs w:val="22"/>
          <w:vertAlign w:val="subscript"/>
          <w:lang w:val="en-GB"/>
        </w:rPr>
        <w:t xml:space="preserve"> </w:t>
      </w:r>
      <w:r w:rsidR="0058663D">
        <w:rPr>
          <w:rFonts w:asciiTheme="majorHAnsi" w:hAnsiTheme="majorHAnsi" w:cstheme="majorBidi"/>
          <w:sz w:val="22"/>
          <w:szCs w:val="22"/>
          <w:vertAlign w:val="subscript"/>
          <w:lang w:val="en-GB"/>
        </w:rPr>
        <w:fldChar w:fldCharType="begin" w:fldLock="1"/>
      </w:r>
      <w:r w:rsidR="005A6766">
        <w:rPr>
          <w:rFonts w:asciiTheme="majorHAnsi" w:hAnsiTheme="majorHAnsi" w:cstheme="majorBidi"/>
          <w:sz w:val="22"/>
          <w:szCs w:val="22"/>
          <w:vertAlign w:val="subscript"/>
          <w:lang w:val="en-GB"/>
        </w:rPr>
        <w:instrText>ADDIN CSL_CITATION {"citationItems":[{"id":"ITEM-1","itemData":{"abstract":"Contribution of Working Group I to the Fifth Assessment Report of the Intergovernmental","author":[{"dropping-particle":"","family":"Myhre, G.","given":"D.","non-dropping-particle":"","parse-names":false,"suffix":""},{"dropping-particle":"","family":"Shindell","given":"F.‐M.","non-dropping-particle":"","parse-names":false,"suffix":""},{"dropping-particle":"","family":"Bréon","given":"W.","non-dropping-particle":"","parse-names":false,"suffix":""},{"dropping-particle":"","family":"Collins","given":"J.","non-dropping-particle":"","parse-names":false,"suffix":""},{"dropping-particle":"","family":"Fuglestvedt","given":"J.","non-dropping-particle":"","parse-names":false,"suffix":""},{"dropping-particle":"","family":"Huang","given":"D.","non-dropping-particle":"","parse-names":false,"suffix":""},{"dropping-particle":"","family":"Koch","given":"J.‐F.","non-dropping-particle":"","parse-names":false,"suffix":""},{"dropping-particle":"","family":"Lamarque","given":"D.","non-dropping-particle":"","parse-names":false,"suffix":""},{"dropping-particle":"","family":"Lee","given":"B.","non-dropping-particle":"","parse-names":false,"suffix":""},{"dropping-particle":"","family":"Mendoza","given":"T.","non-dropping-particle":"","parse-names":false,"suffix":""},{"dropping-particle":"","family":"Nakajima","given":"A.","non-dropping-particle":"","parse-names":false,"suffix":""},{"dropping-particle":"","family":"Robock","given":"G.","non-dropping-particle":"","parse-names":false,"suffix":""},{"dropping-particle":"","family":"Stephens","given":"T.","non-dropping-particle":"","parse-names":false,"suffix":""},{"dropping-particle":"","family":"Takemura","given":"","non-dropping-particle":"","parse-names":false,"suffix":""},{"dropping-particle":"","family":"Zhang","given":"H.","non-dropping-particle":"","parse-names":false,"suffix":""}],"container-title":"Greenhouse Gas Protocol","id":"ITEM-1","issue":"1995","issued":{"date-parts":[["2015"]]},"page":"2-5","title":"Global Warming Potential Values","type":"article-journal","volume":"2014"},"uris":["http://www.mendeley.com/documents/?uuid=7aee5742-ab6d-4f1b-94ba-1fcbc5cd8013"]}],"mendeley":{"formattedCitation":"(Myhre, G. et al., 2015)","plainTextFormattedCitation":"(Myhre, G. et al., 2015)","previouslyFormattedCitation":"(Myhre, G. et al., 2015)"},"properties":{"noteIndex":0},"schema":"https://github.com/citation-style-language/schema/raw/master/csl-citation.json"}</w:instrText>
      </w:r>
      <w:r w:rsidR="0058663D">
        <w:rPr>
          <w:rFonts w:asciiTheme="majorHAnsi" w:hAnsiTheme="majorHAnsi" w:cstheme="majorBidi"/>
          <w:sz w:val="22"/>
          <w:szCs w:val="22"/>
          <w:vertAlign w:val="subscript"/>
          <w:lang w:val="en-GB"/>
        </w:rPr>
        <w:fldChar w:fldCharType="separate"/>
      </w:r>
      <w:r w:rsidR="0058663D" w:rsidRPr="0058663D">
        <w:rPr>
          <w:rFonts w:asciiTheme="majorHAnsi" w:hAnsiTheme="majorHAnsi" w:cstheme="majorBidi"/>
          <w:noProof/>
          <w:sz w:val="22"/>
          <w:szCs w:val="22"/>
          <w:lang w:val="en-GB"/>
        </w:rPr>
        <w:t>(Myhre, G. et al., 2015)</w:t>
      </w:r>
      <w:r w:rsidR="0058663D">
        <w:rPr>
          <w:rFonts w:asciiTheme="majorHAnsi" w:hAnsiTheme="majorHAnsi" w:cstheme="majorBidi"/>
          <w:sz w:val="22"/>
          <w:szCs w:val="22"/>
          <w:vertAlign w:val="subscript"/>
          <w:lang w:val="en-GB"/>
        </w:rPr>
        <w:fldChar w:fldCharType="end"/>
      </w:r>
      <w:r w:rsidR="06173069" w:rsidRPr="59587566">
        <w:rPr>
          <w:rFonts w:asciiTheme="majorHAnsi" w:hAnsiTheme="majorHAnsi" w:cstheme="majorBidi"/>
          <w:sz w:val="22"/>
          <w:szCs w:val="22"/>
          <w:lang w:val="en-GB"/>
        </w:rPr>
        <w:t>.</w:t>
      </w:r>
    </w:p>
    <w:p w14:paraId="63681F20" w14:textId="0E3DB3D6" w:rsidR="007659BF" w:rsidRPr="000D7D19" w:rsidRDefault="4BEFFF09"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b/>
          <w:bCs/>
          <w:sz w:val="22"/>
          <w:szCs w:val="22"/>
          <w:lang w:val="en-GB"/>
        </w:rPr>
        <w:t xml:space="preserve">LPG </w:t>
      </w:r>
      <w:r w:rsidRPr="5937A937">
        <w:rPr>
          <w:rFonts w:asciiTheme="majorHAnsi" w:hAnsiTheme="majorHAnsi" w:cstheme="majorBidi"/>
          <w:sz w:val="22"/>
          <w:szCs w:val="22"/>
          <w:lang w:val="en-GB"/>
        </w:rPr>
        <w:t>is a mixture of propane</w:t>
      </w:r>
      <w:r w:rsidRPr="5937A937">
        <w:rPr>
          <w:rFonts w:asciiTheme="majorHAnsi" w:hAnsiTheme="majorHAnsi" w:cstheme="majorBidi"/>
          <w:b/>
          <w:bCs/>
          <w:sz w:val="22"/>
          <w:szCs w:val="22"/>
          <w:lang w:val="en-GB"/>
        </w:rPr>
        <w:t xml:space="preserve"> </w:t>
      </w:r>
      <w:r w:rsidRPr="5937A937">
        <w:rPr>
          <w:rFonts w:asciiTheme="majorHAnsi" w:hAnsiTheme="majorHAnsi" w:cstheme="majorBidi"/>
          <w:sz w:val="22"/>
          <w:szCs w:val="22"/>
          <w:lang w:val="en-GB"/>
        </w:rPr>
        <w:t>and butane in liquid form, which proportion</w:t>
      </w:r>
      <w:r w:rsidR="00F1369C">
        <w:rPr>
          <w:rFonts w:asciiTheme="majorHAnsi" w:hAnsiTheme="majorHAnsi" w:cstheme="majorBidi"/>
          <w:sz w:val="22"/>
          <w:szCs w:val="22"/>
          <w:lang w:val="en-GB"/>
        </w:rPr>
        <w:t xml:space="preserve"> is</w:t>
      </w:r>
      <w:r w:rsidRPr="5937A937">
        <w:rPr>
          <w:rFonts w:asciiTheme="majorHAnsi" w:hAnsiTheme="majorHAnsi" w:cstheme="majorBidi"/>
          <w:sz w:val="22"/>
          <w:szCs w:val="22"/>
          <w:lang w:val="en-GB"/>
        </w:rPr>
        <w:t xml:space="preserve"> </w:t>
      </w:r>
      <w:r w:rsidR="23ADAEB0" w:rsidRPr="5937A937">
        <w:rPr>
          <w:rFonts w:asciiTheme="majorHAnsi" w:hAnsiTheme="majorHAnsi" w:cstheme="majorBidi"/>
          <w:sz w:val="22"/>
          <w:szCs w:val="22"/>
          <w:lang w:val="en-GB"/>
        </w:rPr>
        <w:t xml:space="preserve">adapted according to the </w:t>
      </w:r>
      <w:r w:rsidRPr="5937A937">
        <w:rPr>
          <w:rFonts w:asciiTheme="majorHAnsi" w:hAnsiTheme="majorHAnsi" w:cstheme="majorBidi"/>
          <w:sz w:val="22"/>
          <w:szCs w:val="22"/>
          <w:lang w:val="en-GB"/>
        </w:rPr>
        <w:t xml:space="preserve">specifications. It is </w:t>
      </w:r>
      <w:r w:rsidR="23ADAEB0" w:rsidRPr="5937A937">
        <w:rPr>
          <w:rFonts w:asciiTheme="majorHAnsi" w:hAnsiTheme="majorHAnsi" w:cstheme="majorBidi"/>
          <w:sz w:val="22"/>
          <w:szCs w:val="22"/>
          <w:lang w:val="en-GB"/>
        </w:rPr>
        <w:t>obtained</w:t>
      </w:r>
      <w:r w:rsidRPr="5937A937">
        <w:rPr>
          <w:rFonts w:asciiTheme="majorHAnsi" w:hAnsiTheme="majorHAnsi" w:cstheme="majorBidi"/>
          <w:sz w:val="22"/>
          <w:szCs w:val="22"/>
          <w:lang w:val="en-GB"/>
        </w:rPr>
        <w:t xml:space="preserve"> as by-product of oil and gas extraction or during refining. </w:t>
      </w:r>
      <w:r w:rsidR="7CA23B9A" w:rsidRPr="5937A937">
        <w:rPr>
          <w:rFonts w:asciiTheme="majorHAnsi" w:hAnsiTheme="majorHAnsi" w:cstheme="majorBidi"/>
          <w:sz w:val="22"/>
          <w:szCs w:val="22"/>
          <w:lang w:val="en-GB"/>
        </w:rPr>
        <w:t>It requ</w:t>
      </w:r>
      <w:r w:rsidR="00F1369C">
        <w:rPr>
          <w:rFonts w:asciiTheme="majorHAnsi" w:hAnsiTheme="majorHAnsi" w:cstheme="majorBidi"/>
          <w:sz w:val="22"/>
          <w:szCs w:val="22"/>
          <w:lang w:val="en-GB"/>
        </w:rPr>
        <w:t>ires</w:t>
      </w:r>
      <w:r w:rsidR="7CA23B9A" w:rsidRPr="5937A937">
        <w:rPr>
          <w:rFonts w:asciiTheme="majorHAnsi" w:hAnsiTheme="majorHAnsi" w:cstheme="majorBidi"/>
          <w:sz w:val="22"/>
          <w:szCs w:val="22"/>
          <w:lang w:val="en-GB"/>
        </w:rPr>
        <w:t xml:space="preserve"> lower pressures </w:t>
      </w:r>
      <w:r w:rsidR="190B92B6" w:rsidRPr="5937A937">
        <w:rPr>
          <w:rFonts w:asciiTheme="majorHAnsi" w:hAnsiTheme="majorHAnsi" w:cstheme="majorBidi"/>
          <w:sz w:val="22"/>
          <w:szCs w:val="22"/>
          <w:lang w:val="en-GB"/>
        </w:rPr>
        <w:t>for</w:t>
      </w:r>
      <w:r w:rsidR="7CA23B9A" w:rsidRPr="5937A937">
        <w:rPr>
          <w:rFonts w:asciiTheme="majorHAnsi" w:hAnsiTheme="majorHAnsi" w:cstheme="majorBidi"/>
          <w:sz w:val="22"/>
          <w:szCs w:val="22"/>
          <w:lang w:val="en-GB"/>
        </w:rPr>
        <w:t xml:space="preserve"> liquefaction</w:t>
      </w:r>
      <w:r w:rsidR="248E16A7" w:rsidRPr="5937A937">
        <w:rPr>
          <w:rFonts w:asciiTheme="majorHAnsi" w:hAnsiTheme="majorHAnsi" w:cstheme="majorBidi"/>
          <w:sz w:val="22"/>
          <w:szCs w:val="22"/>
          <w:lang w:val="en-GB"/>
        </w:rPr>
        <w:t xml:space="preserve"> </w:t>
      </w:r>
      <w:r w:rsidR="55F15B94" w:rsidRPr="5937A937">
        <w:rPr>
          <w:rFonts w:asciiTheme="majorHAnsi" w:hAnsiTheme="majorHAnsi" w:cstheme="majorBidi"/>
          <w:sz w:val="22"/>
          <w:szCs w:val="22"/>
          <w:lang w:val="en-GB"/>
        </w:rPr>
        <w:t>t</w:t>
      </w:r>
      <w:r w:rsidR="248E16A7" w:rsidRPr="5937A937">
        <w:rPr>
          <w:rFonts w:asciiTheme="majorHAnsi" w:hAnsiTheme="majorHAnsi" w:cstheme="majorBidi"/>
          <w:sz w:val="22"/>
          <w:szCs w:val="22"/>
          <w:lang w:val="en-GB"/>
        </w:rPr>
        <w:t>han LNG</w:t>
      </w:r>
      <w:r w:rsidR="7CA23B9A" w:rsidRPr="5937A937">
        <w:rPr>
          <w:rFonts w:asciiTheme="majorHAnsi" w:hAnsiTheme="majorHAnsi" w:cstheme="majorBidi"/>
          <w:sz w:val="22"/>
          <w:szCs w:val="22"/>
          <w:lang w:val="en-GB"/>
        </w:rPr>
        <w:t xml:space="preserve">, 8.4 bar and 1.2 bar </w:t>
      </w:r>
      <w:r w:rsidR="248E16A7" w:rsidRPr="5937A937">
        <w:rPr>
          <w:rFonts w:asciiTheme="majorHAnsi" w:hAnsiTheme="majorHAnsi" w:cstheme="majorBidi"/>
          <w:sz w:val="22"/>
          <w:szCs w:val="22"/>
          <w:lang w:val="en-GB"/>
        </w:rPr>
        <w:t>f</w:t>
      </w:r>
      <w:r w:rsidR="7CA23B9A" w:rsidRPr="5937A937">
        <w:rPr>
          <w:rFonts w:asciiTheme="majorHAnsi" w:hAnsiTheme="majorHAnsi" w:cstheme="majorBidi"/>
          <w:sz w:val="22"/>
          <w:szCs w:val="22"/>
          <w:lang w:val="en-GB"/>
        </w:rPr>
        <w:t xml:space="preserve">or </w:t>
      </w:r>
      <w:r w:rsidR="248E16A7" w:rsidRPr="5937A937">
        <w:rPr>
          <w:rFonts w:asciiTheme="majorHAnsi" w:hAnsiTheme="majorHAnsi" w:cstheme="majorBidi"/>
          <w:sz w:val="22"/>
          <w:szCs w:val="22"/>
          <w:lang w:val="en-GB"/>
        </w:rPr>
        <w:t>propane and butene, respectively</w:t>
      </w:r>
      <w:r w:rsidR="190B92B6" w:rsidRPr="5937A937">
        <w:rPr>
          <w:rFonts w:asciiTheme="majorHAnsi" w:hAnsiTheme="majorHAnsi" w:cstheme="majorBidi"/>
          <w:sz w:val="22"/>
          <w:szCs w:val="22"/>
          <w:lang w:val="en-GB"/>
        </w:rPr>
        <w:t xml:space="preserve"> </w:t>
      </w:r>
      <w:r w:rsidR="00D377B1" w:rsidRPr="5937A937">
        <w:rPr>
          <w:rFonts w:asciiTheme="majorHAnsi" w:hAnsiTheme="majorHAnsi" w:cstheme="majorBidi"/>
          <w:sz w:val="22"/>
          <w:szCs w:val="22"/>
          <w:lang w:val="en-GB"/>
        </w:rPr>
        <w:fldChar w:fldCharType="begin" w:fldLock="1"/>
      </w:r>
      <w:r w:rsidR="00D377B1" w:rsidRPr="5937A937">
        <w:rPr>
          <w:rFonts w:asciiTheme="majorHAnsi" w:hAnsiTheme="majorHAnsi" w:cstheme="majorBid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D377B1" w:rsidRPr="5937A937">
        <w:rPr>
          <w:rFonts w:asciiTheme="majorHAnsi" w:hAnsiTheme="majorHAnsi" w:cstheme="majorBidi"/>
          <w:sz w:val="22"/>
          <w:szCs w:val="22"/>
          <w:lang w:val="en-GB"/>
        </w:rPr>
        <w:fldChar w:fldCharType="separate"/>
      </w:r>
      <w:r w:rsidR="00AD30A7" w:rsidRPr="5937A937">
        <w:rPr>
          <w:rFonts w:asciiTheme="majorHAnsi" w:hAnsiTheme="majorHAnsi" w:cstheme="majorBidi"/>
          <w:noProof/>
          <w:sz w:val="22"/>
          <w:szCs w:val="22"/>
          <w:lang w:val="en-GB"/>
        </w:rPr>
        <w:t>(DNV GL, 2019)</w:t>
      </w:r>
      <w:r w:rsidR="00D377B1" w:rsidRPr="5937A937">
        <w:rPr>
          <w:rFonts w:asciiTheme="majorHAnsi" w:hAnsiTheme="majorHAnsi" w:cstheme="majorBidi"/>
          <w:sz w:val="22"/>
          <w:szCs w:val="22"/>
          <w:lang w:val="en-GB"/>
        </w:rPr>
        <w:fldChar w:fldCharType="end"/>
      </w:r>
      <w:r w:rsidR="00AD30A7" w:rsidRPr="5937A937">
        <w:rPr>
          <w:rFonts w:asciiTheme="majorHAnsi" w:hAnsiTheme="majorHAnsi" w:cstheme="majorBidi"/>
          <w:sz w:val="22"/>
          <w:szCs w:val="22"/>
          <w:lang w:val="en-GB"/>
        </w:rPr>
        <w:t xml:space="preserve">. </w:t>
      </w:r>
      <w:r w:rsidR="54706F16" w:rsidRPr="5937A937">
        <w:rPr>
          <w:rFonts w:asciiTheme="majorHAnsi" w:hAnsiTheme="majorHAnsi" w:cstheme="majorBidi"/>
          <w:sz w:val="22"/>
          <w:szCs w:val="22"/>
          <w:lang w:val="en-GB"/>
        </w:rPr>
        <w:t>Similar</w:t>
      </w:r>
      <w:r w:rsidR="248E16A7" w:rsidRPr="5937A937">
        <w:rPr>
          <w:rFonts w:asciiTheme="majorHAnsi" w:hAnsiTheme="majorHAnsi" w:cstheme="majorBidi"/>
          <w:sz w:val="22"/>
          <w:szCs w:val="22"/>
          <w:lang w:val="en-GB"/>
        </w:rPr>
        <w:t xml:space="preserve"> to LNG, LGP requ</w:t>
      </w:r>
      <w:r w:rsidR="588F2236" w:rsidRPr="5937A937">
        <w:rPr>
          <w:rFonts w:asciiTheme="majorHAnsi" w:hAnsiTheme="majorHAnsi" w:cstheme="majorBidi"/>
          <w:sz w:val="22"/>
          <w:szCs w:val="22"/>
          <w:lang w:val="en-GB"/>
        </w:rPr>
        <w:t>ires</w:t>
      </w:r>
      <w:r w:rsidR="248E16A7" w:rsidRPr="5937A937">
        <w:rPr>
          <w:rFonts w:asciiTheme="majorHAnsi" w:hAnsiTheme="majorHAnsi" w:cstheme="majorBidi"/>
          <w:sz w:val="22"/>
          <w:szCs w:val="22"/>
          <w:lang w:val="en-GB"/>
        </w:rPr>
        <w:t xml:space="preserve"> tanks 2-3 </w:t>
      </w:r>
      <w:r w:rsidR="1407A30D" w:rsidRPr="5937A937">
        <w:rPr>
          <w:rFonts w:asciiTheme="majorHAnsi" w:hAnsiTheme="majorHAnsi" w:cstheme="majorBidi"/>
          <w:sz w:val="22"/>
          <w:szCs w:val="22"/>
          <w:lang w:val="en-GB"/>
        </w:rPr>
        <w:t>fold times</w:t>
      </w:r>
      <w:r w:rsidR="248E16A7" w:rsidRPr="5937A937">
        <w:rPr>
          <w:rFonts w:asciiTheme="majorHAnsi" w:hAnsiTheme="majorHAnsi" w:cstheme="majorBidi"/>
          <w:sz w:val="22"/>
          <w:szCs w:val="22"/>
          <w:lang w:val="en-GB"/>
        </w:rPr>
        <w:t xml:space="preserve"> larger than </w:t>
      </w:r>
      <w:r w:rsidR="54706F16" w:rsidRPr="5937A937">
        <w:rPr>
          <w:rFonts w:asciiTheme="majorHAnsi" w:hAnsiTheme="majorHAnsi" w:cstheme="majorBidi"/>
          <w:sz w:val="22"/>
          <w:szCs w:val="22"/>
          <w:lang w:val="en-GB"/>
        </w:rPr>
        <w:t>liquid fossil-based</w:t>
      </w:r>
      <w:r w:rsidR="248E16A7" w:rsidRPr="5937A937">
        <w:rPr>
          <w:rFonts w:asciiTheme="majorHAnsi" w:hAnsiTheme="majorHAnsi" w:cstheme="majorBidi"/>
          <w:sz w:val="22"/>
          <w:szCs w:val="22"/>
          <w:lang w:val="en-GB"/>
        </w:rPr>
        <w:t xml:space="preserve"> equivalent. It can run in four kind of engines, </w:t>
      </w:r>
      <w:r w:rsidR="54706F16" w:rsidRPr="5937A937">
        <w:rPr>
          <w:rFonts w:asciiTheme="majorHAnsi" w:hAnsiTheme="majorHAnsi" w:cstheme="majorBidi"/>
          <w:sz w:val="22"/>
          <w:szCs w:val="22"/>
          <w:lang w:val="en-GB"/>
        </w:rPr>
        <w:t>namely</w:t>
      </w:r>
      <w:r w:rsidR="59F4C181" w:rsidRPr="5937A937">
        <w:rPr>
          <w:rFonts w:asciiTheme="majorHAnsi" w:hAnsiTheme="majorHAnsi" w:cstheme="majorBidi"/>
          <w:sz w:val="22"/>
          <w:szCs w:val="22"/>
          <w:lang w:val="en-GB"/>
        </w:rPr>
        <w:t xml:space="preserve"> 2-stroke diesel cycle and 4-stroke engines, lean burn Otto-cycle and gas turbine. </w:t>
      </w:r>
    </w:p>
    <w:p w14:paraId="3B6E73C6" w14:textId="3EA89740" w:rsidR="00C7292F" w:rsidRPr="000D7D19" w:rsidRDefault="04F018E5"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b/>
          <w:bCs/>
          <w:sz w:val="22"/>
          <w:szCs w:val="22"/>
          <w:lang w:val="en-GB"/>
        </w:rPr>
        <w:lastRenderedPageBreak/>
        <w:t>Ammonia</w:t>
      </w:r>
      <w:r w:rsidR="02EBB14B" w:rsidRPr="5937A937">
        <w:rPr>
          <w:rFonts w:asciiTheme="majorHAnsi" w:hAnsiTheme="majorHAnsi" w:cstheme="majorBidi"/>
          <w:sz w:val="22"/>
          <w:szCs w:val="22"/>
          <w:lang w:val="en-GB"/>
        </w:rPr>
        <w:t xml:space="preserve"> is</w:t>
      </w:r>
      <w:r w:rsidR="362825FA" w:rsidRPr="5937A937">
        <w:rPr>
          <w:rFonts w:asciiTheme="majorHAnsi" w:hAnsiTheme="majorHAnsi" w:cstheme="majorBidi"/>
          <w:sz w:val="22"/>
          <w:szCs w:val="22"/>
          <w:lang w:val="en-GB"/>
        </w:rPr>
        <w:t xml:space="preserve"> carbon free molecule which has </w:t>
      </w:r>
      <w:r w:rsidR="0D500EB4" w:rsidRPr="5937A937">
        <w:rPr>
          <w:rFonts w:asciiTheme="majorHAnsi" w:hAnsiTheme="majorHAnsi" w:cstheme="majorBidi"/>
          <w:sz w:val="22"/>
          <w:szCs w:val="22"/>
          <w:lang w:val="en-GB"/>
        </w:rPr>
        <w:t>been</w:t>
      </w:r>
      <w:r w:rsidR="362825FA" w:rsidRPr="5937A937">
        <w:rPr>
          <w:rFonts w:asciiTheme="majorHAnsi" w:hAnsiTheme="majorHAnsi" w:cstheme="majorBidi"/>
          <w:sz w:val="22"/>
          <w:szCs w:val="22"/>
          <w:lang w:val="en-GB"/>
        </w:rPr>
        <w:t xml:space="preserve"> widely discussed as promising alternative for marine fuel. Among others, one could highlight the strengths of ammonia such</w:t>
      </w:r>
      <w:r w:rsidR="6DC76113" w:rsidRPr="5937A937">
        <w:rPr>
          <w:rFonts w:asciiTheme="majorHAnsi" w:hAnsiTheme="majorHAnsi" w:cstheme="majorBidi"/>
          <w:sz w:val="22"/>
          <w:szCs w:val="22"/>
          <w:lang w:val="en-GB"/>
        </w:rPr>
        <w:t xml:space="preserve"> as</w:t>
      </w:r>
      <w:r w:rsidR="362825FA" w:rsidRPr="5937A937">
        <w:rPr>
          <w:rFonts w:asciiTheme="majorHAnsi" w:hAnsiTheme="majorHAnsi" w:cstheme="majorBidi"/>
          <w:sz w:val="22"/>
          <w:szCs w:val="22"/>
          <w:lang w:val="en-GB"/>
        </w:rPr>
        <w:t xml:space="preserve">: </w:t>
      </w:r>
      <w:proofErr w:type="spellStart"/>
      <w:r w:rsidR="362825FA" w:rsidRPr="5937A937">
        <w:rPr>
          <w:rFonts w:asciiTheme="majorHAnsi" w:hAnsiTheme="majorHAnsi" w:cstheme="majorBidi"/>
          <w:sz w:val="22"/>
          <w:szCs w:val="22"/>
          <w:lang w:val="en-GB"/>
        </w:rPr>
        <w:t>i</w:t>
      </w:r>
      <w:proofErr w:type="spellEnd"/>
      <w:r w:rsidR="362825FA" w:rsidRPr="5937A937">
        <w:rPr>
          <w:rFonts w:asciiTheme="majorHAnsi" w:hAnsiTheme="majorHAnsi" w:cstheme="majorBidi"/>
          <w:sz w:val="22"/>
          <w:szCs w:val="22"/>
          <w:lang w:val="en-GB"/>
        </w:rPr>
        <w:t xml:space="preserve">) </w:t>
      </w:r>
      <w:r w:rsidR="6DC76113" w:rsidRPr="5937A937">
        <w:rPr>
          <w:rFonts w:asciiTheme="majorHAnsi" w:hAnsiTheme="majorHAnsi" w:cstheme="majorBidi"/>
          <w:sz w:val="22"/>
          <w:szCs w:val="22"/>
          <w:lang w:val="en-GB"/>
        </w:rPr>
        <w:t xml:space="preserve">it </w:t>
      </w:r>
      <w:r w:rsidR="362825FA" w:rsidRPr="5937A937">
        <w:rPr>
          <w:rFonts w:asciiTheme="majorHAnsi" w:hAnsiTheme="majorHAnsi" w:cstheme="majorBidi"/>
          <w:sz w:val="22"/>
          <w:szCs w:val="22"/>
          <w:lang w:val="en-GB"/>
        </w:rPr>
        <w:t xml:space="preserve">can be readily liquefied by compression (8 bar) at 20 ˚C or by cooling down (- 33 ˚C); ii) established production technology and infrastructure with a global production of 150 million tonnes in 2019; </w:t>
      </w:r>
      <w:r w:rsidR="6127EE57" w:rsidRPr="5937A937">
        <w:rPr>
          <w:rFonts w:asciiTheme="majorHAnsi" w:hAnsiTheme="majorHAnsi" w:cstheme="majorBidi"/>
          <w:sz w:val="22"/>
          <w:szCs w:val="22"/>
          <w:lang w:val="en-GB"/>
        </w:rPr>
        <w:t>iii) narrow flammability; iv) can be used in internal combustion engines and fuel cells</w:t>
      </w:r>
      <w:r w:rsidR="326B91C0" w:rsidRPr="5937A937">
        <w:rPr>
          <w:rFonts w:asciiTheme="majorHAnsi" w:hAnsiTheme="majorHAnsi" w:cstheme="majorBidi"/>
          <w:sz w:val="22"/>
          <w:szCs w:val="22"/>
          <w:lang w:val="en-GB"/>
        </w:rPr>
        <w:t xml:space="preserve"> </w:t>
      </w:r>
      <w:r w:rsidR="00420F25" w:rsidRPr="5937A937">
        <w:rPr>
          <w:rFonts w:asciiTheme="majorHAnsi" w:hAnsiTheme="majorHAnsi" w:cstheme="majorBidi"/>
          <w:sz w:val="22"/>
          <w:szCs w:val="22"/>
          <w:lang w:val="en-GB"/>
        </w:rPr>
        <w:fldChar w:fldCharType="begin" w:fldLock="1"/>
      </w:r>
      <w:r w:rsidR="00420F25" w:rsidRPr="5937A937">
        <w:rPr>
          <w:rFonts w:asciiTheme="majorHAnsi" w:hAnsiTheme="majorHAnsi" w:cstheme="majorBidi"/>
          <w:sz w:val="22"/>
          <w:szCs w:val="22"/>
          <w:lang w:val="en-GB"/>
        </w:rPr>
        <w:instrText>ADDIN CSL_CITATION {"citationItems":[{"id":"ITEM-1","itemData":{"DOI":"10.1016/j.coche.2021.100670","ISSN":"22113398","abstract":"Decarbonization of the maritime transportation fuels is a primary objective of the shipping industry. Ammonia is an attractive option because of its relatively low greenhouse gas (GHG) emissions, high energy density, competitive cost, and ubiquitous infrastructure for manufacturing, storage, and distribution. The environmental benefits are enhanced when the manufacture of ammonia is assisted by renewable energy and feedstocks. This paper evaluates the potential usage of ammonia, especially renewable ammonia, as a maritime transportation fuel. The assessment covers manufacturing approaches, energy and feedstock sources, economics, and environmental impact based on well-to-tank and tank-to-propeller bases. Comparison is also made with conventional fuels that are currently used in the shipping industry. Finally, the paper discusses future directions and impact of technological advances on the potential use of renewable ammonia as a transportation fuel.","author":[{"dropping-particle":"","family":"Al-Aboosi","given":"Fadhil Y.","non-dropping-particle":"","parse-names":false,"suffix":""},{"dropping-particle":"","family":"El-Halwagi","given":"Mahmoud M.","non-dropping-particle":"","parse-names":false,"suffix":""},{"dropping-particle":"","family":"Moore","given":"Margaux","non-dropping-particle":"","parse-names":false,"suffix":""},{"dropping-particle":"","family":"Nielsen","given":"Rasmus B.","non-dropping-particle":"","parse-names":false,"suffix":""}],"container-title":"Current Opinion in Chemical Engineering","id":"ITEM-1","issued":{"date-parts":[["2021"]]},"page":"100670","publisher":"Elsevier Ltd","title":"Renewable ammonia as an alternative fuel for the shipping industry","type":"article-journal","volume":"31"},"uris":["http://www.mendeley.com/documents/?uuid=49efc19c-d192-4c78-b1c4-4b8f9f3279c5"]}],"mendeley":{"formattedCitation":"(Al-Aboosi et al., 2021)","plainTextFormattedCitation":"(Al-Aboosi et al., 2021)","previouslyFormattedCitation":"(Al-Aboosi et al., 2021)"},"properties":{"noteIndex":0},"schema":"https://github.com/citation-style-language/schema/raw/master/csl-citation.json"}</w:instrText>
      </w:r>
      <w:r w:rsidR="00420F25" w:rsidRPr="5937A937">
        <w:rPr>
          <w:rFonts w:asciiTheme="majorHAnsi" w:hAnsiTheme="majorHAnsi" w:cstheme="majorBidi"/>
          <w:sz w:val="22"/>
          <w:szCs w:val="22"/>
          <w:lang w:val="en-GB"/>
        </w:rPr>
        <w:fldChar w:fldCharType="separate"/>
      </w:r>
      <w:r w:rsidR="326B91C0" w:rsidRPr="5937A937">
        <w:rPr>
          <w:rFonts w:asciiTheme="majorHAnsi" w:hAnsiTheme="majorHAnsi" w:cstheme="majorBidi"/>
          <w:noProof/>
          <w:sz w:val="22"/>
          <w:szCs w:val="22"/>
          <w:lang w:val="en-GB"/>
        </w:rPr>
        <w:t>(Al-Aboosi et al., 2021)</w:t>
      </w:r>
      <w:r w:rsidR="00420F25" w:rsidRPr="5937A937">
        <w:rPr>
          <w:rFonts w:asciiTheme="majorHAnsi" w:hAnsiTheme="majorHAnsi" w:cstheme="majorBidi"/>
          <w:sz w:val="22"/>
          <w:szCs w:val="22"/>
          <w:lang w:val="en-GB"/>
        </w:rPr>
        <w:fldChar w:fldCharType="end"/>
      </w:r>
      <w:r w:rsidR="6127EE57" w:rsidRPr="5937A937">
        <w:rPr>
          <w:rFonts w:asciiTheme="majorHAnsi" w:hAnsiTheme="majorHAnsi" w:cstheme="majorBidi"/>
          <w:sz w:val="22"/>
          <w:szCs w:val="22"/>
          <w:lang w:val="en-GB"/>
        </w:rPr>
        <w:t>.</w:t>
      </w:r>
      <w:r w:rsidR="59F4C181" w:rsidRPr="5937A937">
        <w:rPr>
          <w:rFonts w:asciiTheme="majorHAnsi" w:hAnsiTheme="majorHAnsi" w:cstheme="majorBidi"/>
          <w:sz w:val="22"/>
          <w:szCs w:val="22"/>
          <w:lang w:val="en-GB"/>
        </w:rPr>
        <w:t xml:space="preserve"> </w:t>
      </w:r>
      <w:r w:rsidR="7D766536" w:rsidRPr="5937A937">
        <w:rPr>
          <w:rFonts w:asciiTheme="majorHAnsi" w:hAnsiTheme="majorHAnsi" w:cstheme="majorBidi"/>
          <w:sz w:val="22"/>
          <w:szCs w:val="22"/>
          <w:lang w:val="en-GB"/>
        </w:rPr>
        <w:t xml:space="preserve">The </w:t>
      </w:r>
      <w:r w:rsidR="4595B4AA" w:rsidRPr="5937A937">
        <w:rPr>
          <w:rFonts w:asciiTheme="majorHAnsi" w:hAnsiTheme="majorHAnsi" w:cstheme="majorBidi"/>
          <w:sz w:val="22"/>
          <w:szCs w:val="22"/>
          <w:lang w:val="en-GB"/>
        </w:rPr>
        <w:t xml:space="preserve">first </w:t>
      </w:r>
      <w:r w:rsidR="7D766536" w:rsidRPr="5937A937">
        <w:rPr>
          <w:rFonts w:asciiTheme="majorHAnsi" w:hAnsiTheme="majorHAnsi" w:cstheme="majorBidi"/>
          <w:sz w:val="22"/>
          <w:szCs w:val="22"/>
          <w:lang w:val="en-GB"/>
        </w:rPr>
        <w:t xml:space="preserve">use of </w:t>
      </w:r>
      <w:r w:rsidR="4595B4AA" w:rsidRPr="5937A937">
        <w:rPr>
          <w:rFonts w:asciiTheme="majorHAnsi" w:hAnsiTheme="majorHAnsi" w:cstheme="majorBidi"/>
          <w:sz w:val="22"/>
          <w:szCs w:val="22"/>
          <w:lang w:val="en-GB"/>
        </w:rPr>
        <w:t>liquid</w:t>
      </w:r>
      <w:r w:rsidR="7D766536" w:rsidRPr="5937A937">
        <w:rPr>
          <w:rFonts w:asciiTheme="majorHAnsi" w:hAnsiTheme="majorHAnsi" w:cstheme="majorBidi"/>
          <w:sz w:val="22"/>
          <w:szCs w:val="22"/>
          <w:lang w:val="en-GB"/>
        </w:rPr>
        <w:t xml:space="preserve"> ammonia as fuel</w:t>
      </w:r>
      <w:r w:rsidR="4595B4AA" w:rsidRPr="5937A937">
        <w:rPr>
          <w:rFonts w:asciiTheme="majorHAnsi" w:hAnsiTheme="majorHAnsi" w:cstheme="majorBidi"/>
          <w:sz w:val="22"/>
          <w:szCs w:val="22"/>
          <w:lang w:val="en-GB"/>
        </w:rPr>
        <w:t xml:space="preserve"> </w:t>
      </w:r>
      <w:r w:rsidR="3574131A" w:rsidRPr="5937A937">
        <w:rPr>
          <w:rFonts w:asciiTheme="majorHAnsi" w:hAnsiTheme="majorHAnsi" w:cstheme="majorBidi"/>
          <w:sz w:val="22"/>
          <w:szCs w:val="22"/>
          <w:lang w:val="en-GB"/>
        </w:rPr>
        <w:t xml:space="preserve">dates back </w:t>
      </w:r>
      <w:r w:rsidR="15B71F9C" w:rsidRPr="5937A937">
        <w:rPr>
          <w:rFonts w:asciiTheme="majorHAnsi" w:hAnsiTheme="majorHAnsi" w:cstheme="majorBidi"/>
          <w:sz w:val="22"/>
          <w:szCs w:val="22"/>
          <w:lang w:val="en-GB"/>
        </w:rPr>
        <w:t xml:space="preserve">to </w:t>
      </w:r>
      <w:r w:rsidR="00181F4B">
        <w:rPr>
          <w:rFonts w:asciiTheme="majorHAnsi" w:hAnsiTheme="majorHAnsi" w:cstheme="majorBidi"/>
          <w:sz w:val="22"/>
          <w:szCs w:val="22"/>
          <w:lang w:val="en-GB"/>
        </w:rPr>
        <w:t>the</w:t>
      </w:r>
      <w:r w:rsidR="000808D9">
        <w:rPr>
          <w:rFonts w:asciiTheme="majorHAnsi" w:hAnsiTheme="majorHAnsi" w:cstheme="majorBidi"/>
          <w:sz w:val="22"/>
          <w:szCs w:val="22"/>
          <w:lang w:val="en-GB"/>
        </w:rPr>
        <w:t xml:space="preserve"> </w:t>
      </w:r>
      <w:r w:rsidR="7D766536" w:rsidRPr="5937A937">
        <w:rPr>
          <w:rFonts w:asciiTheme="majorHAnsi" w:hAnsiTheme="majorHAnsi" w:cstheme="majorBidi"/>
          <w:sz w:val="22"/>
          <w:szCs w:val="22"/>
          <w:lang w:val="en-GB"/>
        </w:rPr>
        <w:t>1940</w:t>
      </w:r>
      <w:r w:rsidR="00181F4B">
        <w:rPr>
          <w:rFonts w:asciiTheme="majorHAnsi" w:hAnsiTheme="majorHAnsi" w:cstheme="majorBidi"/>
          <w:sz w:val="22"/>
          <w:szCs w:val="22"/>
          <w:lang w:val="en-GB"/>
        </w:rPr>
        <w:t>’s</w:t>
      </w:r>
      <w:r w:rsidR="3574131A" w:rsidRPr="5937A937">
        <w:rPr>
          <w:rFonts w:asciiTheme="majorHAnsi" w:hAnsiTheme="majorHAnsi" w:cstheme="majorBidi"/>
          <w:sz w:val="22"/>
          <w:szCs w:val="22"/>
          <w:lang w:val="en-GB"/>
        </w:rPr>
        <w:t>, in buses. Although no critical issues from propulsion were reported, the use of ammonia in combustion engines has some disadvantages, e.g., low flame speed, high auto-ignition temperature, high heat of vaporization and toxicity</w:t>
      </w:r>
      <w:r w:rsidR="612BC2DB" w:rsidRPr="5937A937">
        <w:rPr>
          <w:rFonts w:asciiTheme="majorHAnsi" w:hAnsiTheme="majorHAnsi" w:cstheme="majorBidi"/>
          <w:sz w:val="22"/>
          <w:szCs w:val="22"/>
          <w:lang w:val="en-GB"/>
        </w:rPr>
        <w:t xml:space="preserve"> </w:t>
      </w:r>
      <w:r w:rsidR="00420F25" w:rsidRPr="5937A937">
        <w:rPr>
          <w:rFonts w:asciiTheme="majorHAnsi" w:hAnsiTheme="majorHAnsi" w:cstheme="majorBidi"/>
          <w:sz w:val="22"/>
          <w:szCs w:val="22"/>
          <w:lang w:val="en-GB"/>
        </w:rPr>
        <w:fldChar w:fldCharType="begin" w:fldLock="1"/>
      </w:r>
      <w:r w:rsidR="00420F25" w:rsidRPr="5937A937">
        <w:rPr>
          <w:rFonts w:asciiTheme="majorHAnsi" w:hAnsiTheme="majorHAnsi" w:cstheme="majorBid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420F25" w:rsidRPr="5937A937">
        <w:rPr>
          <w:rFonts w:asciiTheme="majorHAnsi" w:hAnsiTheme="majorHAnsi" w:cstheme="majorBidi"/>
          <w:sz w:val="22"/>
          <w:szCs w:val="22"/>
          <w:lang w:val="en-GB"/>
        </w:rPr>
        <w:fldChar w:fldCharType="separate"/>
      </w:r>
      <w:r w:rsidR="612BC2DB" w:rsidRPr="5937A937">
        <w:rPr>
          <w:rFonts w:asciiTheme="majorHAnsi" w:hAnsiTheme="majorHAnsi" w:cstheme="majorBidi"/>
          <w:noProof/>
          <w:sz w:val="22"/>
          <w:szCs w:val="22"/>
          <w:lang w:val="en-GB"/>
        </w:rPr>
        <w:t>(DNV GL, 2019)</w:t>
      </w:r>
      <w:r w:rsidR="00420F25" w:rsidRPr="5937A937">
        <w:rPr>
          <w:rFonts w:asciiTheme="majorHAnsi" w:hAnsiTheme="majorHAnsi" w:cstheme="majorBidi"/>
          <w:sz w:val="22"/>
          <w:szCs w:val="22"/>
          <w:lang w:val="en-GB"/>
        </w:rPr>
        <w:fldChar w:fldCharType="end"/>
      </w:r>
      <w:r w:rsidR="3574131A" w:rsidRPr="5937A937">
        <w:rPr>
          <w:rFonts w:asciiTheme="majorHAnsi" w:hAnsiTheme="majorHAnsi" w:cstheme="majorBidi"/>
          <w:sz w:val="22"/>
          <w:szCs w:val="22"/>
          <w:lang w:val="en-GB"/>
        </w:rPr>
        <w:t>. Alternatively, ammonia could be deployed in fuel cells</w:t>
      </w:r>
      <w:r w:rsidR="22B5DE90" w:rsidRPr="5937A937">
        <w:rPr>
          <w:rFonts w:asciiTheme="majorHAnsi" w:hAnsiTheme="majorHAnsi" w:cstheme="majorBidi"/>
          <w:sz w:val="22"/>
          <w:szCs w:val="22"/>
          <w:lang w:val="en-GB"/>
        </w:rPr>
        <w:t xml:space="preserve">; </w:t>
      </w:r>
      <w:r w:rsidR="491BBFB9" w:rsidRPr="5937A937">
        <w:rPr>
          <w:rFonts w:asciiTheme="majorHAnsi" w:hAnsiTheme="majorHAnsi" w:cstheme="majorBidi"/>
          <w:sz w:val="22"/>
          <w:szCs w:val="22"/>
          <w:lang w:val="en-GB"/>
        </w:rPr>
        <w:t>however, technology</w:t>
      </w:r>
      <w:r w:rsidR="3574131A" w:rsidRPr="5937A937">
        <w:rPr>
          <w:rFonts w:asciiTheme="majorHAnsi" w:hAnsiTheme="majorHAnsi" w:cstheme="majorBidi"/>
          <w:sz w:val="22"/>
          <w:szCs w:val="22"/>
          <w:lang w:val="en-GB"/>
        </w:rPr>
        <w:t xml:space="preserve"> development</w:t>
      </w:r>
      <w:r w:rsidR="22B5DE90" w:rsidRPr="5937A937">
        <w:rPr>
          <w:rFonts w:asciiTheme="majorHAnsi" w:hAnsiTheme="majorHAnsi" w:cstheme="majorBidi"/>
          <w:sz w:val="22"/>
          <w:szCs w:val="22"/>
          <w:lang w:val="en-GB"/>
        </w:rPr>
        <w:t xml:space="preserve"> </w:t>
      </w:r>
      <w:r w:rsidR="5611CE2C" w:rsidRPr="5937A937">
        <w:rPr>
          <w:rFonts w:asciiTheme="majorHAnsi" w:hAnsiTheme="majorHAnsi" w:cstheme="majorBidi"/>
          <w:sz w:val="22"/>
          <w:szCs w:val="22"/>
          <w:lang w:val="en-GB"/>
        </w:rPr>
        <w:t xml:space="preserve">is </w:t>
      </w:r>
      <w:r w:rsidR="3574131A" w:rsidRPr="5937A937">
        <w:rPr>
          <w:rFonts w:asciiTheme="majorHAnsi" w:hAnsiTheme="majorHAnsi" w:cstheme="majorBidi"/>
          <w:sz w:val="22"/>
          <w:szCs w:val="22"/>
          <w:lang w:val="en-GB"/>
        </w:rPr>
        <w:t>still necessary</w:t>
      </w:r>
      <w:r w:rsidR="7396239F" w:rsidRPr="5937A937">
        <w:rPr>
          <w:rFonts w:asciiTheme="majorHAnsi" w:hAnsiTheme="majorHAnsi" w:cstheme="majorBidi"/>
          <w:sz w:val="22"/>
          <w:szCs w:val="22"/>
          <w:lang w:val="en-GB"/>
        </w:rPr>
        <w:t xml:space="preserve"> due to its immaturity</w:t>
      </w:r>
      <w:r w:rsidR="3574131A" w:rsidRPr="5937A937">
        <w:rPr>
          <w:rFonts w:asciiTheme="majorHAnsi" w:hAnsiTheme="majorHAnsi" w:cstheme="majorBidi"/>
          <w:sz w:val="22"/>
          <w:szCs w:val="22"/>
          <w:lang w:val="en-GB"/>
        </w:rPr>
        <w:t>. Ammonia</w:t>
      </w:r>
      <w:r w:rsidR="59F4C181" w:rsidRPr="5937A937">
        <w:rPr>
          <w:rFonts w:asciiTheme="majorHAnsi" w:hAnsiTheme="majorHAnsi" w:cstheme="majorBidi"/>
          <w:sz w:val="22"/>
          <w:szCs w:val="22"/>
          <w:lang w:val="en-GB"/>
        </w:rPr>
        <w:t xml:space="preserve"> is mostly produced </w:t>
      </w:r>
      <w:r w:rsidR="75F2A7F5" w:rsidRPr="5937A937">
        <w:rPr>
          <w:rFonts w:asciiTheme="majorHAnsi" w:hAnsiTheme="majorHAnsi" w:cstheme="majorBidi"/>
          <w:sz w:val="22"/>
          <w:szCs w:val="22"/>
          <w:lang w:val="en-GB"/>
        </w:rPr>
        <w:t>through Haber-Bosch process</w:t>
      </w:r>
      <w:r w:rsidR="3574131A" w:rsidRPr="5937A937">
        <w:rPr>
          <w:rFonts w:asciiTheme="majorHAnsi" w:hAnsiTheme="majorHAnsi" w:cstheme="majorBidi"/>
          <w:sz w:val="22"/>
          <w:szCs w:val="22"/>
          <w:lang w:val="en-GB"/>
        </w:rPr>
        <w:t xml:space="preserve">, reacting </w:t>
      </w:r>
      <w:r w:rsidR="75F2A7F5" w:rsidRPr="5937A937">
        <w:rPr>
          <w:rFonts w:asciiTheme="majorHAnsi" w:hAnsiTheme="majorHAnsi" w:cstheme="majorBidi"/>
          <w:sz w:val="22"/>
          <w:szCs w:val="22"/>
          <w:lang w:val="en-GB"/>
        </w:rPr>
        <w:t>N</w:t>
      </w:r>
      <w:r w:rsidR="75F2A7F5" w:rsidRPr="5937A937">
        <w:rPr>
          <w:rFonts w:asciiTheme="majorHAnsi" w:hAnsiTheme="majorHAnsi" w:cstheme="majorBidi"/>
          <w:sz w:val="22"/>
          <w:szCs w:val="22"/>
          <w:vertAlign w:val="subscript"/>
          <w:lang w:val="en-GB"/>
        </w:rPr>
        <w:t>2</w:t>
      </w:r>
      <w:r w:rsidR="75F2A7F5" w:rsidRPr="5937A937">
        <w:rPr>
          <w:rFonts w:asciiTheme="majorHAnsi" w:hAnsiTheme="majorHAnsi" w:cstheme="majorBidi"/>
          <w:sz w:val="22"/>
          <w:szCs w:val="22"/>
          <w:lang w:val="en-GB"/>
        </w:rPr>
        <w:t xml:space="preserve"> with H</w:t>
      </w:r>
      <w:r w:rsidR="75F2A7F5" w:rsidRPr="5937A937">
        <w:rPr>
          <w:rFonts w:asciiTheme="majorHAnsi" w:hAnsiTheme="majorHAnsi" w:cstheme="majorBidi"/>
          <w:sz w:val="22"/>
          <w:szCs w:val="22"/>
          <w:vertAlign w:val="subscript"/>
          <w:lang w:val="en-GB"/>
        </w:rPr>
        <w:t>2</w:t>
      </w:r>
      <w:r w:rsidR="75F2A7F5" w:rsidRPr="5937A937">
        <w:rPr>
          <w:rFonts w:asciiTheme="majorHAnsi" w:hAnsiTheme="majorHAnsi" w:cstheme="majorBidi"/>
          <w:sz w:val="22"/>
          <w:szCs w:val="22"/>
          <w:lang w:val="en-GB"/>
        </w:rPr>
        <w:t xml:space="preserve"> over a metal catalyst.</w:t>
      </w:r>
      <w:r w:rsidR="4DD87A1A" w:rsidRPr="5937A937">
        <w:rPr>
          <w:rFonts w:asciiTheme="majorHAnsi" w:hAnsiTheme="majorHAnsi" w:cstheme="majorBidi"/>
          <w:sz w:val="22"/>
          <w:szCs w:val="22"/>
          <w:lang w:val="en-GB"/>
        </w:rPr>
        <w:t xml:space="preserve"> Currently, 95% of the H</w:t>
      </w:r>
      <w:r w:rsidR="4DD87A1A" w:rsidRPr="5937A937">
        <w:rPr>
          <w:rFonts w:asciiTheme="majorHAnsi" w:hAnsiTheme="majorHAnsi" w:cstheme="majorBidi"/>
          <w:sz w:val="22"/>
          <w:szCs w:val="22"/>
          <w:vertAlign w:val="subscript"/>
          <w:lang w:val="en-GB"/>
        </w:rPr>
        <w:t>2</w:t>
      </w:r>
      <w:r w:rsidR="4DD87A1A" w:rsidRPr="5937A937">
        <w:rPr>
          <w:rFonts w:asciiTheme="majorHAnsi" w:hAnsiTheme="majorHAnsi" w:cstheme="majorBidi"/>
          <w:sz w:val="22"/>
          <w:szCs w:val="22"/>
          <w:lang w:val="en-GB"/>
        </w:rPr>
        <w:t xml:space="preserve"> used comes from fossil sources, mainly natural gas reforming, </w:t>
      </w:r>
      <w:r w:rsidR="0B5DCFC0" w:rsidRPr="5937A937">
        <w:rPr>
          <w:rFonts w:asciiTheme="majorHAnsi" w:hAnsiTheme="majorHAnsi" w:cstheme="majorBidi"/>
          <w:sz w:val="22"/>
          <w:szCs w:val="22"/>
          <w:lang w:val="en-GB"/>
        </w:rPr>
        <w:t>while N</w:t>
      </w:r>
      <w:r w:rsidR="0B5DCFC0" w:rsidRPr="5937A937">
        <w:rPr>
          <w:rFonts w:asciiTheme="majorHAnsi" w:hAnsiTheme="majorHAnsi" w:cstheme="majorBidi"/>
          <w:sz w:val="22"/>
          <w:szCs w:val="22"/>
          <w:vertAlign w:val="subscript"/>
          <w:lang w:val="en-GB"/>
        </w:rPr>
        <w:t>2</w:t>
      </w:r>
      <w:r w:rsidR="0B5DCFC0" w:rsidRPr="5937A937">
        <w:rPr>
          <w:rFonts w:asciiTheme="majorHAnsi" w:hAnsiTheme="majorHAnsi" w:cstheme="majorBidi"/>
          <w:sz w:val="22"/>
          <w:szCs w:val="22"/>
          <w:lang w:val="en-GB"/>
        </w:rPr>
        <w:t xml:space="preserve"> comes from</w:t>
      </w:r>
      <w:r w:rsidR="7C9E01DB" w:rsidRPr="5937A937">
        <w:rPr>
          <w:rFonts w:asciiTheme="majorHAnsi" w:hAnsiTheme="majorHAnsi" w:cstheme="majorBidi"/>
          <w:sz w:val="22"/>
          <w:szCs w:val="22"/>
          <w:lang w:val="en-GB"/>
        </w:rPr>
        <w:t xml:space="preserve"> energy intensive</w:t>
      </w:r>
      <w:r w:rsidR="0B5DCFC0" w:rsidRPr="5937A937">
        <w:rPr>
          <w:rFonts w:asciiTheme="majorHAnsi" w:hAnsiTheme="majorHAnsi" w:cstheme="majorBidi"/>
          <w:sz w:val="22"/>
          <w:szCs w:val="22"/>
          <w:lang w:val="en-GB"/>
        </w:rPr>
        <w:t xml:space="preserve"> air separation</w:t>
      </w:r>
      <w:r w:rsidR="7D82C5CA" w:rsidRPr="5937A937">
        <w:rPr>
          <w:rFonts w:asciiTheme="majorHAnsi" w:hAnsiTheme="majorHAnsi" w:cstheme="majorBidi"/>
          <w:sz w:val="22"/>
          <w:szCs w:val="22"/>
          <w:lang w:val="en-GB"/>
        </w:rPr>
        <w:t xml:space="preserve"> production</w:t>
      </w:r>
      <w:r w:rsidR="0B5DCFC0" w:rsidRPr="5937A937">
        <w:rPr>
          <w:rFonts w:asciiTheme="majorHAnsi" w:hAnsiTheme="majorHAnsi" w:cstheme="majorBidi"/>
          <w:sz w:val="22"/>
          <w:szCs w:val="22"/>
          <w:lang w:val="en-GB"/>
        </w:rPr>
        <w:t>. This is a challenge for ammonia use that, if not surpassed, will limit the potential reduction of emissions.</w:t>
      </w:r>
      <w:r w:rsidR="7C9E01DB" w:rsidRPr="5937A937">
        <w:rPr>
          <w:rFonts w:asciiTheme="majorHAnsi" w:hAnsiTheme="majorHAnsi" w:cstheme="majorBidi"/>
          <w:sz w:val="22"/>
          <w:szCs w:val="22"/>
          <w:lang w:val="en-GB"/>
        </w:rPr>
        <w:t xml:space="preserve"> Green ammonia can be </w:t>
      </w:r>
      <w:r w:rsidR="13544EB1" w:rsidRPr="5937A937">
        <w:rPr>
          <w:rFonts w:asciiTheme="majorHAnsi" w:hAnsiTheme="majorHAnsi" w:cstheme="majorBidi"/>
          <w:sz w:val="22"/>
          <w:szCs w:val="22"/>
          <w:lang w:val="en-GB"/>
        </w:rPr>
        <w:t>generated</w:t>
      </w:r>
      <w:r w:rsidR="7C9E01DB" w:rsidRPr="5937A937">
        <w:rPr>
          <w:rFonts w:asciiTheme="majorHAnsi" w:hAnsiTheme="majorHAnsi" w:cstheme="majorBidi"/>
          <w:sz w:val="22"/>
          <w:szCs w:val="22"/>
          <w:lang w:val="en-GB"/>
        </w:rPr>
        <w:t xml:space="preserve"> by</w:t>
      </w:r>
      <w:r w:rsidR="488A6229" w:rsidRPr="5937A937">
        <w:rPr>
          <w:rFonts w:asciiTheme="majorHAnsi" w:hAnsiTheme="majorHAnsi" w:cstheme="majorBidi"/>
          <w:sz w:val="22"/>
          <w:szCs w:val="22"/>
          <w:lang w:val="en-GB"/>
        </w:rPr>
        <w:t xml:space="preserve"> using</w:t>
      </w:r>
      <w:r w:rsidR="7C9E01DB" w:rsidRPr="5937A937">
        <w:rPr>
          <w:rFonts w:asciiTheme="majorHAnsi" w:hAnsiTheme="majorHAnsi" w:cstheme="majorBidi"/>
          <w:sz w:val="22"/>
          <w:szCs w:val="22"/>
          <w:lang w:val="en-GB"/>
        </w:rPr>
        <w:t xml:space="preserve"> </w:t>
      </w:r>
      <w:r w:rsidR="46FFE624" w:rsidRPr="5937A937">
        <w:rPr>
          <w:rFonts w:asciiTheme="majorHAnsi" w:hAnsiTheme="majorHAnsi" w:cstheme="majorBidi"/>
          <w:sz w:val="22"/>
          <w:szCs w:val="22"/>
          <w:lang w:val="en-GB"/>
        </w:rPr>
        <w:t>renewable energy</w:t>
      </w:r>
      <w:r w:rsidR="5501C157" w:rsidRPr="5937A937">
        <w:rPr>
          <w:rFonts w:asciiTheme="majorHAnsi" w:hAnsiTheme="majorHAnsi" w:cstheme="majorBidi"/>
          <w:sz w:val="22"/>
          <w:szCs w:val="22"/>
          <w:lang w:val="en-GB"/>
        </w:rPr>
        <w:t>, such as solar,</w:t>
      </w:r>
      <w:r w:rsidR="46FFE624" w:rsidRPr="5937A937">
        <w:rPr>
          <w:rFonts w:asciiTheme="majorHAnsi" w:hAnsiTheme="majorHAnsi" w:cstheme="majorBidi"/>
          <w:sz w:val="22"/>
          <w:szCs w:val="22"/>
          <w:lang w:val="en-GB"/>
        </w:rPr>
        <w:t xml:space="preserve"> </w:t>
      </w:r>
      <w:r w:rsidR="163FA500" w:rsidRPr="5937A937">
        <w:rPr>
          <w:rFonts w:asciiTheme="majorHAnsi" w:hAnsiTheme="majorHAnsi" w:cstheme="majorBidi"/>
          <w:sz w:val="22"/>
          <w:szCs w:val="22"/>
          <w:lang w:val="en-GB"/>
        </w:rPr>
        <w:t>during the</w:t>
      </w:r>
      <w:r w:rsidR="7C9E01DB" w:rsidRPr="5937A937">
        <w:rPr>
          <w:rFonts w:asciiTheme="majorHAnsi" w:hAnsiTheme="majorHAnsi" w:cstheme="majorBidi"/>
          <w:sz w:val="22"/>
          <w:szCs w:val="22"/>
          <w:lang w:val="en-GB"/>
        </w:rPr>
        <w:t xml:space="preserve"> production </w:t>
      </w:r>
      <w:r w:rsidR="00001DE7">
        <w:rPr>
          <w:rFonts w:asciiTheme="majorHAnsi" w:hAnsiTheme="majorHAnsi" w:cstheme="majorBidi"/>
          <w:sz w:val="22"/>
          <w:szCs w:val="22"/>
          <w:lang w:val="en-GB"/>
        </w:rPr>
        <w:t>a</w:t>
      </w:r>
      <w:r w:rsidR="7C9E01DB" w:rsidRPr="5937A937">
        <w:rPr>
          <w:rFonts w:asciiTheme="majorHAnsi" w:hAnsiTheme="majorHAnsi" w:cstheme="majorBidi"/>
          <w:sz w:val="22"/>
          <w:szCs w:val="22"/>
          <w:lang w:val="en-GB"/>
        </w:rPr>
        <w:t xml:space="preserve">nd </w:t>
      </w:r>
      <w:r w:rsidR="01E590D3" w:rsidRPr="5937A937">
        <w:rPr>
          <w:rFonts w:asciiTheme="majorHAnsi" w:hAnsiTheme="majorHAnsi" w:cstheme="majorBidi"/>
          <w:sz w:val="22"/>
          <w:szCs w:val="22"/>
          <w:lang w:val="en-GB"/>
        </w:rPr>
        <w:t xml:space="preserve">by </w:t>
      </w:r>
      <w:r w:rsidR="00FA2133">
        <w:rPr>
          <w:rFonts w:asciiTheme="majorHAnsi" w:hAnsiTheme="majorHAnsi" w:cstheme="majorBidi"/>
          <w:sz w:val="22"/>
          <w:szCs w:val="22"/>
          <w:lang w:val="en-GB"/>
        </w:rPr>
        <w:t>producing</w:t>
      </w:r>
      <w:r w:rsidR="7C9E01DB" w:rsidRPr="5937A937">
        <w:rPr>
          <w:rFonts w:asciiTheme="majorHAnsi" w:hAnsiTheme="majorHAnsi" w:cstheme="majorBidi"/>
          <w:sz w:val="22"/>
          <w:szCs w:val="22"/>
          <w:lang w:val="en-GB"/>
        </w:rPr>
        <w:t xml:space="preserve"> H</w:t>
      </w:r>
      <w:r w:rsidR="7C9E01DB" w:rsidRPr="5937A937">
        <w:rPr>
          <w:rFonts w:asciiTheme="majorHAnsi" w:hAnsiTheme="majorHAnsi" w:cstheme="majorBidi"/>
          <w:sz w:val="22"/>
          <w:szCs w:val="22"/>
          <w:vertAlign w:val="subscript"/>
          <w:lang w:val="en-GB"/>
        </w:rPr>
        <w:t>2</w:t>
      </w:r>
      <w:r w:rsidR="7C9E01DB" w:rsidRPr="5937A937">
        <w:rPr>
          <w:rFonts w:asciiTheme="majorHAnsi" w:hAnsiTheme="majorHAnsi" w:cstheme="majorBidi"/>
          <w:sz w:val="22"/>
          <w:szCs w:val="22"/>
          <w:lang w:val="en-GB"/>
        </w:rPr>
        <w:t xml:space="preserve"> from renewable sources, for instance</w:t>
      </w:r>
      <w:r w:rsidR="13544EB1" w:rsidRPr="5937A937">
        <w:rPr>
          <w:rFonts w:asciiTheme="majorHAnsi" w:hAnsiTheme="majorHAnsi" w:cstheme="majorBidi"/>
          <w:sz w:val="22"/>
          <w:szCs w:val="22"/>
          <w:lang w:val="en-GB"/>
        </w:rPr>
        <w:t>,</w:t>
      </w:r>
      <w:r w:rsidR="7C9E01DB" w:rsidRPr="5937A937">
        <w:rPr>
          <w:rFonts w:asciiTheme="majorHAnsi" w:hAnsiTheme="majorHAnsi" w:cstheme="majorBidi"/>
          <w:sz w:val="22"/>
          <w:szCs w:val="22"/>
          <w:lang w:val="en-GB"/>
        </w:rPr>
        <w:t xml:space="preserve"> biogas</w:t>
      </w:r>
      <w:r w:rsidR="3EB5600D" w:rsidRPr="5937A937">
        <w:rPr>
          <w:rFonts w:asciiTheme="majorHAnsi" w:hAnsiTheme="majorHAnsi" w:cstheme="majorBidi"/>
          <w:sz w:val="22"/>
          <w:szCs w:val="22"/>
          <w:lang w:val="en-GB"/>
        </w:rPr>
        <w:t xml:space="preserve"> or water</w:t>
      </w:r>
      <w:r w:rsidR="7C9E01DB" w:rsidRPr="5937A937">
        <w:rPr>
          <w:rFonts w:asciiTheme="majorHAnsi" w:hAnsiTheme="majorHAnsi" w:cstheme="majorBidi"/>
          <w:sz w:val="22"/>
          <w:szCs w:val="22"/>
          <w:lang w:val="en-GB"/>
        </w:rPr>
        <w:t xml:space="preserve">.  </w:t>
      </w:r>
      <w:r w:rsidR="3325E648" w:rsidRPr="5937A937">
        <w:rPr>
          <w:rFonts w:asciiTheme="majorHAnsi" w:hAnsiTheme="majorHAnsi" w:cstheme="majorBidi"/>
          <w:sz w:val="22"/>
          <w:szCs w:val="22"/>
          <w:lang w:val="en-GB"/>
        </w:rPr>
        <w:t xml:space="preserve">Blue ammonia is produced from fossil feedstock associated with carbons capture and storage technologies. </w:t>
      </w:r>
    </w:p>
    <w:p w14:paraId="23E76422" w14:textId="727EF67A" w:rsidR="00A00808" w:rsidRPr="000D7D19" w:rsidRDefault="13544EB1"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b/>
          <w:bCs/>
          <w:sz w:val="22"/>
          <w:szCs w:val="22"/>
          <w:lang w:val="en-GB"/>
        </w:rPr>
        <w:t>Hydrogen</w:t>
      </w:r>
      <w:r w:rsidRPr="5937A937">
        <w:rPr>
          <w:rFonts w:asciiTheme="majorHAnsi" w:hAnsiTheme="majorHAnsi" w:cstheme="majorBidi"/>
          <w:sz w:val="22"/>
          <w:szCs w:val="22"/>
          <w:lang w:val="en-GB"/>
        </w:rPr>
        <w:t>,</w:t>
      </w:r>
      <w:r w:rsidR="3FA5EC56" w:rsidRPr="5937A937">
        <w:rPr>
          <w:rFonts w:asciiTheme="majorHAnsi" w:hAnsiTheme="majorHAnsi" w:cstheme="majorBidi"/>
          <w:sz w:val="22"/>
          <w:szCs w:val="22"/>
          <w:lang w:val="en-GB"/>
        </w:rPr>
        <w:t xml:space="preserve"> is being considered as a promising fuel mainly due to its potential </w:t>
      </w:r>
      <w:r w:rsidR="5E8DC812" w:rsidRPr="5937A937">
        <w:rPr>
          <w:rFonts w:asciiTheme="majorHAnsi" w:hAnsiTheme="majorHAnsi" w:cstheme="majorBidi"/>
          <w:sz w:val="22"/>
          <w:szCs w:val="22"/>
          <w:lang w:val="en-GB"/>
        </w:rPr>
        <w:t>for</w:t>
      </w:r>
      <w:r w:rsidR="3FA5EC56" w:rsidRPr="5937A937">
        <w:rPr>
          <w:rFonts w:asciiTheme="majorHAnsi" w:hAnsiTheme="majorHAnsi" w:cstheme="majorBidi"/>
          <w:sz w:val="22"/>
          <w:szCs w:val="22"/>
          <w:lang w:val="en-GB"/>
        </w:rPr>
        <w:t xml:space="preserve"> </w:t>
      </w:r>
      <w:r w:rsidR="5E8DC812" w:rsidRPr="5937A937">
        <w:rPr>
          <w:rFonts w:asciiTheme="majorHAnsi" w:hAnsiTheme="majorHAnsi" w:cstheme="majorBidi"/>
          <w:sz w:val="22"/>
          <w:szCs w:val="22"/>
          <w:lang w:val="en-GB"/>
        </w:rPr>
        <w:t xml:space="preserve">emissions </w:t>
      </w:r>
      <w:r w:rsidR="3FA5EC56" w:rsidRPr="5937A937">
        <w:rPr>
          <w:rFonts w:asciiTheme="majorHAnsi" w:hAnsiTheme="majorHAnsi" w:cstheme="majorBidi"/>
          <w:sz w:val="22"/>
          <w:szCs w:val="22"/>
          <w:lang w:val="en-GB"/>
        </w:rPr>
        <w:t>reduc</w:t>
      </w:r>
      <w:r w:rsidR="5E8DC812" w:rsidRPr="5937A937">
        <w:rPr>
          <w:rFonts w:asciiTheme="majorHAnsi" w:hAnsiTheme="majorHAnsi" w:cstheme="majorBidi"/>
          <w:sz w:val="22"/>
          <w:szCs w:val="22"/>
          <w:lang w:val="en-GB"/>
        </w:rPr>
        <w:t>tion</w:t>
      </w:r>
      <w:r w:rsidR="3FA5EC56" w:rsidRPr="5937A937">
        <w:rPr>
          <w:rFonts w:asciiTheme="majorHAnsi" w:hAnsiTheme="majorHAnsi" w:cstheme="majorBidi"/>
          <w:sz w:val="22"/>
          <w:szCs w:val="22"/>
          <w:lang w:val="en-GB"/>
        </w:rPr>
        <w:t xml:space="preserve"> and from the current experience </w:t>
      </w:r>
      <w:r w:rsidR="3592FC5D" w:rsidRPr="5937A937">
        <w:rPr>
          <w:rFonts w:asciiTheme="majorHAnsi" w:hAnsiTheme="majorHAnsi" w:cstheme="majorBidi"/>
          <w:sz w:val="22"/>
          <w:szCs w:val="22"/>
          <w:lang w:val="en-GB"/>
        </w:rPr>
        <w:t xml:space="preserve">on </w:t>
      </w:r>
      <w:r w:rsidR="719D6E07" w:rsidRPr="5937A937">
        <w:rPr>
          <w:rFonts w:asciiTheme="majorHAnsi" w:hAnsiTheme="majorHAnsi" w:cstheme="majorBidi"/>
          <w:sz w:val="22"/>
          <w:szCs w:val="22"/>
          <w:lang w:val="en-GB"/>
        </w:rPr>
        <w:t xml:space="preserve">the </w:t>
      </w:r>
      <w:r w:rsidR="79D4B255" w:rsidRPr="5937A937">
        <w:rPr>
          <w:rFonts w:asciiTheme="majorHAnsi" w:hAnsiTheme="majorHAnsi" w:cstheme="majorBidi"/>
          <w:sz w:val="22"/>
          <w:szCs w:val="22"/>
          <w:lang w:val="en-GB"/>
        </w:rPr>
        <w:t>chemical market</w:t>
      </w:r>
      <w:r w:rsidR="3FA5EC56" w:rsidRPr="5937A937">
        <w:rPr>
          <w:rFonts w:asciiTheme="majorHAnsi" w:hAnsiTheme="majorHAnsi" w:cstheme="majorBidi"/>
          <w:sz w:val="22"/>
          <w:szCs w:val="22"/>
          <w:lang w:val="en-GB"/>
        </w:rPr>
        <w:t xml:space="preserve">. </w:t>
      </w:r>
      <w:r w:rsidR="3592FC5D" w:rsidRPr="5937A937">
        <w:rPr>
          <w:rFonts w:asciiTheme="majorHAnsi" w:hAnsiTheme="majorHAnsi" w:cstheme="majorBidi"/>
          <w:sz w:val="22"/>
          <w:szCs w:val="22"/>
          <w:lang w:val="en-GB"/>
        </w:rPr>
        <w:t xml:space="preserve">When used in adapted combustion engines it has an efficiency around 40 </w:t>
      </w:r>
      <w:r w:rsidR="719D6E07" w:rsidRPr="5937A937">
        <w:rPr>
          <w:rFonts w:asciiTheme="majorHAnsi" w:hAnsiTheme="majorHAnsi" w:cstheme="majorBidi"/>
          <w:sz w:val="22"/>
          <w:szCs w:val="22"/>
          <w:lang w:val="en-GB"/>
        </w:rPr>
        <w:t xml:space="preserve">- </w:t>
      </w:r>
      <w:r w:rsidR="3DE378EB" w:rsidRPr="5937A937">
        <w:rPr>
          <w:rFonts w:asciiTheme="majorHAnsi" w:hAnsiTheme="majorHAnsi" w:cstheme="majorBidi"/>
          <w:sz w:val="22"/>
          <w:szCs w:val="22"/>
          <w:lang w:val="en-GB"/>
        </w:rPr>
        <w:t>50%</w:t>
      </w:r>
      <w:r w:rsidR="3592FC5D" w:rsidRPr="5937A937">
        <w:rPr>
          <w:rFonts w:asciiTheme="majorHAnsi" w:hAnsiTheme="majorHAnsi" w:cstheme="majorBidi"/>
          <w:sz w:val="22"/>
          <w:szCs w:val="22"/>
          <w:lang w:val="en-GB"/>
        </w:rPr>
        <w:t xml:space="preserve">, whereas in fuel cell the efficiency is typically 50 </w:t>
      </w:r>
      <w:r w:rsidR="719D6E07" w:rsidRPr="5937A937">
        <w:rPr>
          <w:rFonts w:asciiTheme="majorHAnsi" w:hAnsiTheme="majorHAnsi" w:cstheme="majorBidi"/>
          <w:sz w:val="22"/>
          <w:szCs w:val="22"/>
          <w:lang w:val="en-GB"/>
        </w:rPr>
        <w:t xml:space="preserve">- </w:t>
      </w:r>
      <w:r w:rsidR="3592FC5D" w:rsidRPr="5937A937">
        <w:rPr>
          <w:rFonts w:asciiTheme="majorHAnsi" w:hAnsiTheme="majorHAnsi" w:cstheme="majorBidi"/>
          <w:sz w:val="22"/>
          <w:szCs w:val="22"/>
          <w:lang w:val="en-GB"/>
        </w:rPr>
        <w:t>60 %.</w:t>
      </w:r>
      <w:r w:rsidR="79D4B255" w:rsidRPr="5937A937">
        <w:rPr>
          <w:rFonts w:asciiTheme="majorHAnsi" w:hAnsiTheme="majorHAnsi" w:cstheme="majorBidi"/>
          <w:sz w:val="22"/>
          <w:szCs w:val="22"/>
          <w:lang w:val="en-GB"/>
        </w:rPr>
        <w:t xml:space="preserve"> </w:t>
      </w:r>
      <w:r w:rsidR="20D0BC9A" w:rsidRPr="5937A937">
        <w:rPr>
          <w:rFonts w:asciiTheme="majorHAnsi" w:hAnsiTheme="majorHAnsi" w:cstheme="majorBidi"/>
          <w:sz w:val="22"/>
          <w:szCs w:val="22"/>
          <w:lang w:val="en-GB"/>
        </w:rPr>
        <w:t>The implementation of Hydrogen as fuel</w:t>
      </w:r>
      <w:r w:rsidR="3DBA9A8B" w:rsidRPr="5937A937">
        <w:rPr>
          <w:rFonts w:asciiTheme="majorHAnsi" w:hAnsiTheme="majorHAnsi" w:cstheme="majorBidi"/>
          <w:sz w:val="22"/>
          <w:szCs w:val="22"/>
          <w:lang w:val="en-GB"/>
        </w:rPr>
        <w:t xml:space="preserve"> is </w:t>
      </w:r>
      <w:r w:rsidR="20D0BC9A" w:rsidRPr="5937A937">
        <w:rPr>
          <w:rFonts w:asciiTheme="majorHAnsi" w:hAnsiTheme="majorHAnsi" w:cstheme="majorBidi"/>
          <w:sz w:val="22"/>
          <w:szCs w:val="22"/>
          <w:lang w:val="en-GB"/>
        </w:rPr>
        <w:t xml:space="preserve">still challenging due to technology constrains and </w:t>
      </w:r>
      <w:r w:rsidR="7DB6C500" w:rsidRPr="5937A937">
        <w:rPr>
          <w:rFonts w:asciiTheme="majorHAnsi" w:hAnsiTheme="majorHAnsi" w:cstheme="majorBidi"/>
          <w:sz w:val="22"/>
          <w:szCs w:val="22"/>
          <w:lang w:val="en-GB"/>
        </w:rPr>
        <w:t>present</w:t>
      </w:r>
      <w:r w:rsidR="20D0BC9A" w:rsidRPr="5937A937">
        <w:rPr>
          <w:rFonts w:asciiTheme="majorHAnsi" w:hAnsiTheme="majorHAnsi" w:cstheme="majorBidi"/>
          <w:sz w:val="22"/>
          <w:szCs w:val="22"/>
          <w:lang w:val="en-GB"/>
        </w:rPr>
        <w:t xml:space="preserve"> prohibitive costs</w:t>
      </w:r>
      <w:r w:rsidR="692B3D25" w:rsidRPr="5937A937">
        <w:rPr>
          <w:rFonts w:asciiTheme="majorHAnsi" w:hAnsiTheme="majorHAnsi" w:cstheme="majorBidi"/>
          <w:sz w:val="22"/>
          <w:szCs w:val="22"/>
          <w:lang w:val="en-GB"/>
        </w:rPr>
        <w:t xml:space="preserve"> </w:t>
      </w:r>
      <w:r w:rsidR="00C7292F" w:rsidRPr="5937A937">
        <w:rPr>
          <w:rFonts w:asciiTheme="majorHAnsi" w:hAnsiTheme="majorHAnsi" w:cstheme="majorBidi"/>
          <w:sz w:val="22"/>
          <w:szCs w:val="22"/>
          <w:lang w:val="en-GB"/>
        </w:rPr>
        <w:fldChar w:fldCharType="begin" w:fldLock="1"/>
      </w:r>
      <w:r w:rsidR="00C7292F" w:rsidRPr="5937A937">
        <w:rPr>
          <w:rFonts w:asciiTheme="majorHAnsi" w:hAnsiTheme="majorHAnsi" w:cstheme="majorBidi"/>
          <w:sz w:val="22"/>
          <w:szCs w:val="22"/>
          <w:lang w:val="en-GB"/>
        </w:rPr>
        <w:instrText>ADDIN CSL_CITATION {"citationItems":[{"id":"ITEM-1","itemData":{"abstract":"Comparison of Alternative Marine Fuels Environmental regulations controlling emissions of SOx, NOx and Greenhouse Gases (GHG) are transforming the global shipping industry. Carbon-intensive, polluting heavy fuel oil (HFO) can no longer remain the default option for ocean voyages. To comply with the International Maritime Organization’s (IMO) 1st January 2020 SOx regulations and announced future environmental targets, ship owners and operators must change the ways in which they power and fuel their fleets. Choosing which marine fuel to adopt is now a significant investment decision to be made amidst a range of uncertainties. To support the industry in its decision-making process, SEA\\LNG commissioned DNV GL to conduct a comprehensive study to assess the commercial and operational viability of alternative marine fuels. Based on existing academic and industry literature, the study evaluates how well six of the main alternative fuels (hydrogen, ammonia, methanol, LPG, biofuel, specifically Hydrotreated Vegetable Oil, and full battery-electric systems), perform compared to LNG and legacy HFO.","author":[{"dropping-particle":"","family":"DNV GL","given":"","non-dropping-particle":"","parse-names":false,"suffix":""}],"id":"ITEM-1","issued":{"date-parts":[["2019"]]},"page":"1-65","title":"Comparison of Alternative Marine Fuels","type":"article-journal"},"uris":["http://www.mendeley.com/documents/?uuid=683f518a-617f-4440-bc51-4f803bcfd6ca"]}],"mendeley":{"formattedCitation":"(DNV GL, 2019)","plainTextFormattedCitation":"(DNV GL, 2019)","previouslyFormattedCitation":"(DNV GL, 2019)"},"properties":{"noteIndex":0},"schema":"https://github.com/citation-style-language/schema/raw/master/csl-citation.json"}</w:instrText>
      </w:r>
      <w:r w:rsidR="00C7292F" w:rsidRPr="5937A937">
        <w:rPr>
          <w:rFonts w:asciiTheme="majorHAnsi" w:hAnsiTheme="majorHAnsi" w:cstheme="majorBidi"/>
          <w:sz w:val="22"/>
          <w:szCs w:val="22"/>
          <w:lang w:val="en-GB"/>
        </w:rPr>
        <w:fldChar w:fldCharType="separate"/>
      </w:r>
      <w:r w:rsidR="692B3D25" w:rsidRPr="5937A937">
        <w:rPr>
          <w:rFonts w:asciiTheme="majorHAnsi" w:hAnsiTheme="majorHAnsi" w:cstheme="majorBidi"/>
          <w:noProof/>
          <w:sz w:val="22"/>
          <w:szCs w:val="22"/>
          <w:lang w:val="en-GB"/>
        </w:rPr>
        <w:t>(DNV GL, 2019)</w:t>
      </w:r>
      <w:r w:rsidR="00C7292F" w:rsidRPr="5937A937">
        <w:rPr>
          <w:rFonts w:asciiTheme="majorHAnsi" w:hAnsiTheme="majorHAnsi" w:cstheme="majorBidi"/>
          <w:sz w:val="22"/>
          <w:szCs w:val="22"/>
          <w:lang w:val="en-GB"/>
        </w:rPr>
        <w:fldChar w:fldCharType="end"/>
      </w:r>
      <w:r w:rsidR="20D0BC9A" w:rsidRPr="5937A937">
        <w:rPr>
          <w:rFonts w:asciiTheme="majorHAnsi" w:hAnsiTheme="majorHAnsi" w:cstheme="majorBidi"/>
          <w:sz w:val="22"/>
          <w:szCs w:val="22"/>
          <w:lang w:val="en-GB"/>
        </w:rPr>
        <w:t xml:space="preserve">. Storage and transport </w:t>
      </w:r>
      <w:r w:rsidR="40DD1F2F" w:rsidRPr="5937A937">
        <w:rPr>
          <w:rFonts w:asciiTheme="majorHAnsi" w:hAnsiTheme="majorHAnsi" w:cstheme="majorBidi"/>
          <w:sz w:val="22"/>
          <w:szCs w:val="22"/>
          <w:lang w:val="en-GB"/>
        </w:rPr>
        <w:t>are</w:t>
      </w:r>
      <w:r w:rsidR="20D0BC9A" w:rsidRPr="5937A937">
        <w:rPr>
          <w:rFonts w:asciiTheme="majorHAnsi" w:hAnsiTheme="majorHAnsi" w:cstheme="majorBidi"/>
          <w:sz w:val="22"/>
          <w:szCs w:val="22"/>
          <w:lang w:val="en-GB"/>
        </w:rPr>
        <w:t xml:space="preserve"> mostly done </w:t>
      </w:r>
      <w:r w:rsidR="70F11B3A" w:rsidRPr="5937A937">
        <w:rPr>
          <w:rFonts w:asciiTheme="majorHAnsi" w:hAnsiTheme="majorHAnsi" w:cstheme="majorBidi"/>
          <w:sz w:val="22"/>
          <w:szCs w:val="22"/>
          <w:lang w:val="en-GB"/>
        </w:rPr>
        <w:t xml:space="preserve">as </w:t>
      </w:r>
      <w:r w:rsidR="20D0BC9A" w:rsidRPr="5937A937">
        <w:rPr>
          <w:rFonts w:asciiTheme="majorHAnsi" w:hAnsiTheme="majorHAnsi" w:cstheme="majorBidi"/>
          <w:sz w:val="22"/>
          <w:szCs w:val="22"/>
          <w:lang w:val="en-GB"/>
        </w:rPr>
        <w:t>compressed</w:t>
      </w:r>
      <w:r w:rsidR="534AF0D9" w:rsidRPr="5937A937">
        <w:rPr>
          <w:rFonts w:asciiTheme="majorHAnsi" w:hAnsiTheme="majorHAnsi" w:cstheme="majorBidi"/>
          <w:sz w:val="22"/>
          <w:szCs w:val="22"/>
          <w:lang w:val="en-GB"/>
        </w:rPr>
        <w:t xml:space="preserve"> hydrogen</w:t>
      </w:r>
      <w:r w:rsidR="20D0BC9A" w:rsidRPr="5937A937">
        <w:rPr>
          <w:rFonts w:asciiTheme="majorHAnsi" w:hAnsiTheme="majorHAnsi" w:cstheme="majorBidi"/>
          <w:sz w:val="22"/>
          <w:szCs w:val="22"/>
          <w:lang w:val="en-GB"/>
        </w:rPr>
        <w:t xml:space="preserve"> (250 – 700 bar)</w:t>
      </w:r>
      <w:r w:rsidR="3C3024A0" w:rsidRPr="5937A937">
        <w:rPr>
          <w:rFonts w:asciiTheme="majorHAnsi" w:hAnsiTheme="majorHAnsi" w:cstheme="majorBidi"/>
          <w:sz w:val="22"/>
          <w:szCs w:val="22"/>
          <w:lang w:val="en-GB"/>
        </w:rPr>
        <w:t>,</w:t>
      </w:r>
      <w:r w:rsidR="20D0BC9A" w:rsidRPr="5937A937">
        <w:rPr>
          <w:rFonts w:asciiTheme="majorHAnsi" w:hAnsiTheme="majorHAnsi" w:cstheme="majorBidi"/>
          <w:sz w:val="22"/>
          <w:szCs w:val="22"/>
          <w:lang w:val="en-GB"/>
        </w:rPr>
        <w:t xml:space="preserve"> which requires a considerably input of energy</w:t>
      </w:r>
      <w:r w:rsidR="4F7C05CA" w:rsidRPr="5937A937">
        <w:rPr>
          <w:rFonts w:asciiTheme="majorHAnsi" w:hAnsiTheme="majorHAnsi" w:cstheme="majorBidi"/>
          <w:sz w:val="22"/>
          <w:szCs w:val="22"/>
          <w:lang w:val="en-GB"/>
        </w:rPr>
        <w:t xml:space="preserve">. In addition to pressure, the small molecules of hydrogen also </w:t>
      </w:r>
      <w:r w:rsidR="289B6DBD" w:rsidRPr="5937A937">
        <w:rPr>
          <w:rFonts w:asciiTheme="majorHAnsi" w:hAnsiTheme="majorHAnsi" w:cstheme="majorBidi"/>
          <w:sz w:val="22"/>
          <w:szCs w:val="22"/>
          <w:lang w:val="en-GB"/>
        </w:rPr>
        <w:t xml:space="preserve">pose </w:t>
      </w:r>
      <w:r w:rsidR="4E4695DF" w:rsidRPr="5937A937">
        <w:rPr>
          <w:rFonts w:asciiTheme="majorHAnsi" w:hAnsiTheme="majorHAnsi" w:cstheme="majorBidi"/>
          <w:sz w:val="22"/>
          <w:szCs w:val="22"/>
          <w:lang w:val="en-GB"/>
        </w:rPr>
        <w:t xml:space="preserve">a </w:t>
      </w:r>
      <w:r w:rsidR="04C85485" w:rsidRPr="5937A937">
        <w:rPr>
          <w:rFonts w:asciiTheme="majorHAnsi" w:hAnsiTheme="majorHAnsi" w:cstheme="majorBidi"/>
          <w:sz w:val="22"/>
          <w:szCs w:val="22"/>
          <w:lang w:val="en-GB"/>
        </w:rPr>
        <w:t>challenge</w:t>
      </w:r>
      <w:r w:rsidR="4F7C05CA" w:rsidRPr="5937A937">
        <w:rPr>
          <w:rFonts w:asciiTheme="majorHAnsi" w:hAnsiTheme="majorHAnsi" w:cstheme="majorBidi"/>
          <w:sz w:val="22"/>
          <w:szCs w:val="22"/>
          <w:lang w:val="en-GB"/>
        </w:rPr>
        <w:t xml:space="preserve"> </w:t>
      </w:r>
      <w:r w:rsidR="4A410ACA" w:rsidRPr="5937A937">
        <w:rPr>
          <w:rFonts w:asciiTheme="majorHAnsi" w:hAnsiTheme="majorHAnsi" w:cstheme="majorBidi"/>
          <w:sz w:val="22"/>
          <w:szCs w:val="22"/>
          <w:lang w:val="en-GB"/>
        </w:rPr>
        <w:t>for the</w:t>
      </w:r>
      <w:r w:rsidR="4F7C05CA" w:rsidRPr="5937A937">
        <w:rPr>
          <w:rFonts w:asciiTheme="majorHAnsi" w:hAnsiTheme="majorHAnsi" w:cstheme="majorBidi"/>
          <w:sz w:val="22"/>
          <w:szCs w:val="22"/>
          <w:lang w:val="en-GB"/>
        </w:rPr>
        <w:t xml:space="preserve"> </w:t>
      </w:r>
      <w:r w:rsidR="4A410ACA" w:rsidRPr="5937A937">
        <w:rPr>
          <w:rFonts w:asciiTheme="majorHAnsi" w:hAnsiTheme="majorHAnsi" w:cstheme="majorBidi"/>
          <w:sz w:val="22"/>
          <w:szCs w:val="22"/>
          <w:lang w:val="en-GB"/>
        </w:rPr>
        <w:t xml:space="preserve">design of </w:t>
      </w:r>
      <w:r w:rsidR="55314922" w:rsidRPr="5937A937">
        <w:rPr>
          <w:rFonts w:asciiTheme="majorHAnsi" w:hAnsiTheme="majorHAnsi" w:cstheme="majorBidi"/>
          <w:sz w:val="22"/>
          <w:szCs w:val="22"/>
          <w:lang w:val="en-GB"/>
        </w:rPr>
        <w:t xml:space="preserve">the </w:t>
      </w:r>
      <w:r w:rsidR="4F7C05CA" w:rsidRPr="5937A937">
        <w:rPr>
          <w:rFonts w:asciiTheme="majorHAnsi" w:hAnsiTheme="majorHAnsi" w:cstheme="majorBidi"/>
          <w:sz w:val="22"/>
          <w:szCs w:val="22"/>
          <w:lang w:val="en-GB"/>
        </w:rPr>
        <w:t>storage and transport systems</w:t>
      </w:r>
      <w:r w:rsidR="4E221080" w:rsidRPr="5937A937">
        <w:rPr>
          <w:rFonts w:asciiTheme="majorHAnsi" w:hAnsiTheme="majorHAnsi" w:cstheme="majorBidi"/>
          <w:sz w:val="22"/>
          <w:szCs w:val="22"/>
          <w:lang w:val="en-GB"/>
        </w:rPr>
        <w:t xml:space="preserve">, which is usually translated </w:t>
      </w:r>
      <w:r w:rsidR="6E516FF6" w:rsidRPr="5937A937">
        <w:rPr>
          <w:rFonts w:asciiTheme="majorHAnsi" w:hAnsiTheme="majorHAnsi" w:cstheme="majorBidi"/>
          <w:sz w:val="22"/>
          <w:szCs w:val="22"/>
          <w:lang w:val="en-GB"/>
        </w:rPr>
        <w:t xml:space="preserve">to </w:t>
      </w:r>
      <w:r w:rsidR="4E221080" w:rsidRPr="5937A937">
        <w:rPr>
          <w:rFonts w:asciiTheme="majorHAnsi" w:hAnsiTheme="majorHAnsi" w:cstheme="majorBidi"/>
          <w:sz w:val="22"/>
          <w:szCs w:val="22"/>
          <w:lang w:val="en-GB"/>
        </w:rPr>
        <w:t xml:space="preserve">increased </w:t>
      </w:r>
      <w:r w:rsidR="6E516FF6" w:rsidRPr="5937A937">
        <w:rPr>
          <w:rFonts w:asciiTheme="majorHAnsi" w:hAnsiTheme="majorHAnsi" w:cstheme="majorBidi"/>
          <w:sz w:val="22"/>
          <w:szCs w:val="22"/>
          <w:lang w:val="en-GB"/>
        </w:rPr>
        <w:t>capital expenditures</w:t>
      </w:r>
      <w:r w:rsidR="4F7C05CA" w:rsidRPr="5937A937">
        <w:rPr>
          <w:rFonts w:asciiTheme="majorHAnsi" w:hAnsiTheme="majorHAnsi" w:cstheme="majorBidi"/>
          <w:sz w:val="22"/>
          <w:szCs w:val="22"/>
          <w:lang w:val="en-GB"/>
        </w:rPr>
        <w:t xml:space="preserve">. </w:t>
      </w:r>
      <w:r w:rsidR="0453FC8C" w:rsidRPr="5937A937">
        <w:rPr>
          <w:rFonts w:asciiTheme="majorHAnsi" w:hAnsiTheme="majorHAnsi" w:cstheme="majorBidi"/>
          <w:sz w:val="22"/>
          <w:szCs w:val="22"/>
          <w:lang w:val="en-GB"/>
        </w:rPr>
        <w:t>Three types of hydrogen can be produced, depending on the process pathway. Grey hydrogen is</w:t>
      </w:r>
      <w:r w:rsidR="3DE378EB" w:rsidRPr="5937A937">
        <w:rPr>
          <w:rFonts w:asciiTheme="majorHAnsi" w:hAnsiTheme="majorHAnsi" w:cstheme="majorBidi"/>
          <w:sz w:val="22"/>
          <w:szCs w:val="22"/>
          <w:lang w:val="en-GB"/>
        </w:rPr>
        <w:t xml:space="preserve"> </w:t>
      </w:r>
      <w:r w:rsidR="0453FC8C" w:rsidRPr="5937A937">
        <w:rPr>
          <w:rFonts w:asciiTheme="majorHAnsi" w:hAnsiTheme="majorHAnsi" w:cstheme="majorBidi"/>
          <w:sz w:val="22"/>
          <w:szCs w:val="22"/>
          <w:lang w:val="en-GB"/>
        </w:rPr>
        <w:t>produced</w:t>
      </w:r>
      <w:r w:rsidR="3DE378EB" w:rsidRPr="5937A937">
        <w:rPr>
          <w:rFonts w:asciiTheme="majorHAnsi" w:hAnsiTheme="majorHAnsi" w:cstheme="majorBidi"/>
          <w:sz w:val="22"/>
          <w:szCs w:val="22"/>
          <w:lang w:val="en-GB"/>
        </w:rPr>
        <w:t xml:space="preserve"> </w:t>
      </w:r>
      <w:r w:rsidR="0453FC8C" w:rsidRPr="5937A937">
        <w:rPr>
          <w:rFonts w:asciiTheme="majorHAnsi" w:hAnsiTheme="majorHAnsi" w:cstheme="majorBidi"/>
          <w:sz w:val="22"/>
          <w:szCs w:val="22"/>
          <w:lang w:val="en-GB"/>
        </w:rPr>
        <w:t>via</w:t>
      </w:r>
      <w:r w:rsidR="3DE378EB" w:rsidRPr="5937A937">
        <w:rPr>
          <w:rFonts w:asciiTheme="majorHAnsi" w:hAnsiTheme="majorHAnsi" w:cstheme="majorBidi"/>
          <w:sz w:val="22"/>
          <w:szCs w:val="22"/>
          <w:lang w:val="en-GB"/>
        </w:rPr>
        <w:t xml:space="preserve"> natural gas reforming</w:t>
      </w:r>
      <w:r w:rsidR="11CF52E6" w:rsidRPr="5937A937">
        <w:rPr>
          <w:rFonts w:asciiTheme="majorHAnsi" w:hAnsiTheme="majorHAnsi" w:cstheme="majorBidi"/>
          <w:sz w:val="22"/>
          <w:szCs w:val="22"/>
          <w:lang w:val="en-GB"/>
        </w:rPr>
        <w:t xml:space="preserve">. </w:t>
      </w:r>
      <w:r w:rsidR="3DE378EB" w:rsidRPr="5937A937">
        <w:rPr>
          <w:rFonts w:asciiTheme="majorHAnsi" w:hAnsiTheme="majorHAnsi" w:cstheme="majorBidi"/>
          <w:sz w:val="22"/>
          <w:szCs w:val="22"/>
          <w:lang w:val="en-GB"/>
        </w:rPr>
        <w:t xml:space="preserve"> </w:t>
      </w:r>
      <w:r w:rsidR="0453FC8C" w:rsidRPr="5937A937">
        <w:rPr>
          <w:rFonts w:asciiTheme="majorHAnsi" w:hAnsiTheme="majorHAnsi" w:cstheme="majorBidi"/>
          <w:sz w:val="22"/>
          <w:szCs w:val="22"/>
          <w:lang w:val="en-GB"/>
        </w:rPr>
        <w:t>Blue hydrogen is produced by</w:t>
      </w:r>
      <w:r w:rsidR="3DE378EB" w:rsidRPr="5937A937">
        <w:rPr>
          <w:rFonts w:asciiTheme="majorHAnsi" w:hAnsiTheme="majorHAnsi" w:cstheme="majorBidi"/>
          <w:sz w:val="22"/>
          <w:szCs w:val="22"/>
          <w:lang w:val="en-GB"/>
        </w:rPr>
        <w:t xml:space="preserve"> coupl</w:t>
      </w:r>
      <w:r w:rsidR="0453FC8C" w:rsidRPr="5937A937">
        <w:rPr>
          <w:rFonts w:asciiTheme="majorHAnsi" w:hAnsiTheme="majorHAnsi" w:cstheme="majorBidi"/>
          <w:sz w:val="22"/>
          <w:szCs w:val="22"/>
          <w:lang w:val="en-GB"/>
        </w:rPr>
        <w:t>ing</w:t>
      </w:r>
      <w:r w:rsidR="3DE378EB" w:rsidRPr="5937A937">
        <w:rPr>
          <w:rFonts w:asciiTheme="majorHAnsi" w:hAnsiTheme="majorHAnsi" w:cstheme="majorBidi"/>
          <w:sz w:val="22"/>
          <w:szCs w:val="22"/>
          <w:lang w:val="en-GB"/>
        </w:rPr>
        <w:t xml:space="preserve"> carbon capture and storage (CCS)</w:t>
      </w:r>
      <w:r w:rsidR="70071FCB" w:rsidRPr="5937A937">
        <w:rPr>
          <w:rFonts w:asciiTheme="majorHAnsi" w:hAnsiTheme="majorHAnsi" w:cstheme="majorBidi"/>
          <w:sz w:val="22"/>
          <w:szCs w:val="22"/>
          <w:lang w:val="en-GB"/>
        </w:rPr>
        <w:t xml:space="preserve"> to the production of grey hydrogen</w:t>
      </w:r>
      <w:r w:rsidR="3DE378EB" w:rsidRPr="5937A937">
        <w:rPr>
          <w:rFonts w:asciiTheme="majorHAnsi" w:hAnsiTheme="majorHAnsi" w:cstheme="majorBidi"/>
          <w:sz w:val="22"/>
          <w:szCs w:val="22"/>
          <w:lang w:val="en-GB"/>
        </w:rPr>
        <w:t xml:space="preserve">. </w:t>
      </w:r>
      <w:r w:rsidR="70071FCB" w:rsidRPr="5937A937">
        <w:rPr>
          <w:rFonts w:asciiTheme="majorHAnsi" w:hAnsiTheme="majorHAnsi" w:cstheme="majorBidi"/>
          <w:sz w:val="22"/>
          <w:szCs w:val="22"/>
          <w:lang w:val="en-GB"/>
        </w:rPr>
        <w:t xml:space="preserve">Finally, </w:t>
      </w:r>
      <w:r w:rsidR="3DE378EB" w:rsidRPr="5937A937">
        <w:rPr>
          <w:rFonts w:asciiTheme="majorHAnsi" w:hAnsiTheme="majorHAnsi" w:cstheme="majorBidi"/>
          <w:sz w:val="22"/>
          <w:szCs w:val="22"/>
          <w:lang w:val="en-GB"/>
        </w:rPr>
        <w:t>green hydrogen is produced from renewable feedstock associated with renewable energy, for instance water electrolysis powered with solar electricity.</w:t>
      </w:r>
      <w:r w:rsidR="641856BC" w:rsidRPr="5937A937">
        <w:rPr>
          <w:rFonts w:asciiTheme="majorHAnsi" w:hAnsiTheme="majorHAnsi" w:cstheme="majorBidi"/>
          <w:sz w:val="22"/>
          <w:szCs w:val="22"/>
          <w:lang w:val="en-GB"/>
        </w:rPr>
        <w:t xml:space="preserve"> Hydrogen is, therefore, the alternative fuel which has the largest range on profile emissions.</w:t>
      </w:r>
      <w:r w:rsidR="3DE378EB" w:rsidRPr="5937A937">
        <w:rPr>
          <w:rFonts w:asciiTheme="majorHAnsi" w:hAnsiTheme="majorHAnsi" w:cstheme="majorBidi"/>
          <w:sz w:val="22"/>
          <w:szCs w:val="22"/>
          <w:lang w:val="en-GB"/>
        </w:rPr>
        <w:t xml:space="preserve"> </w:t>
      </w:r>
    </w:p>
    <w:p w14:paraId="2E92A715" w14:textId="4D74D9E3" w:rsidR="00D77FA1" w:rsidRPr="000D7D19" w:rsidRDefault="3A614F21" w:rsidP="5937A937">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b/>
          <w:bCs/>
          <w:sz w:val="22"/>
          <w:szCs w:val="22"/>
          <w:lang w:val="en-GB"/>
        </w:rPr>
        <w:t>Methanol</w:t>
      </w:r>
      <w:r w:rsidR="6F283FD5" w:rsidRPr="5937A937">
        <w:rPr>
          <w:rFonts w:asciiTheme="majorHAnsi" w:hAnsiTheme="majorHAnsi" w:cstheme="majorBidi"/>
          <w:b/>
          <w:bCs/>
          <w:sz w:val="22"/>
          <w:szCs w:val="22"/>
          <w:lang w:val="en-GB"/>
        </w:rPr>
        <w:t xml:space="preserve"> </w:t>
      </w:r>
      <w:r w:rsidR="6F283FD5" w:rsidRPr="5937A937">
        <w:rPr>
          <w:rFonts w:asciiTheme="majorHAnsi" w:hAnsiTheme="majorHAnsi" w:cstheme="majorBidi"/>
          <w:sz w:val="22"/>
          <w:szCs w:val="22"/>
          <w:lang w:val="en-GB"/>
        </w:rPr>
        <w:t xml:space="preserve">is </w:t>
      </w:r>
      <w:r w:rsidR="384E4D5C" w:rsidRPr="5937A937">
        <w:rPr>
          <w:rFonts w:asciiTheme="majorHAnsi" w:hAnsiTheme="majorHAnsi" w:cstheme="majorBidi"/>
          <w:sz w:val="22"/>
          <w:szCs w:val="22"/>
          <w:lang w:val="en-GB"/>
        </w:rPr>
        <w:t xml:space="preserve">an </w:t>
      </w:r>
      <w:r w:rsidR="6F283FD5" w:rsidRPr="5937A937">
        <w:rPr>
          <w:rFonts w:asciiTheme="majorHAnsi" w:hAnsiTheme="majorHAnsi" w:cstheme="majorBidi"/>
          <w:sz w:val="22"/>
          <w:szCs w:val="22"/>
          <w:lang w:val="en-GB"/>
        </w:rPr>
        <w:t>alcohol with the lowest carbon/ hydrogen proportion among all liquid fuels. It is liquid at ambient temperatures</w:t>
      </w:r>
      <w:r w:rsidR="5787BC13" w:rsidRPr="5937A937">
        <w:rPr>
          <w:rFonts w:asciiTheme="majorHAnsi" w:hAnsiTheme="majorHAnsi" w:cstheme="majorBidi"/>
          <w:sz w:val="22"/>
          <w:szCs w:val="22"/>
          <w:lang w:val="en-GB"/>
        </w:rPr>
        <w:t>; which facilitates its</w:t>
      </w:r>
      <w:r w:rsidR="6F283FD5" w:rsidRPr="5937A937">
        <w:rPr>
          <w:rFonts w:asciiTheme="majorHAnsi" w:hAnsiTheme="majorHAnsi" w:cstheme="majorBidi"/>
          <w:sz w:val="22"/>
          <w:szCs w:val="22"/>
          <w:lang w:val="en-GB"/>
        </w:rPr>
        <w:t xml:space="preserve"> stor</w:t>
      </w:r>
      <w:r w:rsidR="5787BC13" w:rsidRPr="5937A937">
        <w:rPr>
          <w:rFonts w:asciiTheme="majorHAnsi" w:hAnsiTheme="majorHAnsi" w:cstheme="majorBidi"/>
          <w:sz w:val="22"/>
          <w:szCs w:val="22"/>
          <w:lang w:val="en-GB"/>
        </w:rPr>
        <w:t>age</w:t>
      </w:r>
      <w:r w:rsidR="6F283FD5" w:rsidRPr="5937A937">
        <w:rPr>
          <w:rFonts w:asciiTheme="majorHAnsi" w:hAnsiTheme="majorHAnsi" w:cstheme="majorBidi"/>
          <w:sz w:val="22"/>
          <w:szCs w:val="22"/>
          <w:lang w:val="en-GB"/>
        </w:rPr>
        <w:t xml:space="preserve"> and </w:t>
      </w:r>
      <w:r w:rsidR="21211895" w:rsidRPr="5937A937">
        <w:rPr>
          <w:rFonts w:asciiTheme="majorHAnsi" w:hAnsiTheme="majorHAnsi" w:cstheme="majorBidi"/>
          <w:sz w:val="22"/>
          <w:szCs w:val="22"/>
          <w:lang w:val="en-GB"/>
        </w:rPr>
        <w:t>transportation</w:t>
      </w:r>
      <w:r w:rsidR="6F283FD5" w:rsidRPr="5937A937">
        <w:rPr>
          <w:rFonts w:asciiTheme="majorHAnsi" w:hAnsiTheme="majorHAnsi" w:cstheme="majorBidi"/>
          <w:sz w:val="22"/>
          <w:szCs w:val="22"/>
          <w:lang w:val="en-GB"/>
        </w:rPr>
        <w:t xml:space="preserve"> in comparison with the gas</w:t>
      </w:r>
      <w:r w:rsidR="308600ED" w:rsidRPr="5937A937">
        <w:rPr>
          <w:rFonts w:asciiTheme="majorHAnsi" w:hAnsiTheme="majorHAnsi" w:cstheme="majorBidi"/>
          <w:sz w:val="22"/>
          <w:szCs w:val="22"/>
          <w:lang w:val="en-GB"/>
        </w:rPr>
        <w:t>eous</w:t>
      </w:r>
      <w:r w:rsidR="6F283FD5" w:rsidRPr="5937A937">
        <w:rPr>
          <w:rFonts w:asciiTheme="majorHAnsi" w:hAnsiTheme="majorHAnsi" w:cstheme="majorBidi"/>
          <w:sz w:val="22"/>
          <w:szCs w:val="22"/>
          <w:lang w:val="en-GB"/>
        </w:rPr>
        <w:t xml:space="preserve"> alternatives. Nevertheless, it has a lower energetic content and, therefore, require</w:t>
      </w:r>
      <w:r w:rsidR="1B3F6174" w:rsidRPr="5937A937">
        <w:rPr>
          <w:rFonts w:asciiTheme="majorHAnsi" w:hAnsiTheme="majorHAnsi" w:cstheme="majorBidi"/>
          <w:sz w:val="22"/>
          <w:szCs w:val="22"/>
          <w:lang w:val="en-GB"/>
        </w:rPr>
        <w:t>s</w:t>
      </w:r>
      <w:r w:rsidR="6F283FD5" w:rsidRPr="5937A937">
        <w:rPr>
          <w:rFonts w:asciiTheme="majorHAnsi" w:hAnsiTheme="majorHAnsi" w:cstheme="majorBidi"/>
          <w:sz w:val="22"/>
          <w:szCs w:val="22"/>
          <w:lang w:val="en-GB"/>
        </w:rPr>
        <w:t xml:space="preserve"> larger fuel tanks to keep the same autonomy in comparison to regular liquid fossil fuels.</w:t>
      </w:r>
      <w:r w:rsidR="4A507EEE" w:rsidRPr="5937A937">
        <w:rPr>
          <w:rFonts w:asciiTheme="majorHAnsi" w:hAnsiTheme="majorHAnsi" w:cstheme="majorBidi"/>
          <w:sz w:val="22"/>
          <w:szCs w:val="22"/>
          <w:lang w:val="en-GB"/>
        </w:rPr>
        <w:t xml:space="preserve"> The </w:t>
      </w:r>
      <w:r w:rsidR="05EFC854" w:rsidRPr="5937A937">
        <w:rPr>
          <w:rFonts w:asciiTheme="majorHAnsi" w:hAnsiTheme="majorHAnsi" w:cstheme="majorBidi"/>
          <w:sz w:val="22"/>
          <w:szCs w:val="22"/>
          <w:lang w:val="en-GB"/>
        </w:rPr>
        <w:t xml:space="preserve">typical reduction in </w:t>
      </w:r>
      <w:r w:rsidR="4A507EEE" w:rsidRPr="5937A937">
        <w:rPr>
          <w:rFonts w:asciiTheme="majorHAnsi" w:hAnsiTheme="majorHAnsi" w:cstheme="majorBidi"/>
          <w:sz w:val="22"/>
          <w:szCs w:val="22"/>
          <w:lang w:val="en-GB"/>
        </w:rPr>
        <w:t xml:space="preserve">engine emissions </w:t>
      </w:r>
      <w:r w:rsidR="3CD030F3" w:rsidRPr="5937A937">
        <w:rPr>
          <w:rFonts w:asciiTheme="majorHAnsi" w:hAnsiTheme="majorHAnsi" w:cstheme="majorBidi"/>
          <w:sz w:val="22"/>
          <w:szCs w:val="22"/>
          <w:lang w:val="en-GB"/>
        </w:rPr>
        <w:t>is</w:t>
      </w:r>
      <w:r w:rsidR="4A507EEE" w:rsidRPr="5937A937">
        <w:rPr>
          <w:rFonts w:asciiTheme="majorHAnsi" w:hAnsiTheme="majorHAnsi" w:cstheme="majorBidi"/>
          <w:sz w:val="22"/>
          <w:szCs w:val="22"/>
          <w:lang w:val="en-GB"/>
        </w:rPr>
        <w:t xml:space="preserve"> </w:t>
      </w:r>
      <w:r w:rsidR="05EFC854" w:rsidRPr="5937A937">
        <w:rPr>
          <w:rFonts w:asciiTheme="majorHAnsi" w:hAnsiTheme="majorHAnsi" w:cstheme="majorBidi"/>
          <w:sz w:val="22"/>
          <w:szCs w:val="22"/>
          <w:lang w:val="en-GB"/>
        </w:rPr>
        <w:t xml:space="preserve">99 % for </w:t>
      </w:r>
      <w:proofErr w:type="spellStart"/>
      <w:r w:rsidR="05EFC854" w:rsidRPr="5937A937">
        <w:rPr>
          <w:rFonts w:asciiTheme="majorHAnsi" w:hAnsiTheme="majorHAnsi" w:cstheme="majorBidi"/>
          <w:sz w:val="22"/>
          <w:szCs w:val="22"/>
          <w:lang w:val="en-GB"/>
        </w:rPr>
        <w:t>SO</w:t>
      </w:r>
      <w:r w:rsidR="05EFC854" w:rsidRPr="00EF56D6">
        <w:rPr>
          <w:rFonts w:asciiTheme="majorHAnsi" w:hAnsiTheme="majorHAnsi" w:cstheme="majorBidi"/>
          <w:sz w:val="22"/>
          <w:szCs w:val="22"/>
          <w:vertAlign w:val="subscript"/>
          <w:lang w:val="en-GB"/>
        </w:rPr>
        <w:t>x</w:t>
      </w:r>
      <w:proofErr w:type="spellEnd"/>
      <w:r w:rsidR="05EFC854" w:rsidRPr="5937A937">
        <w:rPr>
          <w:rFonts w:asciiTheme="majorHAnsi" w:hAnsiTheme="majorHAnsi" w:cstheme="majorBidi"/>
          <w:sz w:val="22"/>
          <w:szCs w:val="22"/>
          <w:lang w:val="en-GB"/>
        </w:rPr>
        <w:t>, 60 % NO</w:t>
      </w:r>
      <w:r w:rsidR="05EFC854" w:rsidRPr="00EF56D6">
        <w:rPr>
          <w:rFonts w:asciiTheme="majorHAnsi" w:hAnsiTheme="majorHAnsi" w:cstheme="majorBidi"/>
          <w:sz w:val="22"/>
          <w:szCs w:val="22"/>
          <w:vertAlign w:val="subscript"/>
          <w:lang w:val="en-GB"/>
        </w:rPr>
        <w:t>x</w:t>
      </w:r>
      <w:r w:rsidR="05EFC854" w:rsidRPr="5937A937">
        <w:rPr>
          <w:rFonts w:asciiTheme="majorHAnsi" w:hAnsiTheme="majorHAnsi" w:cstheme="majorBidi"/>
          <w:sz w:val="22"/>
          <w:szCs w:val="22"/>
          <w:lang w:val="en-GB"/>
        </w:rPr>
        <w:t xml:space="preserve">, 95 % </w:t>
      </w:r>
      <w:r w:rsidR="56E64B07" w:rsidRPr="5937A937">
        <w:rPr>
          <w:rFonts w:asciiTheme="majorHAnsi" w:hAnsiTheme="majorHAnsi" w:cstheme="majorBidi"/>
          <w:sz w:val="22"/>
          <w:szCs w:val="22"/>
          <w:lang w:val="en-GB"/>
        </w:rPr>
        <w:t>PMs</w:t>
      </w:r>
      <w:r w:rsidR="05EFC854" w:rsidRPr="5937A937">
        <w:rPr>
          <w:rFonts w:asciiTheme="majorHAnsi" w:hAnsiTheme="majorHAnsi" w:cstheme="majorBidi"/>
          <w:sz w:val="22"/>
          <w:szCs w:val="22"/>
          <w:lang w:val="en-GB"/>
        </w:rPr>
        <w:t xml:space="preserve"> and 25 % </w:t>
      </w:r>
      <w:proofErr w:type="spellStart"/>
      <w:r w:rsidR="05EFC854" w:rsidRPr="5937A937">
        <w:rPr>
          <w:rFonts w:asciiTheme="majorHAnsi" w:hAnsiTheme="majorHAnsi" w:cstheme="majorBidi"/>
          <w:sz w:val="22"/>
          <w:szCs w:val="22"/>
          <w:lang w:val="en-GB"/>
        </w:rPr>
        <w:t>CO</w:t>
      </w:r>
      <w:r w:rsidR="05EFC854" w:rsidRPr="00EF56D6">
        <w:rPr>
          <w:rFonts w:asciiTheme="majorHAnsi" w:hAnsiTheme="majorHAnsi" w:cstheme="majorBidi"/>
          <w:sz w:val="22"/>
          <w:szCs w:val="22"/>
          <w:vertAlign w:val="subscript"/>
          <w:lang w:val="en-GB"/>
        </w:rPr>
        <w:t>x</w:t>
      </w:r>
      <w:proofErr w:type="spellEnd"/>
      <w:r w:rsidR="05EFC854"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21211895" w:rsidRPr="5937A937">
        <w:rPr>
          <w:rFonts w:asciiTheme="majorHAnsi" w:hAnsiTheme="majorHAnsi" w:cstheme="majorBidi"/>
          <w:noProof/>
          <w:sz w:val="22"/>
          <w:szCs w:val="22"/>
          <w:lang w:val="en-GB"/>
        </w:rPr>
        <w:t>(Balcombe et al., 2019)</w:t>
      </w:r>
      <w:r w:rsidR="00D0363C" w:rsidRPr="5937A937">
        <w:rPr>
          <w:rFonts w:asciiTheme="majorHAnsi" w:hAnsiTheme="majorHAnsi" w:cstheme="majorBidi"/>
          <w:sz w:val="22"/>
          <w:szCs w:val="22"/>
          <w:lang w:val="en-GB"/>
        </w:rPr>
        <w:fldChar w:fldCharType="end"/>
      </w:r>
      <w:r w:rsidR="05EFC854" w:rsidRPr="5937A937">
        <w:rPr>
          <w:rFonts w:asciiTheme="majorHAnsi" w:hAnsiTheme="majorHAnsi" w:cstheme="majorBidi"/>
          <w:sz w:val="22"/>
          <w:szCs w:val="22"/>
          <w:lang w:val="en-GB"/>
        </w:rPr>
        <w:t xml:space="preserve">. </w:t>
      </w:r>
      <w:r w:rsidR="4A507EEE" w:rsidRPr="5937A937">
        <w:rPr>
          <w:rFonts w:asciiTheme="majorHAnsi" w:hAnsiTheme="majorHAnsi" w:cstheme="majorBidi"/>
          <w:sz w:val="22"/>
          <w:szCs w:val="22"/>
          <w:lang w:val="en-GB"/>
        </w:rPr>
        <w:t xml:space="preserve">Methanol can be operated in a range of combustion engines, </w:t>
      </w:r>
      <w:proofErr w:type="spellStart"/>
      <w:r w:rsidR="4A507EEE" w:rsidRPr="5937A937">
        <w:rPr>
          <w:rFonts w:asciiTheme="majorHAnsi" w:hAnsiTheme="majorHAnsi" w:cstheme="majorBidi"/>
          <w:sz w:val="22"/>
          <w:szCs w:val="22"/>
          <w:lang w:val="en-GB"/>
        </w:rPr>
        <w:t>e.g</w:t>
      </w:r>
      <w:proofErr w:type="spellEnd"/>
      <w:r w:rsidR="4A507EEE" w:rsidRPr="5937A937">
        <w:rPr>
          <w:rFonts w:asciiTheme="majorHAnsi" w:hAnsiTheme="majorHAnsi" w:cstheme="majorBidi"/>
          <w:sz w:val="22"/>
          <w:szCs w:val="22"/>
          <w:lang w:val="en-GB"/>
        </w:rPr>
        <w:t xml:space="preserve">, 2 and 4 strokes and Otto. </w:t>
      </w:r>
      <w:r w:rsidR="05EFC854" w:rsidRPr="5937A937">
        <w:rPr>
          <w:rFonts w:asciiTheme="majorHAnsi" w:hAnsiTheme="majorHAnsi" w:cstheme="majorBidi"/>
          <w:sz w:val="22"/>
          <w:szCs w:val="22"/>
          <w:lang w:val="en-GB"/>
        </w:rPr>
        <w:t>In</w:t>
      </w:r>
      <w:r w:rsidR="4A507EEE" w:rsidRPr="5937A937">
        <w:rPr>
          <w:rFonts w:asciiTheme="majorHAnsi" w:hAnsiTheme="majorHAnsi" w:cstheme="majorBidi"/>
          <w:sz w:val="22"/>
          <w:szCs w:val="22"/>
          <w:lang w:val="en-GB"/>
        </w:rPr>
        <w:t xml:space="preserve"> dual fuel engines methanol-air mixture is compressed and ignited by a diesel injection, or it is injected in </w:t>
      </w:r>
      <w:r w:rsidR="6024233E" w:rsidRPr="5937A937">
        <w:rPr>
          <w:rFonts w:asciiTheme="majorHAnsi" w:hAnsiTheme="majorHAnsi" w:cstheme="majorBidi"/>
          <w:sz w:val="22"/>
          <w:szCs w:val="22"/>
          <w:lang w:val="en-GB"/>
        </w:rPr>
        <w:t xml:space="preserve">a </w:t>
      </w:r>
      <w:r w:rsidR="4A507EEE" w:rsidRPr="5937A937">
        <w:rPr>
          <w:rFonts w:asciiTheme="majorHAnsi" w:hAnsiTheme="majorHAnsi" w:cstheme="majorBidi"/>
          <w:sz w:val="22"/>
          <w:szCs w:val="22"/>
          <w:lang w:val="en-GB"/>
        </w:rPr>
        <w:t>diesel</w:t>
      </w:r>
      <w:r w:rsidR="6F8E54D3" w:rsidRPr="5937A937">
        <w:rPr>
          <w:rFonts w:asciiTheme="majorHAnsi" w:hAnsiTheme="majorHAnsi" w:cstheme="majorBidi"/>
          <w:sz w:val="22"/>
          <w:szCs w:val="22"/>
          <w:lang w:val="en-GB"/>
        </w:rPr>
        <w:t xml:space="preserve"> pilot</w:t>
      </w:r>
      <w:r w:rsidR="4A507EEE" w:rsidRPr="5937A937">
        <w:rPr>
          <w:rFonts w:asciiTheme="majorHAnsi" w:hAnsiTheme="majorHAnsi" w:cstheme="majorBidi"/>
          <w:sz w:val="22"/>
          <w:szCs w:val="22"/>
          <w:lang w:val="en-GB"/>
        </w:rPr>
        <w:t>, similarly to gas-diesel system</w:t>
      </w:r>
      <w:r w:rsidR="28E12C3A"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{"citationItems":[{"id":"ITEM-1","itemData":{"DOI":"10.1016/j.jclepro.2014.03.052","ISSN":"09596526","abstract":"The combined effort of reducing the emissions of sulphur dioxide, nitrogen oxides and greenhouse gases to comply with future regulations and reduce impact on climate change will require a significant change in ship propulsion. One alternative is to change fuels. In this study we compare the life cycle environmental performance of liquefied natural gas (LNG), liquefied biogas (LBG), methanol and bio-methanol. We also highlight a number of important aspects to consider when selecting marine fuels. A transition to use of LNG or methanol produced from natural gas would significantly improve the overall environmental performance. However, the impact on climate change is of the same order of magnitude as with use of heavy fuel oil. It is only the use of LBG and bio-methanol that has the potential to reduce the climate impact. The analysis did not show any significant differences in environmental performance between methane and methanol when produced from the same raw materials, but the performance of the methanol engines are yet to be validated. © 2014 Elsevier Ltd. All rights reserved.","author":[{"dropping-particle":"","family":"Brynolf","given":"Selma","non-dropping-particle":"","parse-names":false,"suffix":""},{"dropping-particle":"","family":"Fridell","given":"Erik","non-dropping-particle":"","parse-names":false,"suffix":""},{"dropping-particle":"","family":"Andersson","given":"Karin","non-dropping-particle":"","parse-names":false,"suffix":""}],"container-title":"Journal of Cleaner Production","id":"ITEM-1","issue":"X","issued":{"date-parts":[["2014"]]},"page":"86-95","title":"Environmental assessment of marine fuels: Liquefied natural gas, liquefied biogas, methanol and bio-methanol","type":"article-journal","volume":"74"},"uris":["http://www.mendeley.com/documents/?uuid=4b4b5665-fff8-4dd6-a44a-12c90be3c561"]}],"mendeley":{"formattedCitation":"(Brynolf et al., 2014)","plainTextFormattedCitation":"(Brynolf et al., 2014)","previouslyFormattedCitation":"(Brynolf et al., 2014)"},"properties":{"noteIndex":0},"schema":"https://github.com/citation-style-language/schema/raw/master/csl-citation.json"}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28E12C3A" w:rsidRPr="5937A937">
        <w:rPr>
          <w:rFonts w:asciiTheme="majorHAnsi" w:hAnsiTheme="majorHAnsi" w:cstheme="majorBidi"/>
          <w:noProof/>
          <w:sz w:val="22"/>
          <w:szCs w:val="22"/>
          <w:lang w:val="en-GB"/>
        </w:rPr>
        <w:t xml:space="preserve">(Brynolf et al., </w:t>
      </w:r>
      <w:r w:rsidR="28E12C3A" w:rsidRPr="5937A937">
        <w:rPr>
          <w:rFonts w:asciiTheme="majorHAnsi" w:hAnsiTheme="majorHAnsi" w:cstheme="majorBidi"/>
          <w:noProof/>
          <w:sz w:val="22"/>
          <w:szCs w:val="22"/>
          <w:lang w:val="en-GB"/>
        </w:rPr>
        <w:lastRenderedPageBreak/>
        <w:t>2014)</w:t>
      </w:r>
      <w:r w:rsidR="00D0363C" w:rsidRPr="5937A937">
        <w:rPr>
          <w:rFonts w:asciiTheme="majorHAnsi" w:hAnsiTheme="majorHAnsi" w:cstheme="majorBidi"/>
          <w:sz w:val="22"/>
          <w:szCs w:val="22"/>
          <w:lang w:val="en-GB"/>
        </w:rPr>
        <w:fldChar w:fldCharType="end"/>
      </w:r>
      <w:r w:rsidR="4A507EEE" w:rsidRPr="5937A937">
        <w:rPr>
          <w:rFonts w:asciiTheme="majorHAnsi" w:hAnsiTheme="majorHAnsi" w:cstheme="majorBidi"/>
          <w:sz w:val="22"/>
          <w:szCs w:val="22"/>
          <w:lang w:val="en-GB"/>
        </w:rPr>
        <w:t>.</w:t>
      </w:r>
      <w:r w:rsidR="0B3846CE" w:rsidRPr="5937A937">
        <w:rPr>
          <w:rFonts w:asciiTheme="majorHAnsi" w:hAnsiTheme="majorHAnsi" w:cstheme="majorBidi"/>
          <w:sz w:val="22"/>
          <w:szCs w:val="22"/>
          <w:lang w:val="en-GB"/>
        </w:rPr>
        <w:t xml:space="preserve"> Methanol can also be used in fuel cells engines, but technology is </w:t>
      </w:r>
      <w:r w:rsidR="35411192" w:rsidRPr="5937A937">
        <w:rPr>
          <w:rFonts w:asciiTheme="majorHAnsi" w:hAnsiTheme="majorHAnsi" w:cstheme="majorBidi"/>
          <w:sz w:val="22"/>
          <w:szCs w:val="22"/>
          <w:lang w:val="en-GB"/>
        </w:rPr>
        <w:t xml:space="preserve">still </w:t>
      </w:r>
      <w:r w:rsidR="0B3846CE" w:rsidRPr="5937A937">
        <w:rPr>
          <w:rFonts w:asciiTheme="majorHAnsi" w:hAnsiTheme="majorHAnsi" w:cstheme="majorBidi"/>
          <w:sz w:val="22"/>
          <w:szCs w:val="22"/>
          <w:lang w:val="en-GB"/>
        </w:rPr>
        <w:t>immature.</w:t>
      </w:r>
      <w:r w:rsidR="05EFC854" w:rsidRPr="5937A937">
        <w:rPr>
          <w:rFonts w:asciiTheme="majorHAnsi" w:hAnsiTheme="majorHAnsi" w:cstheme="majorBidi"/>
          <w:sz w:val="22"/>
          <w:szCs w:val="22"/>
          <w:lang w:val="en-GB"/>
        </w:rPr>
        <w:t xml:space="preserve"> The global market for methanol is about </w:t>
      </w:r>
      <w:r w:rsidR="35DB8914" w:rsidRPr="5937A937">
        <w:rPr>
          <w:rFonts w:asciiTheme="majorHAnsi" w:hAnsiTheme="majorHAnsi" w:cstheme="majorBidi"/>
          <w:sz w:val="22"/>
          <w:szCs w:val="22"/>
          <w:lang w:val="en-GB"/>
        </w:rPr>
        <w:t>100 million tons</w:t>
      </w:r>
      <w:r w:rsidR="0B3846CE" w:rsidRPr="5937A937">
        <w:rPr>
          <w:rFonts w:asciiTheme="majorHAnsi" w:hAnsiTheme="majorHAnsi" w:cstheme="majorBidi"/>
          <w:sz w:val="22"/>
          <w:szCs w:val="22"/>
          <w:lang w:val="en-GB"/>
        </w:rPr>
        <w:t>,</w:t>
      </w:r>
      <w:r w:rsidR="35DB8914" w:rsidRPr="5937A937">
        <w:rPr>
          <w:rFonts w:asciiTheme="majorHAnsi" w:hAnsiTheme="majorHAnsi" w:cstheme="majorBidi"/>
          <w:sz w:val="22"/>
          <w:szCs w:val="22"/>
          <w:lang w:val="en-GB"/>
        </w:rPr>
        <w:t xml:space="preserve"> </w:t>
      </w:r>
      <w:r w:rsidR="783BE2F4" w:rsidRPr="5937A937">
        <w:rPr>
          <w:rFonts w:asciiTheme="majorHAnsi" w:hAnsiTheme="majorHAnsi" w:cstheme="majorBidi"/>
          <w:sz w:val="22"/>
          <w:szCs w:val="22"/>
          <w:lang w:val="en-GB"/>
        </w:rPr>
        <w:t>primarily</w:t>
      </w:r>
      <w:r w:rsidR="35DB8914" w:rsidRPr="5937A937">
        <w:rPr>
          <w:rFonts w:asciiTheme="majorHAnsi" w:hAnsiTheme="majorHAnsi" w:cstheme="majorBidi"/>
          <w:sz w:val="22"/>
          <w:szCs w:val="22"/>
          <w:lang w:val="en-GB"/>
        </w:rPr>
        <w:t xml:space="preserve"> for chemical applications, placing it as one of the top five chemicals commodities</w:t>
      </w:r>
      <w:r w:rsidR="64AD3CF4"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{"citationItems":[{"id":"ITEM-1","itemData":{"DOI":"10.1595/205651320x15924055217177","ISBN":"205651320X","ISSN":"20565135","abstract":"One of the more evocative cases of disruptive innovation is how steam powered vessels displaced sailing ships in the 19th century. Independent of wind and currents, shipping entered a new age. Faster shipping enabled more efficient trading and easier international travel. It fuelled economic growth and wealth creation. This transition was not rapid, taking half a century to evolve, a period in which hybrid vessels, those using sails and steam generated power were a common sight. The age of steam brought a period of change which affected many aspects of shipping, not only its appearance and practices but also its environmental impact. It facilitated further disruption and the emergence of what has become the industry standard for a ‘prime mover’: the diesel engine. Achieving the decarbonisation of the shipping fleet as soon as possible this century will be one of the most significant disruptions the shipping sector has had to manage. Meaningful change by 2050 requires strategic development and decisive action today, made all the more complicated by the immediate demands that the sector manages both the current and longer term impact that the COVID-19 pandemic will have on the shipping industry. This paper looks briefly at the transition from wind power to carbon based fuel power to gain insight into how the shipping sector manages disruptive change. It also reviews some technology options the shipping sector could adopt to reduce its environmental impact to meet a timetable of international requirements on ship emissions limits. The paper will focus on how the engine room might evolve with changes in: (i) energy conversion, how power is generated on board, i.e. the engine; and (ii) energy storage, i.e. choice of fuel.","author":[{"dropping-particle":"","family":"McCarney","given":"Joseph","non-dropping-particle":"","parse-names":false,"suffix":""}],"container-title":"Johnson Matthey Technology Review","id":"ITEM-1","issue":"3","issued":{"date-parts":[["2020"]]},"page":"374-392","title":"Evolution in the engine room: A review of technologies to deliver decarbonised, sustainable shipping technology options for the shipping sector to meet international ship emissions limits","type":"article-journal","volume":"64"},"uris":["http://www.mendeley.com/documents/?uuid=991342a3-a5df-4350-b415-07d18be0eb4c"]}],"mendeley":{"formattedCitation":"(McCarney, 2020)","plainTextFormattedCitation":"(McCarney, 2020)","previouslyFormattedCitation":"(McCarney, 2020)"},"properties":{"noteIndex":0},"schema":"https://github.com/citation-style-language/schema/raw/master/csl-citation.json"}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64AD3CF4" w:rsidRPr="5937A937">
        <w:rPr>
          <w:rFonts w:asciiTheme="majorHAnsi" w:hAnsiTheme="majorHAnsi" w:cstheme="majorBidi"/>
          <w:noProof/>
          <w:sz w:val="22"/>
          <w:szCs w:val="22"/>
          <w:lang w:val="en-GB"/>
        </w:rPr>
        <w:t>(McCarney, 2020)</w:t>
      </w:r>
      <w:r w:rsidR="00D0363C" w:rsidRPr="5937A937">
        <w:rPr>
          <w:rFonts w:asciiTheme="majorHAnsi" w:hAnsiTheme="majorHAnsi" w:cstheme="majorBidi"/>
          <w:sz w:val="22"/>
          <w:szCs w:val="22"/>
          <w:lang w:val="en-GB"/>
        </w:rPr>
        <w:fldChar w:fldCharType="end"/>
      </w:r>
      <w:r w:rsidR="35DB8914" w:rsidRPr="5937A937">
        <w:rPr>
          <w:rFonts w:asciiTheme="majorHAnsi" w:hAnsiTheme="majorHAnsi" w:cstheme="majorBidi"/>
          <w:sz w:val="22"/>
          <w:szCs w:val="22"/>
          <w:lang w:val="en-GB"/>
        </w:rPr>
        <w:t xml:space="preserve">. The structure and knowledge already in place </w:t>
      </w:r>
      <w:r w:rsidR="0B3846CE" w:rsidRPr="5937A937">
        <w:rPr>
          <w:rFonts w:asciiTheme="majorHAnsi" w:hAnsiTheme="majorHAnsi" w:cstheme="majorBidi"/>
          <w:sz w:val="22"/>
          <w:szCs w:val="22"/>
          <w:lang w:val="en-GB"/>
        </w:rPr>
        <w:t>could benefit its eventual use in the transport sector.</w:t>
      </w:r>
      <w:r w:rsidR="35DB8914" w:rsidRPr="5937A937">
        <w:rPr>
          <w:rFonts w:asciiTheme="majorHAnsi" w:hAnsiTheme="majorHAnsi" w:cstheme="majorBidi"/>
          <w:sz w:val="22"/>
          <w:szCs w:val="22"/>
          <w:lang w:val="en-GB"/>
        </w:rPr>
        <w:t xml:space="preserve"> </w:t>
      </w:r>
      <w:r w:rsidR="05EFC854" w:rsidRPr="5937A937">
        <w:rPr>
          <w:rFonts w:asciiTheme="majorHAnsi" w:hAnsiTheme="majorHAnsi" w:cstheme="majorBidi"/>
          <w:sz w:val="22"/>
          <w:szCs w:val="22"/>
          <w:lang w:val="en-GB"/>
        </w:rPr>
        <w:t>Comparably to the other alternative fuels, the production background of methanol has a significant impact on its total emissions.</w:t>
      </w:r>
      <w:r w:rsidR="783BE2F4" w:rsidRPr="5937A937">
        <w:rPr>
          <w:rFonts w:asciiTheme="majorHAnsi" w:hAnsiTheme="majorHAnsi" w:cstheme="majorBidi"/>
          <w:sz w:val="22"/>
          <w:szCs w:val="22"/>
          <w:lang w:val="en-GB"/>
        </w:rPr>
        <w:t xml:space="preserve"> </w:t>
      </w:r>
      <w:r w:rsidR="4A80B090" w:rsidRPr="5937A937">
        <w:rPr>
          <w:rFonts w:asciiTheme="majorHAnsi" w:hAnsiTheme="majorHAnsi" w:cstheme="majorBidi"/>
          <w:sz w:val="22"/>
          <w:szCs w:val="22"/>
          <w:lang w:val="en-GB"/>
        </w:rPr>
        <w:t xml:space="preserve">It can be produced from many sources, for instance, natural gas reforming, </w:t>
      </w:r>
      <w:r w:rsidR="0BACE6A1" w:rsidRPr="5937A937">
        <w:rPr>
          <w:rFonts w:asciiTheme="majorHAnsi" w:hAnsiTheme="majorHAnsi" w:cstheme="majorBidi"/>
          <w:sz w:val="22"/>
          <w:szCs w:val="22"/>
          <w:lang w:val="en-GB"/>
        </w:rPr>
        <w:t>catalytic hydrogenation of CO</w:t>
      </w:r>
      <w:r w:rsidR="0BACE6A1" w:rsidRPr="5937A937">
        <w:rPr>
          <w:rFonts w:asciiTheme="majorHAnsi" w:hAnsiTheme="majorHAnsi" w:cstheme="majorBidi"/>
          <w:sz w:val="22"/>
          <w:szCs w:val="22"/>
          <w:vertAlign w:val="subscript"/>
          <w:lang w:val="en-GB"/>
        </w:rPr>
        <w:t>2</w:t>
      </w:r>
      <w:r w:rsidR="0BACE6A1" w:rsidRPr="5937A937">
        <w:rPr>
          <w:rFonts w:asciiTheme="majorHAnsi" w:hAnsiTheme="majorHAnsi" w:cstheme="majorBidi"/>
          <w:sz w:val="22"/>
          <w:szCs w:val="22"/>
          <w:lang w:val="en-GB"/>
        </w:rPr>
        <w:t xml:space="preserve"> waste streams or from biomass </w:t>
      </w:r>
      <w:r w:rsidR="2A37D4F1" w:rsidRPr="5937A937">
        <w:rPr>
          <w:rFonts w:asciiTheme="majorHAnsi" w:hAnsiTheme="majorHAnsi" w:cstheme="majorBidi"/>
          <w:sz w:val="22"/>
          <w:szCs w:val="22"/>
          <w:lang w:val="en-GB"/>
        </w:rPr>
        <w:t xml:space="preserve">feedstock </w:t>
      </w:r>
      <w:r w:rsidR="00D0363C" w:rsidRPr="5937A937">
        <w:rPr>
          <w:rFonts w:asciiTheme="majorHAnsi" w:hAnsiTheme="majorHAnsi" w:cstheme="majorBidi"/>
          <w:sz w:val="22"/>
          <w:szCs w:val="22"/>
          <w:lang w:val="en-GB"/>
        </w:rPr>
        <w:fldChar w:fldCharType="begin" w:fldLock="1"/>
      </w:r>
      <w:r w:rsidR="00D0363C" w:rsidRPr="5937A937">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policies","type":"article-journal","volume":"182"},"uris":["http://www.mendeley.com/documents/?uuid=96546af7-7da1-41da-8ebe-86d293776d81"]},{"id":"ITEM-2","itemData":{"DOI":"10.1016/j.jclepro.2014.03.052","ISSN":"09596526","abstract":"The combined effort of reducing the emissions of sulphur dioxide, nitrogen oxides and greenhouse gases to comply with future regulations and reduce impact on climate change will require a significant change in ship propulsion. One alternative is to change fuels. In this study we compare the life cycle environmental performance of liquefied natural gas (LNG), liquefied biogas (LBG), methanol and bio-methanol. We also highlight a number of important aspects to consider when selecting marine fuels. A transition to use of LNG or methanol produced from natural gas would significantly improve the overall environmental performance. However, the impact on climate change is of the same order of magnitude as with use of heavy fuel oil. It is only the use of LBG and bio-methanol that has the potential to reduce the climate impact. The analysis did not show any significant differences in environmental performance between methane and methanol when produced from the same raw materials, but the performance of the methanol engines are yet to be validated. © 2014 Elsevier Ltd. All rights reserved.","author":[{"dropping-particle":"","family":"Brynolf","given":"Selma","non-dropping-particle":"","parse-names":false,"suffix":""},{"dropping-particle":"","family":"Fridell","given":"Erik","non-dropping-particle":"","parse-names":false,"suffix":""},{"dropping-particle":"","family":"Andersson","given":"Karin","non-dropping-particle":"","parse-names":false,"suffix":""}],"container-title":"Journal of Cleaner Production","id":"ITEM-2","issue":"X","issued":{"date-parts":[["2014"]]},"page":"86-95","title":"Environmental assessment of marine fuels: Liquefied natural gas, liquefied biogas, methanol and bio-methanol","type":"article-journal","volume":"74"},"uris":["http://www.mendeley.com/documents/?uuid=4b4b5665-fff8-4dd6-a44a-12c90be3c561"]}],"mendeley":{"formattedCitation":"(Balcombe et al., 2019; Brynolf et al., 2014)","plainTextFormattedCitation":"(Balcombe et al., 2019; Brynolf et al., 2014)","previouslyFormattedCitation":"(Balcombe et al., 2019; Brynolf et al., 2014)"},"properties":{"noteIndex":0},"schema":"https://github.com/citation-style-language/schema/raw/master/csl-citation.json"}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2A37D4F1" w:rsidRPr="5937A937">
        <w:rPr>
          <w:rFonts w:asciiTheme="majorHAnsi" w:hAnsiTheme="majorHAnsi" w:cstheme="majorBidi"/>
          <w:noProof/>
          <w:sz w:val="22"/>
          <w:szCs w:val="22"/>
          <w:lang w:val="en-GB"/>
        </w:rPr>
        <w:t>(Balcombe et al., 2019; Brynolf et al., 2014)</w:t>
      </w:r>
      <w:r w:rsidR="00D0363C" w:rsidRPr="5937A937">
        <w:rPr>
          <w:rFonts w:asciiTheme="majorHAnsi" w:hAnsiTheme="majorHAnsi" w:cstheme="majorBidi"/>
          <w:sz w:val="22"/>
          <w:szCs w:val="22"/>
          <w:lang w:val="en-GB"/>
        </w:rPr>
        <w:fldChar w:fldCharType="end"/>
      </w:r>
      <w:r w:rsidR="0BACE6A1" w:rsidRPr="5937A937">
        <w:rPr>
          <w:rFonts w:asciiTheme="majorHAnsi" w:hAnsiTheme="majorHAnsi" w:cstheme="majorBidi"/>
          <w:sz w:val="22"/>
          <w:szCs w:val="22"/>
          <w:lang w:val="en-GB"/>
        </w:rPr>
        <w:t xml:space="preserve">. Considering the natural gas path, the </w:t>
      </w:r>
      <w:proofErr w:type="spellStart"/>
      <w:r w:rsidR="0BACE6A1" w:rsidRPr="5937A937">
        <w:rPr>
          <w:rFonts w:asciiTheme="majorHAnsi" w:hAnsiTheme="majorHAnsi" w:cstheme="majorBidi"/>
          <w:sz w:val="22"/>
          <w:szCs w:val="22"/>
          <w:lang w:val="en-GB"/>
        </w:rPr>
        <w:t>CO</w:t>
      </w:r>
      <w:r w:rsidR="0BACE6A1" w:rsidRPr="00D6557E">
        <w:rPr>
          <w:rFonts w:asciiTheme="majorHAnsi" w:hAnsiTheme="majorHAnsi" w:cstheme="majorBidi"/>
          <w:sz w:val="22"/>
          <w:szCs w:val="22"/>
          <w:vertAlign w:val="subscript"/>
          <w:lang w:val="en-GB"/>
        </w:rPr>
        <w:t>x</w:t>
      </w:r>
      <w:proofErr w:type="spellEnd"/>
      <w:r w:rsidR="0BACE6A1" w:rsidRPr="5937A937">
        <w:rPr>
          <w:rFonts w:asciiTheme="majorHAnsi" w:hAnsiTheme="majorHAnsi" w:cstheme="majorBidi"/>
          <w:sz w:val="22"/>
          <w:szCs w:val="22"/>
          <w:lang w:val="en-GB"/>
        </w:rPr>
        <w:t xml:space="preserve"> emissions can be even superior than HFO, as </w:t>
      </w:r>
      <w:r w:rsidR="0C5A3D89" w:rsidRPr="5937A937">
        <w:rPr>
          <w:rFonts w:asciiTheme="majorHAnsi" w:hAnsiTheme="majorHAnsi" w:cstheme="majorBidi"/>
          <w:sz w:val="22"/>
          <w:szCs w:val="22"/>
          <w:lang w:val="en-GB"/>
        </w:rPr>
        <w:t>shown in the emission section</w:t>
      </w:r>
      <w:r w:rsidR="0BACE6A1" w:rsidRPr="5937A937">
        <w:rPr>
          <w:rFonts w:asciiTheme="majorHAnsi" w:hAnsiTheme="majorHAnsi" w:cstheme="majorBidi"/>
          <w:sz w:val="22"/>
          <w:szCs w:val="22"/>
          <w:lang w:val="en-GB"/>
        </w:rPr>
        <w:t>.</w:t>
      </w:r>
      <w:r w:rsidR="05EFC854" w:rsidRPr="5937A937">
        <w:rPr>
          <w:rFonts w:asciiTheme="majorHAnsi" w:hAnsiTheme="majorHAnsi" w:cstheme="majorBidi"/>
          <w:sz w:val="22"/>
          <w:szCs w:val="22"/>
          <w:lang w:val="en-GB"/>
        </w:rPr>
        <w:t xml:space="preserve"> </w:t>
      </w:r>
      <w:r w:rsidR="0BACE6A1" w:rsidRPr="5937A937">
        <w:rPr>
          <w:rFonts w:asciiTheme="majorHAnsi" w:hAnsiTheme="majorHAnsi" w:cstheme="majorBidi"/>
          <w:sz w:val="22"/>
          <w:szCs w:val="22"/>
          <w:lang w:val="en-GB"/>
        </w:rPr>
        <w:t xml:space="preserve">On the other hand, the use of waste </w:t>
      </w:r>
      <w:proofErr w:type="spellStart"/>
      <w:r w:rsidR="0BACE6A1" w:rsidRPr="5937A937">
        <w:rPr>
          <w:rFonts w:asciiTheme="majorHAnsi" w:hAnsiTheme="majorHAnsi" w:cstheme="majorBidi"/>
          <w:sz w:val="22"/>
          <w:szCs w:val="22"/>
          <w:lang w:val="en-GB"/>
        </w:rPr>
        <w:t>CO</w:t>
      </w:r>
      <w:r w:rsidR="0BACE6A1" w:rsidRPr="00D6557E">
        <w:rPr>
          <w:rFonts w:asciiTheme="majorHAnsi" w:hAnsiTheme="majorHAnsi" w:cstheme="majorBidi"/>
          <w:sz w:val="22"/>
          <w:szCs w:val="22"/>
          <w:vertAlign w:val="subscript"/>
          <w:lang w:val="en-GB"/>
        </w:rPr>
        <w:t>x</w:t>
      </w:r>
      <w:proofErr w:type="spellEnd"/>
      <w:r w:rsidR="0BACE6A1" w:rsidRPr="5937A937">
        <w:rPr>
          <w:rFonts w:asciiTheme="majorHAnsi" w:hAnsiTheme="majorHAnsi" w:cstheme="majorBidi"/>
          <w:sz w:val="22"/>
          <w:szCs w:val="22"/>
          <w:lang w:val="en-GB"/>
        </w:rPr>
        <w:t xml:space="preserve"> streams</w:t>
      </w:r>
      <w:r w:rsidR="4A507EEE" w:rsidRPr="5937A937">
        <w:rPr>
          <w:rFonts w:asciiTheme="majorHAnsi" w:hAnsiTheme="majorHAnsi" w:cstheme="majorBidi"/>
          <w:sz w:val="22"/>
          <w:szCs w:val="22"/>
          <w:lang w:val="en-GB"/>
        </w:rPr>
        <w:t xml:space="preserve"> </w:t>
      </w:r>
      <w:r w:rsidR="0BACE6A1" w:rsidRPr="5937A937">
        <w:rPr>
          <w:rFonts w:asciiTheme="majorHAnsi" w:hAnsiTheme="majorHAnsi" w:cstheme="majorBidi"/>
          <w:sz w:val="22"/>
          <w:szCs w:val="22"/>
          <w:lang w:val="en-GB"/>
        </w:rPr>
        <w:t>will reduce the overall emission remarkably w</w:t>
      </w:r>
      <w:r w:rsidR="7783E059" w:rsidRPr="5937A937">
        <w:rPr>
          <w:rFonts w:asciiTheme="majorHAnsi" w:hAnsiTheme="majorHAnsi" w:cstheme="majorBidi"/>
          <w:sz w:val="22"/>
          <w:szCs w:val="22"/>
          <w:lang w:val="en-GB"/>
        </w:rPr>
        <w:t>hen considering the</w:t>
      </w:r>
      <w:r w:rsidR="0BACE6A1" w:rsidRPr="5937A937">
        <w:rPr>
          <w:rFonts w:asciiTheme="majorHAnsi" w:hAnsiTheme="majorHAnsi" w:cstheme="majorBidi"/>
          <w:sz w:val="22"/>
          <w:szCs w:val="22"/>
          <w:lang w:val="en-GB"/>
        </w:rPr>
        <w:t xml:space="preserve"> blue or green hydrogen</w:t>
      </w:r>
      <w:r w:rsidR="2C66539A" w:rsidRPr="5937A937">
        <w:rPr>
          <w:rFonts w:asciiTheme="majorHAnsi" w:hAnsiTheme="majorHAnsi" w:cstheme="majorBidi"/>
          <w:sz w:val="22"/>
          <w:szCs w:val="22"/>
          <w:lang w:val="en-GB"/>
        </w:rPr>
        <w:t xml:space="preserve"> alternatives</w:t>
      </w:r>
      <w:r w:rsidR="0BACE6A1" w:rsidRPr="5937A937">
        <w:rPr>
          <w:rFonts w:asciiTheme="majorHAnsi" w:hAnsiTheme="majorHAnsi" w:cstheme="majorBidi"/>
          <w:sz w:val="22"/>
          <w:szCs w:val="22"/>
          <w:lang w:val="en-GB"/>
        </w:rPr>
        <w:t xml:space="preserve">. </w:t>
      </w:r>
      <w:r w:rsidR="47F90F20" w:rsidRPr="5937A937">
        <w:rPr>
          <w:rFonts w:asciiTheme="majorHAnsi" w:hAnsiTheme="majorHAnsi" w:cstheme="majorBidi"/>
          <w:sz w:val="22"/>
          <w:szCs w:val="22"/>
          <w:lang w:val="en-GB"/>
        </w:rPr>
        <w:t xml:space="preserve">The tank to wake emissions might be assigned as biogenic </w:t>
      </w:r>
      <w:proofErr w:type="spellStart"/>
      <w:r w:rsidR="47F90F20" w:rsidRPr="5937A937">
        <w:rPr>
          <w:rFonts w:asciiTheme="majorHAnsi" w:hAnsiTheme="majorHAnsi" w:cstheme="majorBidi"/>
          <w:sz w:val="22"/>
          <w:szCs w:val="22"/>
          <w:lang w:val="en-GB"/>
        </w:rPr>
        <w:t>CO</w:t>
      </w:r>
      <w:r w:rsidR="47F90F20" w:rsidRPr="00D6557E">
        <w:rPr>
          <w:rFonts w:asciiTheme="majorHAnsi" w:hAnsiTheme="majorHAnsi" w:cstheme="majorBidi"/>
          <w:sz w:val="22"/>
          <w:szCs w:val="22"/>
          <w:vertAlign w:val="subscript"/>
          <w:lang w:val="en-GB"/>
        </w:rPr>
        <w:t>x</w:t>
      </w:r>
      <w:proofErr w:type="spellEnd"/>
      <w:r w:rsidR="47F90F20" w:rsidRPr="00D6557E">
        <w:rPr>
          <w:rFonts w:asciiTheme="majorHAnsi" w:hAnsiTheme="majorHAnsi" w:cstheme="majorBidi"/>
          <w:sz w:val="22"/>
          <w:szCs w:val="22"/>
          <w:vertAlign w:val="subscript"/>
          <w:lang w:val="en-GB"/>
        </w:rPr>
        <w:t xml:space="preserve"> </w:t>
      </w:r>
      <w:r w:rsidR="47F90F20" w:rsidRPr="5937A937">
        <w:rPr>
          <w:rFonts w:asciiTheme="majorHAnsi" w:hAnsiTheme="majorHAnsi" w:cstheme="majorBidi"/>
          <w:sz w:val="22"/>
          <w:szCs w:val="22"/>
          <w:lang w:val="en-GB"/>
        </w:rPr>
        <w:t>when the production comes from biomass</w:t>
      </w:r>
      <w:r w:rsidR="3B3E813D" w:rsidRPr="5937A937">
        <w:rPr>
          <w:rFonts w:asciiTheme="majorHAnsi" w:hAnsiTheme="majorHAnsi" w:cstheme="majorBidi"/>
          <w:sz w:val="22"/>
          <w:szCs w:val="22"/>
          <w:lang w:val="en-GB"/>
        </w:rPr>
        <w:t xml:space="preserve">, </w:t>
      </w:r>
      <w:r w:rsidR="0BACE6A1" w:rsidRPr="5937A937">
        <w:rPr>
          <w:rFonts w:asciiTheme="majorHAnsi" w:hAnsiTheme="majorHAnsi" w:cstheme="majorBidi"/>
          <w:sz w:val="22"/>
          <w:szCs w:val="22"/>
          <w:lang w:val="en-GB"/>
        </w:rPr>
        <w:t xml:space="preserve">improving </w:t>
      </w:r>
      <w:r w:rsidR="6F8E54D3" w:rsidRPr="5937A937">
        <w:rPr>
          <w:rFonts w:asciiTheme="majorHAnsi" w:hAnsiTheme="majorHAnsi" w:cstheme="majorBidi"/>
          <w:sz w:val="22"/>
          <w:szCs w:val="22"/>
          <w:lang w:val="en-GB"/>
        </w:rPr>
        <w:t>its</w:t>
      </w:r>
      <w:r w:rsidR="0BACE6A1" w:rsidRPr="5937A937">
        <w:rPr>
          <w:rFonts w:asciiTheme="majorHAnsi" w:hAnsiTheme="majorHAnsi" w:cstheme="majorBidi"/>
          <w:sz w:val="22"/>
          <w:szCs w:val="22"/>
          <w:lang w:val="en-GB"/>
        </w:rPr>
        <w:t xml:space="preserve"> environmental performance</w:t>
      </w:r>
      <w:r w:rsidR="37A48608" w:rsidRPr="5937A937">
        <w:rPr>
          <w:rFonts w:asciiTheme="majorHAnsi" w:hAnsiTheme="majorHAnsi" w:cstheme="majorBidi"/>
          <w:sz w:val="22"/>
          <w:szCs w:val="22"/>
          <w:lang w:val="en-GB"/>
        </w:rPr>
        <w:t xml:space="preserve"> </w:t>
      </w:r>
      <w:r w:rsidR="00D0363C" w:rsidRPr="5937A937">
        <w:rPr>
          <w:rFonts w:asciiTheme="majorHAnsi" w:hAnsiTheme="majorHAnsi" w:cstheme="majorBidi"/>
          <w:sz w:val="22"/>
          <w:szCs w:val="22"/>
          <w:lang w:val="en-GB"/>
        </w:rPr>
        <w:fldChar w:fldCharType="begin" w:fldLock="1"/>
      </w:r>
      <w:r w:rsidR="00672453">
        <w:rPr>
          <w:rFonts w:asciiTheme="majorHAnsi" w:hAnsiTheme="majorHAnsi" w:cstheme="majorBidi"/>
          <w:sz w:val="22"/>
          <w:szCs w:val="22"/>
          <w:lang w:val="en-GB"/>
        </w:rPr>
        <w:instrText>ADDIN CSL_CITATION {"citationItems":[{"id":"ITEM-1","itemData":{"DOI":"10.1016/j.enconman.2018.12.080","ISSN":"01968904","abstract":"International shipping provides 80–90% of global trade, but strict environmental regulations around NOX, SOX and greenhouse gas (GHG) emissions are set to cause major technological shifts. The pathway to achieving the international target of 50% GHG reduction by 2050 is unclear, but numerous promising options exist. This study provides a holistic assessment of these options and their combined potential to decarbonise international shipping, from a technology, environmental and policy perspective. Liquefied natural gas (LNG) is reaching mainstream and provides 20–30% CO2 reductions whilst minimising SOX and other emissions. Costs are favourable, but GHG benefits are reduced by methane slip, which varies across engine types. Biofuels, hydrogen, nuclear and carbon capture and storage (CCS) could all decarbonise much further, but each faces significant barriers around their economics, resource potentials and public acceptability. Regarding efficiency measures, considerable fuel and GHG savings could be attained by slow-steaming, ship design changes and utilising renewable resources. There is clearly no single route and a multifaceted response is required for deep decarbonisation. The scale of this challenge is explored by estimating the combined decarbonisation potential of multiple options. Achieving 50% decarbonisation with LNG or electric propulsion would likely require 4 or more complementary efficiency measures to be applied simultaneously. Broadly, larger GHG reductions require stronger policy and may differentiate between short- and long-term approaches. With LNG being economically feasible and offering moderate environmental benefits, this may have short-term promise with minor policy intervention. Longer term, deeper decarbonisation will require strong financial incentives. Lowest-cost policy options should be fuel- or technology-agnostic, internationally applied and will require action now to ensure targets are met by 2050.","author":[{"dropping-particle":"","family":"Balcombe","given":"Paul","non-dropping-particle":"","parse-names":false,"suffix":""},{"dropping-particle":"","family":"Brierley","given":"James","non-dropping-particle":"","parse-names":false,"suffix":""},{"dropping-particle":"","family":"Lewis","given":"Chester","non-dropping-particle":"","parse-names":false,"suffix":""},{"dropping-particle":"","family":"Skatvedt","given":"Line","non-dropping-particle":"","parse-names":false,"suffix":""},{"dropping-particle":"","family":"Speirs","given":"Jamie","non-dropping-particle":"","parse-names":false,"suffix":""},{"dropping-particle":"","family":"Hawkes","given":"Adam","non-dropping-particle":"","parse-names":false,"suffix":""},{"dropping-particle":"","family":"Staffell","given":"Iain","non-dropping-particle":"","parse-names":false,"suffix":""}],"container-title":"Energy Conversion and Management","id":"ITEM-1","issue":"December 2018","issued":{"date-parts":[["2019"]]},"page":"72-88","title":"How to decarbonise international shipping: Options for fuels, technologies and policies","type":"article-journal","volume":"182"},"uris":["http://www.mendeley.com/documents/?uuid=96546af7-7da1-41da-8ebe-86d293776d81"]}],"mendeley":{"formattedCitation":"(Balcombe et al., 2019)","plainTextFormattedCitation":"(Balcombe et al., 2019)","previouslyFormattedCitation":"(Balcombe et al., 2019)"},"properties":{"noteIndex":0},"schema":"https://github.com/citation-style-language/schema/raw/master/csl-citation.json"}</w:instrText>
      </w:r>
      <w:r w:rsidR="00D0363C" w:rsidRPr="5937A937">
        <w:rPr>
          <w:rFonts w:asciiTheme="majorHAnsi" w:hAnsiTheme="majorHAnsi" w:cstheme="majorBidi"/>
          <w:sz w:val="22"/>
          <w:szCs w:val="22"/>
          <w:lang w:val="en-GB"/>
        </w:rPr>
        <w:fldChar w:fldCharType="separate"/>
      </w:r>
      <w:r w:rsidR="37A48608" w:rsidRPr="5937A937">
        <w:rPr>
          <w:rFonts w:asciiTheme="majorHAnsi" w:hAnsiTheme="majorHAnsi" w:cstheme="majorBidi"/>
          <w:noProof/>
          <w:sz w:val="22"/>
          <w:szCs w:val="22"/>
          <w:lang w:val="en-GB"/>
        </w:rPr>
        <w:t>(Balcombe et al., 2019)</w:t>
      </w:r>
      <w:r w:rsidR="00D0363C" w:rsidRPr="5937A937">
        <w:rPr>
          <w:rFonts w:asciiTheme="majorHAnsi" w:hAnsiTheme="majorHAnsi" w:cstheme="majorBidi"/>
          <w:sz w:val="22"/>
          <w:szCs w:val="22"/>
          <w:lang w:val="en-GB"/>
        </w:rPr>
        <w:fldChar w:fldCharType="end"/>
      </w:r>
      <w:r w:rsidR="0BACE6A1" w:rsidRPr="5937A937">
        <w:rPr>
          <w:rFonts w:asciiTheme="majorHAnsi" w:hAnsiTheme="majorHAnsi" w:cstheme="majorBidi"/>
          <w:sz w:val="22"/>
          <w:szCs w:val="22"/>
          <w:lang w:val="en-GB"/>
        </w:rPr>
        <w:t xml:space="preserve">. </w:t>
      </w:r>
    </w:p>
    <w:p w14:paraId="2F4E08BF" w14:textId="15E467CF" w:rsidR="00FF6150" w:rsidRDefault="00D77FA1" w:rsidP="791B8135">
      <w:pPr>
        <w:spacing w:after="120" w:line="360" w:lineRule="auto"/>
        <w:ind w:firstLine="720"/>
        <w:rPr>
          <w:rFonts w:asciiTheme="majorHAnsi" w:hAnsiTheme="majorHAnsi" w:cstheme="majorBidi"/>
          <w:sz w:val="22"/>
          <w:szCs w:val="22"/>
          <w:lang w:val="en-GB"/>
        </w:rPr>
      </w:pPr>
      <w:r w:rsidRPr="791B8135">
        <w:rPr>
          <w:rFonts w:asciiTheme="majorHAnsi" w:hAnsiTheme="majorHAnsi" w:cstheme="majorBidi"/>
          <w:b/>
          <w:bCs/>
          <w:sz w:val="22"/>
          <w:szCs w:val="22"/>
          <w:lang w:val="en-GB"/>
        </w:rPr>
        <w:t>Biofuels</w:t>
      </w:r>
      <w:r w:rsidR="00792BEC" w:rsidRPr="791B8135">
        <w:rPr>
          <w:rFonts w:asciiTheme="majorHAnsi" w:hAnsiTheme="majorHAnsi" w:cstheme="majorBidi"/>
          <w:b/>
          <w:bCs/>
          <w:sz w:val="22"/>
          <w:szCs w:val="22"/>
          <w:lang w:val="en-GB"/>
        </w:rPr>
        <w:t>,</w:t>
      </w:r>
      <w:r w:rsidR="49395FD6" w:rsidRPr="791B8135">
        <w:rPr>
          <w:rFonts w:asciiTheme="majorHAnsi" w:hAnsiTheme="majorHAnsi" w:cstheme="majorBidi"/>
          <w:b/>
          <w:bCs/>
          <w:sz w:val="22"/>
          <w:szCs w:val="22"/>
          <w:lang w:val="en-GB"/>
        </w:rPr>
        <w:t xml:space="preserve"> </w:t>
      </w:r>
      <w:r w:rsidR="00E91C43" w:rsidRPr="791B8135">
        <w:rPr>
          <w:rFonts w:asciiTheme="majorHAnsi" w:hAnsiTheme="majorHAnsi" w:cstheme="majorBidi"/>
          <w:sz w:val="22"/>
          <w:szCs w:val="22"/>
          <w:lang w:val="en-GB"/>
        </w:rPr>
        <w:t>liquids</w:t>
      </w:r>
      <w:r w:rsidR="00792BEC" w:rsidRPr="791B8135">
        <w:rPr>
          <w:rFonts w:asciiTheme="majorHAnsi" w:hAnsiTheme="majorHAnsi" w:cstheme="majorBidi"/>
          <w:sz w:val="22"/>
          <w:szCs w:val="22"/>
          <w:lang w:val="en-GB"/>
        </w:rPr>
        <w:t>,</w:t>
      </w:r>
      <w:r w:rsidR="00E91C43" w:rsidRPr="791B8135">
        <w:rPr>
          <w:rFonts w:asciiTheme="majorHAnsi" w:hAnsiTheme="majorHAnsi" w:cstheme="majorBidi"/>
          <w:b/>
          <w:bCs/>
          <w:sz w:val="22"/>
          <w:szCs w:val="22"/>
          <w:lang w:val="en-GB"/>
        </w:rPr>
        <w:t xml:space="preserve"> </w:t>
      </w:r>
      <w:r w:rsidRPr="791B8135">
        <w:rPr>
          <w:rFonts w:asciiTheme="majorHAnsi" w:hAnsiTheme="majorHAnsi" w:cstheme="majorBidi"/>
          <w:sz w:val="22"/>
          <w:szCs w:val="22"/>
          <w:lang w:val="en-GB"/>
        </w:rPr>
        <w:t>are among the alternatives here explored, the</w:t>
      </w:r>
      <w:r w:rsidR="00873D13" w:rsidRPr="791B8135">
        <w:rPr>
          <w:rFonts w:asciiTheme="majorHAnsi" w:hAnsiTheme="majorHAnsi" w:cstheme="majorBidi"/>
          <w:sz w:val="22"/>
          <w:szCs w:val="22"/>
          <w:lang w:val="en-GB"/>
        </w:rPr>
        <w:t xml:space="preserve"> fuels </w:t>
      </w:r>
      <w:r w:rsidR="00BF5548" w:rsidRPr="791B8135">
        <w:rPr>
          <w:rFonts w:asciiTheme="majorHAnsi" w:hAnsiTheme="majorHAnsi" w:cstheme="majorBidi"/>
          <w:sz w:val="22"/>
          <w:szCs w:val="22"/>
          <w:lang w:val="en-GB"/>
        </w:rPr>
        <w:t xml:space="preserve">with the greatest </w:t>
      </w:r>
      <w:r w:rsidR="008435E6" w:rsidRPr="791B8135">
        <w:rPr>
          <w:rFonts w:asciiTheme="majorHAnsi" w:hAnsiTheme="majorHAnsi" w:cstheme="majorBidi"/>
          <w:sz w:val="22"/>
          <w:szCs w:val="22"/>
          <w:lang w:val="en-GB"/>
        </w:rPr>
        <w:t>match to</w:t>
      </w:r>
      <w:r w:rsidR="00873D13" w:rsidRPr="791B8135">
        <w:rPr>
          <w:rFonts w:asciiTheme="majorHAnsi" w:hAnsiTheme="majorHAnsi" w:cstheme="majorBidi"/>
          <w:sz w:val="22"/>
          <w:szCs w:val="22"/>
          <w:lang w:val="en-GB"/>
        </w:rPr>
        <w:t xml:space="preserve"> the </w:t>
      </w:r>
      <w:r w:rsidR="00E91C43" w:rsidRPr="791B8135">
        <w:rPr>
          <w:rFonts w:asciiTheme="majorHAnsi" w:hAnsiTheme="majorHAnsi" w:cstheme="majorBidi"/>
          <w:sz w:val="22"/>
          <w:szCs w:val="22"/>
          <w:lang w:val="en-GB"/>
        </w:rPr>
        <w:t>available</w:t>
      </w:r>
      <w:r w:rsidR="00873D13" w:rsidRPr="791B8135">
        <w:rPr>
          <w:rFonts w:asciiTheme="majorHAnsi" w:hAnsiTheme="majorHAnsi" w:cstheme="majorBidi"/>
          <w:sz w:val="22"/>
          <w:szCs w:val="22"/>
          <w:lang w:val="en-GB"/>
        </w:rPr>
        <w:t xml:space="preserve"> infrastructure. </w:t>
      </w:r>
      <w:r w:rsidRPr="791B8135">
        <w:rPr>
          <w:rFonts w:asciiTheme="majorHAnsi" w:hAnsiTheme="majorHAnsi" w:cstheme="majorBidi"/>
          <w:sz w:val="22"/>
          <w:szCs w:val="22"/>
          <w:lang w:val="en-GB"/>
        </w:rPr>
        <w:t xml:space="preserve"> </w:t>
      </w:r>
      <w:r w:rsidR="00E91C43" w:rsidRPr="791B8135">
        <w:rPr>
          <w:rFonts w:asciiTheme="majorHAnsi" w:hAnsiTheme="majorHAnsi" w:cstheme="majorBidi"/>
          <w:sz w:val="22"/>
          <w:szCs w:val="22"/>
          <w:lang w:val="en-GB"/>
        </w:rPr>
        <w:t>They can attain great decarbonization targets</w:t>
      </w:r>
      <w:r w:rsidR="008435E6" w:rsidRPr="791B8135">
        <w:rPr>
          <w:rFonts w:asciiTheme="majorHAnsi" w:hAnsiTheme="majorHAnsi" w:cstheme="majorBidi"/>
          <w:sz w:val="22"/>
          <w:szCs w:val="22"/>
          <w:lang w:val="en-GB"/>
        </w:rPr>
        <w:t>,</w:t>
      </w:r>
      <w:r w:rsidR="006A21C8" w:rsidRPr="791B8135">
        <w:rPr>
          <w:rFonts w:asciiTheme="majorHAnsi" w:hAnsiTheme="majorHAnsi" w:cstheme="majorBidi"/>
          <w:sz w:val="22"/>
          <w:szCs w:val="22"/>
          <w:lang w:val="en-GB"/>
        </w:rPr>
        <w:t xml:space="preserve"> at the same time</w:t>
      </w:r>
      <w:r w:rsidR="550B66FE" w:rsidRPr="791B8135">
        <w:rPr>
          <w:rFonts w:asciiTheme="majorHAnsi" w:hAnsiTheme="majorHAnsi" w:cstheme="majorBidi"/>
          <w:sz w:val="22"/>
          <w:szCs w:val="22"/>
          <w:lang w:val="en-GB"/>
        </w:rPr>
        <w:t xml:space="preserve"> that</w:t>
      </w:r>
      <w:r w:rsidR="006A21C8" w:rsidRPr="791B8135">
        <w:rPr>
          <w:rFonts w:asciiTheme="majorHAnsi" w:hAnsiTheme="majorHAnsi" w:cstheme="majorBidi"/>
          <w:sz w:val="22"/>
          <w:szCs w:val="22"/>
          <w:lang w:val="en-GB"/>
        </w:rPr>
        <w:t xml:space="preserve"> might be used as drop-in alternatives</w:t>
      </w:r>
      <w:r w:rsidR="4CEFCEE3" w:rsidRPr="791B8135">
        <w:rPr>
          <w:rFonts w:asciiTheme="majorHAnsi" w:hAnsiTheme="majorHAnsi" w:cstheme="majorBidi"/>
          <w:sz w:val="22"/>
          <w:szCs w:val="22"/>
          <w:lang w:val="en-GB"/>
        </w:rPr>
        <w:t xml:space="preserve"> with </w:t>
      </w:r>
      <w:r w:rsidR="00B90462" w:rsidRPr="791B8135">
        <w:rPr>
          <w:rFonts w:asciiTheme="majorHAnsi" w:hAnsiTheme="majorHAnsi" w:cstheme="majorBidi"/>
          <w:sz w:val="22"/>
          <w:szCs w:val="22"/>
          <w:lang w:val="en-GB"/>
        </w:rPr>
        <w:t>little</w:t>
      </w:r>
      <w:r w:rsidR="006A21C8" w:rsidRPr="791B8135">
        <w:rPr>
          <w:rFonts w:asciiTheme="majorHAnsi" w:hAnsiTheme="majorHAnsi" w:cstheme="majorBidi"/>
          <w:sz w:val="22"/>
          <w:szCs w:val="22"/>
          <w:lang w:val="en-GB"/>
        </w:rPr>
        <w:t xml:space="preserve"> or no changes in the</w:t>
      </w:r>
      <w:r w:rsidR="00C31BE4" w:rsidRPr="791B8135">
        <w:rPr>
          <w:rFonts w:asciiTheme="majorHAnsi" w:hAnsiTheme="majorHAnsi" w:cstheme="majorBidi"/>
          <w:sz w:val="22"/>
          <w:szCs w:val="22"/>
          <w:lang w:val="en-GB"/>
        </w:rPr>
        <w:t xml:space="preserve"> </w:t>
      </w:r>
      <w:r w:rsidR="2787B44B" w:rsidRPr="791B8135">
        <w:rPr>
          <w:rFonts w:asciiTheme="majorHAnsi" w:hAnsiTheme="majorHAnsi" w:cstheme="majorBidi"/>
          <w:sz w:val="22"/>
          <w:szCs w:val="22"/>
          <w:lang w:val="en-GB"/>
        </w:rPr>
        <w:t>engine</w:t>
      </w:r>
      <w:r w:rsidR="00C31BE4" w:rsidRPr="791B8135">
        <w:rPr>
          <w:rFonts w:asciiTheme="majorHAnsi" w:hAnsiTheme="majorHAnsi" w:cstheme="majorBidi"/>
          <w:sz w:val="22"/>
          <w:szCs w:val="22"/>
          <w:lang w:val="en-GB"/>
        </w:rPr>
        <w:t>.</w:t>
      </w:r>
      <w:r w:rsidR="00B90462" w:rsidRPr="791B8135">
        <w:rPr>
          <w:rFonts w:asciiTheme="majorHAnsi" w:hAnsiTheme="majorHAnsi" w:cstheme="majorBidi"/>
          <w:sz w:val="22"/>
          <w:szCs w:val="22"/>
          <w:lang w:val="en-GB"/>
        </w:rPr>
        <w:t xml:space="preserve"> Fuels such as straight vegetable oil (SVO), hydrotreated vegetal oil (HVO), fatty acid methyl ester (FAME) are available at commercial scale</w:t>
      </w:r>
      <w:r w:rsidR="00BF14F8">
        <w:rPr>
          <w:rFonts w:asciiTheme="majorHAnsi" w:hAnsiTheme="majorHAnsi" w:cstheme="majorBidi"/>
          <w:sz w:val="22"/>
          <w:szCs w:val="22"/>
          <w:lang w:val="en-GB"/>
        </w:rPr>
        <w:t xml:space="preserve"> </w:t>
      </w:r>
      <w:r w:rsidR="003500DA">
        <w:rPr>
          <w:rFonts w:asciiTheme="majorHAnsi" w:hAnsiTheme="majorHAnsi" w:cstheme="majorBidi"/>
          <w:sz w:val="22"/>
          <w:szCs w:val="22"/>
          <w:lang w:val="en-GB"/>
        </w:rPr>
        <w:fldChar w:fldCharType="begin" w:fldLock="1"/>
      </w:r>
      <w:r w:rsidR="0078056B">
        <w:rPr>
          <w:rFonts w:asciiTheme="majorHAnsi" w:hAnsiTheme="majorHAnsi" w:cstheme="majorBidi"/>
          <w:sz w:val="22"/>
          <w:szCs w:val="22"/>
          <w:lang w:val="en-GB"/>
        </w:rPr>
        <w:instrText>ADDIN CSL_CITATION {"citationItems":[{"id":"ITEM-1","itemData":{"DOI":"10.3390/en14164980","ISSN":"19961073","abstract":"Low or zero carbon fuels are crucial for maritime transportation decarbonization goals. This paper assesses potential localities for maritime biofuels (biobunkers) production in Brazil, Europe, South Africa, and United States considering geographical, logistic, and economic aspects. This assessment combines georeferenced and techno‐economic analyses to identify suitable fuel production hotspots based on not only plant performance and costs but also on logistic integration and biomass seasonality. Five technology pathways were considered: Straight vegetable Oils (SVO), Hydrotreated Vegetable Oils (HVO), Fischer–Tropsch Biomass‐to‐liquids (FT‐BTL), Alcohol oligomerization to middle distillates (ATD), and Hydrotreated Pyrolysis Oil (HDPO). Findings reveal that biomass concentration in Brazil makes it the region with highest biobunker potential, which are mostly close to coastal areas and surpasses regional demand. Although other regions registered more limited potentials, hotspots proximity to ports would enable fossil fuel replacements in these areas. For all cases, biobunker costs (USD 21–104/GJ) are higher than conventional marine fuels prices (USD 11–17/GJ). Only 15% of the hotspots’ carbon prices that would allow its competitiveness are lower than USD 100/tCO2. Alternatives to incentivize biobunker production would be, first, to establish mandatory fuel blends and second, to join forces with other sectors that would be benefited from the co‐production of advanced biofuels.","author":[{"dropping-particle":"","family":"Carvalho","given":"Francielle","non-dropping-particle":"","parse-names":false,"suffix":""},{"dropping-particle":"","family":"Portugal‐pereira","given":"Joana","non-dropping-particle":"","parse-names":false,"suffix":""},{"dropping-particle":"","family":"Junginger","given":"Martin","non-dropping-particle":"","parse-names":false,"suffix":""},{"dropping-particle":"","family":"Szklo","given":"Alexandre","non-dropping-particle":"","parse-names":false,"suffix":""}],"container-title":"Energies","id":"ITEM-1","issue":"16","issued":{"date-parts":[["2021"]]},"title":"Biofuels for maritime transportation: A spatial, techno‐economic, and logistic analysis in brazil, europe, south africa, and the usa","type":"article-journal","volume":"14"},"uris":["http://www.mendeley.com/documents/?uuid=863a81b1-5f0b-4ab4-8302-10b8ee2137c9"]}],"mendeley":{"formattedCitation":"(Carvalho et al., 2021)","plainTextFormattedCitation":"(Carvalho et al., 2021)","previouslyFormattedCitation":"(Carvalho et al., 2021)"},"properties":{"noteIndex":0},"schema":"https://github.com/citation-style-language/schema/raw/master/csl-citation.json"}</w:instrText>
      </w:r>
      <w:r w:rsidR="003500DA">
        <w:rPr>
          <w:rFonts w:asciiTheme="majorHAnsi" w:hAnsiTheme="majorHAnsi" w:cstheme="majorBidi"/>
          <w:sz w:val="22"/>
          <w:szCs w:val="22"/>
          <w:lang w:val="en-GB"/>
        </w:rPr>
        <w:fldChar w:fldCharType="separate"/>
      </w:r>
      <w:r w:rsidR="003500DA" w:rsidRPr="003500DA">
        <w:rPr>
          <w:rFonts w:asciiTheme="majorHAnsi" w:hAnsiTheme="majorHAnsi" w:cstheme="majorBidi"/>
          <w:noProof/>
          <w:sz w:val="22"/>
          <w:szCs w:val="22"/>
          <w:lang w:val="en-GB"/>
        </w:rPr>
        <w:t>(Carvalho et al., 2021)</w:t>
      </w:r>
      <w:r w:rsidR="003500DA">
        <w:rPr>
          <w:rFonts w:asciiTheme="majorHAnsi" w:hAnsiTheme="majorHAnsi" w:cstheme="majorBidi"/>
          <w:sz w:val="22"/>
          <w:szCs w:val="22"/>
          <w:lang w:val="en-GB"/>
        </w:rPr>
        <w:fldChar w:fldCharType="end"/>
      </w:r>
      <w:r w:rsidR="05A68BAA" w:rsidRPr="791B8135">
        <w:rPr>
          <w:rFonts w:asciiTheme="majorHAnsi" w:hAnsiTheme="majorHAnsi" w:cstheme="majorBidi"/>
          <w:sz w:val="22"/>
          <w:szCs w:val="22"/>
          <w:lang w:val="en-GB"/>
        </w:rPr>
        <w:t>.</w:t>
      </w:r>
      <w:r w:rsidR="00B90462" w:rsidRPr="791B8135">
        <w:rPr>
          <w:rFonts w:asciiTheme="majorHAnsi" w:hAnsiTheme="majorHAnsi" w:cstheme="majorBidi"/>
          <w:sz w:val="22"/>
          <w:szCs w:val="22"/>
          <w:lang w:val="en-GB"/>
        </w:rPr>
        <w:t xml:space="preserve"> </w:t>
      </w:r>
      <w:r w:rsidR="00FF6150" w:rsidRPr="791B8135">
        <w:rPr>
          <w:rFonts w:asciiTheme="majorHAnsi" w:hAnsiTheme="majorHAnsi" w:cstheme="majorBidi"/>
          <w:sz w:val="22"/>
          <w:szCs w:val="22"/>
          <w:lang w:val="en-GB"/>
        </w:rPr>
        <w:t>Biofuels are benefited by a broader range of possible feedstocks, which favours local production, coping with energy security arguments. On the other hand, the debate about the eligibility of potential feedstocks, considering water and food security, is a hotspot discussion. To cope with the sustainable principle, residues and so-called waste-streams are always preferable while producing biofuels</w:t>
      </w:r>
      <w:r w:rsidR="0078056B">
        <w:rPr>
          <w:rFonts w:asciiTheme="majorHAnsi" w:hAnsiTheme="majorHAnsi" w:cstheme="majorBidi"/>
          <w:sz w:val="22"/>
          <w:szCs w:val="22"/>
          <w:lang w:val="en-GB"/>
        </w:rPr>
        <w:t xml:space="preserve"> </w:t>
      </w:r>
      <w:r w:rsidR="0078056B">
        <w:rPr>
          <w:rFonts w:asciiTheme="majorHAnsi" w:hAnsiTheme="majorHAnsi" w:cstheme="majorBidi"/>
          <w:sz w:val="22"/>
          <w:szCs w:val="22"/>
          <w:lang w:val="en-GB"/>
        </w:rPr>
        <w:fldChar w:fldCharType="begin" w:fldLock="1"/>
      </w:r>
      <w:r w:rsidR="006F570C">
        <w:rPr>
          <w:rFonts w:asciiTheme="majorHAnsi" w:hAnsiTheme="majorHAnsi" w:cstheme="majorBidi"/>
          <w:sz w:val="22"/>
          <w:szCs w:val="22"/>
          <w:lang w:val="en-GB"/>
        </w:rPr>
        <w:instrText>ADDIN CSL_CITATION {"citationItems":[{"id":"ITEM-1","itemData":{"abstract":"The merchant shipping sector is one of the mayor players in world trade. More than 80% of all goods are transported via international shipping routes. The sector consumes more than 330 Mt of fuel a year and accounts for 2-3% of the global CO2, 4-9% of SOx, and 10-15% of NOx emissions. This report is written for the biofuel provider and biofuel developer with the aim of providing an overview of the shipping sector, the technologies, fuels and regulations associated with its supply and consumption of fuels. The different biofuel technologies and their supply potentials are presented and discussed. The shipping sector includes more than 85,000 registered vessels divided into small, medium, large and very large oceangoing ships. The two latter accounts for 20% of the vessels, but 80% of the gross tonnage. The majority of the shipping routes are connected by a relatively small number of ports in North America, Europe and Asia. Therefore a major part of the fuel supply and its infrastructure are concentrated at only a few locations.","author":[{"dropping-particle":"","family":"IEA Bioenergy","given":"","non-dropping-particle":"","parse-names":false,"suffix":""}],"id":"ITEM-1","issued":{"date-parts":[["2017"]]},"page":"86","title":"Biofuels for the marine shipping sector: An overview and analysis of sector infrastructure, fuel technologies and regulations","type":"article-journal"},"uris":["http://www.mendeley.com/documents/?uuid=68541d8e-1a5a-473c-a12e-5e6030e2b7c4"]}],"mendeley":{"formattedCitation":"(IEA Bioenergy, 2017)","plainTextFormattedCitation":"(IEA Bioenergy, 2017)","previouslyFormattedCitation":"(IEA Bioenergy, 2017)"},"properties":{"noteIndex":0},"schema":"https://github.com/citation-style-language/schema/raw/master/csl-citation.json"}</w:instrText>
      </w:r>
      <w:r w:rsidR="0078056B">
        <w:rPr>
          <w:rFonts w:asciiTheme="majorHAnsi" w:hAnsiTheme="majorHAnsi" w:cstheme="majorBidi"/>
          <w:sz w:val="22"/>
          <w:szCs w:val="22"/>
          <w:lang w:val="en-GB"/>
        </w:rPr>
        <w:fldChar w:fldCharType="separate"/>
      </w:r>
      <w:r w:rsidR="0078056B" w:rsidRPr="0078056B">
        <w:rPr>
          <w:rFonts w:asciiTheme="majorHAnsi" w:hAnsiTheme="majorHAnsi" w:cstheme="majorBidi"/>
          <w:noProof/>
          <w:sz w:val="22"/>
          <w:szCs w:val="22"/>
          <w:lang w:val="en-GB"/>
        </w:rPr>
        <w:t>(IEA Bioenergy, 2017)</w:t>
      </w:r>
      <w:r w:rsidR="0078056B">
        <w:rPr>
          <w:rFonts w:asciiTheme="majorHAnsi" w:hAnsiTheme="majorHAnsi" w:cstheme="majorBidi"/>
          <w:sz w:val="22"/>
          <w:szCs w:val="22"/>
          <w:lang w:val="en-GB"/>
        </w:rPr>
        <w:fldChar w:fldCharType="end"/>
      </w:r>
      <w:r w:rsidR="00FF6150" w:rsidRPr="791B8135">
        <w:rPr>
          <w:rFonts w:asciiTheme="majorHAnsi" w:hAnsiTheme="majorHAnsi" w:cstheme="majorBidi"/>
          <w:sz w:val="22"/>
          <w:szCs w:val="22"/>
          <w:lang w:val="en-GB"/>
        </w:rPr>
        <w:t xml:space="preserve">.  </w:t>
      </w:r>
    </w:p>
    <w:p w14:paraId="227AB66F" w14:textId="7EFF7F60" w:rsidR="00D0363C" w:rsidRDefault="747DF2C9" w:rsidP="00963F36">
      <w:pPr>
        <w:spacing w:after="120"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The use of advanced biofuel, produced from waste streams are crucial to cope with sustainability criteria, since production</w:t>
      </w:r>
      <w:r w:rsidR="01D74FFB" w:rsidRPr="5937A937">
        <w:rPr>
          <w:rFonts w:asciiTheme="majorHAnsi" w:hAnsiTheme="majorHAnsi" w:cstheme="majorBidi"/>
          <w:sz w:val="22"/>
          <w:szCs w:val="22"/>
          <w:lang w:val="en-GB"/>
        </w:rPr>
        <w:t xml:space="preserve"> and expansion</w:t>
      </w:r>
      <w:r w:rsidRPr="5937A937">
        <w:rPr>
          <w:rFonts w:asciiTheme="majorHAnsi" w:hAnsiTheme="majorHAnsi" w:cstheme="majorBidi"/>
          <w:sz w:val="22"/>
          <w:szCs w:val="22"/>
          <w:lang w:val="en-GB"/>
        </w:rPr>
        <w:t xml:space="preserve"> can be </w:t>
      </w:r>
      <w:r w:rsidR="47DD30AA" w:rsidRPr="5937A937">
        <w:rPr>
          <w:rFonts w:asciiTheme="majorHAnsi" w:hAnsiTheme="majorHAnsi" w:cstheme="majorBidi"/>
          <w:sz w:val="22"/>
          <w:szCs w:val="22"/>
          <w:lang w:val="en-GB"/>
        </w:rPr>
        <w:t>done</w:t>
      </w:r>
      <w:r w:rsidRPr="5937A937">
        <w:rPr>
          <w:rFonts w:asciiTheme="majorHAnsi" w:hAnsiTheme="majorHAnsi" w:cstheme="majorBidi"/>
          <w:sz w:val="22"/>
          <w:szCs w:val="22"/>
          <w:lang w:val="en-GB"/>
        </w:rPr>
        <w:t xml:space="preserve"> without</w:t>
      </w:r>
      <w:r w:rsidR="772D1F3F" w:rsidRPr="5937A937">
        <w:rPr>
          <w:rFonts w:asciiTheme="majorHAnsi" w:hAnsiTheme="majorHAnsi" w:cstheme="majorBidi"/>
          <w:sz w:val="22"/>
          <w:szCs w:val="22"/>
          <w:lang w:val="en-GB"/>
        </w:rPr>
        <w:t xml:space="preserve"> investment</w:t>
      </w:r>
      <w:r w:rsidRPr="5937A937">
        <w:rPr>
          <w:rFonts w:asciiTheme="majorHAnsi" w:hAnsiTheme="majorHAnsi" w:cstheme="majorBidi"/>
          <w:sz w:val="22"/>
          <w:szCs w:val="22"/>
          <w:lang w:val="en-GB"/>
        </w:rPr>
        <w:t xml:space="preserve"> in </w:t>
      </w:r>
      <w:r w:rsidR="5FB56EB2" w:rsidRPr="5937A937">
        <w:rPr>
          <w:rFonts w:asciiTheme="majorHAnsi" w:hAnsiTheme="majorHAnsi" w:cstheme="majorBidi"/>
          <w:sz w:val="22"/>
          <w:szCs w:val="22"/>
          <w:lang w:val="en-GB"/>
        </w:rPr>
        <w:t>new</w:t>
      </w:r>
      <w:r w:rsidRPr="5937A937">
        <w:rPr>
          <w:rFonts w:asciiTheme="majorHAnsi" w:hAnsiTheme="majorHAnsi" w:cstheme="majorBidi"/>
          <w:sz w:val="22"/>
          <w:szCs w:val="22"/>
          <w:lang w:val="en-GB"/>
        </w:rPr>
        <w:t xml:space="preserve"> agricultural areas.</w:t>
      </w:r>
      <w:r w:rsidR="772D1F3F" w:rsidRPr="5937A937">
        <w:rPr>
          <w:rFonts w:asciiTheme="majorHAnsi" w:hAnsiTheme="majorHAnsi" w:cstheme="majorBidi"/>
          <w:sz w:val="22"/>
          <w:szCs w:val="22"/>
          <w:lang w:val="en-GB"/>
        </w:rPr>
        <w:t xml:space="preserve"> </w:t>
      </w:r>
      <w:r w:rsidR="51547C5F" w:rsidRPr="5937A937">
        <w:rPr>
          <w:rFonts w:asciiTheme="majorHAnsi" w:hAnsiTheme="majorHAnsi" w:cstheme="majorBidi"/>
          <w:sz w:val="22"/>
          <w:szCs w:val="22"/>
          <w:lang w:val="en-GB"/>
        </w:rPr>
        <w:t>Oil-based residues are suitable for the production of SVO, FAME and HVO</w:t>
      </w:r>
      <w:r w:rsidR="1C5DC23E" w:rsidRPr="5937A937">
        <w:rPr>
          <w:rFonts w:asciiTheme="majorHAnsi" w:hAnsiTheme="majorHAnsi" w:cstheme="majorBidi"/>
          <w:sz w:val="22"/>
          <w:szCs w:val="22"/>
          <w:lang w:val="en-GB"/>
        </w:rPr>
        <w:t>.</w:t>
      </w:r>
      <w:r w:rsidR="038229CA" w:rsidRPr="5937A937">
        <w:rPr>
          <w:rFonts w:asciiTheme="majorHAnsi" w:hAnsiTheme="majorHAnsi" w:cstheme="majorBidi"/>
          <w:sz w:val="22"/>
          <w:szCs w:val="22"/>
          <w:lang w:val="en-GB"/>
        </w:rPr>
        <w:t xml:space="preserve"> </w:t>
      </w:r>
      <w:r w:rsidR="2979FD4C" w:rsidRPr="5937A937">
        <w:rPr>
          <w:rFonts w:asciiTheme="majorHAnsi" w:hAnsiTheme="majorHAnsi" w:cstheme="majorBidi"/>
          <w:sz w:val="22"/>
          <w:szCs w:val="22"/>
          <w:lang w:val="en-GB"/>
        </w:rPr>
        <w:t>C</w:t>
      </w:r>
      <w:r w:rsidR="6503D5C7" w:rsidRPr="5937A937">
        <w:rPr>
          <w:rFonts w:asciiTheme="majorHAnsi" w:hAnsiTheme="majorHAnsi" w:cstheme="majorBidi"/>
          <w:sz w:val="22"/>
          <w:szCs w:val="22"/>
          <w:lang w:val="en-GB"/>
        </w:rPr>
        <w:t>urrently</w:t>
      </w:r>
      <w:r w:rsidR="698416EA" w:rsidRPr="5937A937">
        <w:rPr>
          <w:rFonts w:asciiTheme="majorHAnsi" w:hAnsiTheme="majorHAnsi" w:cstheme="majorBidi"/>
          <w:sz w:val="22"/>
          <w:szCs w:val="22"/>
          <w:lang w:val="en-GB"/>
        </w:rPr>
        <w:t>,</w:t>
      </w:r>
      <w:r w:rsidR="0E6E7D45" w:rsidRPr="5937A937">
        <w:rPr>
          <w:rFonts w:asciiTheme="majorHAnsi" w:hAnsiTheme="majorHAnsi" w:cstheme="majorBidi"/>
          <w:sz w:val="22"/>
          <w:szCs w:val="22"/>
          <w:lang w:val="en-GB"/>
        </w:rPr>
        <w:t xml:space="preserve"> there is a limited offer</w:t>
      </w:r>
      <w:r w:rsidR="698416EA" w:rsidRPr="5937A937">
        <w:rPr>
          <w:rFonts w:asciiTheme="majorHAnsi" w:hAnsiTheme="majorHAnsi" w:cstheme="majorBidi"/>
          <w:sz w:val="22"/>
          <w:szCs w:val="22"/>
          <w:lang w:val="en-GB"/>
        </w:rPr>
        <w:t xml:space="preserve"> </w:t>
      </w:r>
      <w:r w:rsidR="6177F537" w:rsidRPr="5937A937">
        <w:rPr>
          <w:rFonts w:asciiTheme="majorHAnsi" w:hAnsiTheme="majorHAnsi" w:cstheme="majorBidi"/>
          <w:sz w:val="22"/>
          <w:szCs w:val="22"/>
          <w:lang w:val="en-GB"/>
        </w:rPr>
        <w:t xml:space="preserve">of </w:t>
      </w:r>
      <w:r w:rsidR="26EB0919" w:rsidRPr="5937A937">
        <w:rPr>
          <w:rFonts w:asciiTheme="majorHAnsi" w:hAnsiTheme="majorHAnsi" w:cstheme="majorBidi"/>
          <w:sz w:val="22"/>
          <w:szCs w:val="22"/>
          <w:lang w:val="en-GB"/>
        </w:rPr>
        <w:t xml:space="preserve">advanced </w:t>
      </w:r>
      <w:r w:rsidR="698416EA" w:rsidRPr="5937A937">
        <w:rPr>
          <w:rFonts w:asciiTheme="majorHAnsi" w:hAnsiTheme="majorHAnsi" w:cstheme="majorBidi"/>
          <w:sz w:val="22"/>
          <w:szCs w:val="22"/>
          <w:lang w:val="en-GB"/>
        </w:rPr>
        <w:t xml:space="preserve">biofuels </w:t>
      </w:r>
      <w:r w:rsidR="3D76CA7A" w:rsidRPr="5937A937">
        <w:rPr>
          <w:rFonts w:asciiTheme="majorHAnsi" w:hAnsiTheme="majorHAnsi" w:cstheme="majorBidi"/>
          <w:sz w:val="22"/>
          <w:szCs w:val="22"/>
          <w:lang w:val="en-GB"/>
        </w:rPr>
        <w:t xml:space="preserve">in the market, specially </w:t>
      </w:r>
      <w:r w:rsidR="47DD75DA" w:rsidRPr="5937A937">
        <w:rPr>
          <w:rFonts w:asciiTheme="majorHAnsi" w:hAnsiTheme="majorHAnsi" w:cstheme="majorBidi"/>
          <w:sz w:val="22"/>
          <w:szCs w:val="22"/>
          <w:lang w:val="en-GB"/>
        </w:rPr>
        <w:t xml:space="preserve">produced </w:t>
      </w:r>
      <w:r w:rsidR="698416EA" w:rsidRPr="5937A937">
        <w:rPr>
          <w:rFonts w:asciiTheme="majorHAnsi" w:hAnsiTheme="majorHAnsi" w:cstheme="majorBidi"/>
          <w:sz w:val="22"/>
          <w:szCs w:val="22"/>
          <w:lang w:val="en-GB"/>
        </w:rPr>
        <w:t>from l</w:t>
      </w:r>
      <w:r w:rsidR="51547C5F" w:rsidRPr="5937A937">
        <w:rPr>
          <w:rFonts w:asciiTheme="majorHAnsi" w:hAnsiTheme="majorHAnsi" w:cstheme="majorBidi"/>
          <w:sz w:val="22"/>
          <w:szCs w:val="22"/>
          <w:lang w:val="en-GB"/>
        </w:rPr>
        <w:t>ignocellulosic residues</w:t>
      </w:r>
      <w:r w:rsidR="698416EA" w:rsidRPr="5937A937">
        <w:rPr>
          <w:rFonts w:asciiTheme="majorHAnsi" w:hAnsiTheme="majorHAnsi" w:cstheme="majorBidi"/>
          <w:sz w:val="22"/>
          <w:szCs w:val="22"/>
          <w:lang w:val="en-GB"/>
        </w:rPr>
        <w:t>.</w:t>
      </w:r>
      <w:r w:rsidR="0FBB1576" w:rsidRPr="5937A937">
        <w:rPr>
          <w:rFonts w:asciiTheme="majorHAnsi" w:hAnsiTheme="majorHAnsi" w:cstheme="majorBidi"/>
          <w:sz w:val="22"/>
          <w:szCs w:val="22"/>
          <w:lang w:val="en-GB"/>
        </w:rPr>
        <w:t xml:space="preserve"> The exception relies on cellulosic ethanol, produced from crop residues. The </w:t>
      </w:r>
      <w:r w:rsidR="7A943D96" w:rsidRPr="5937A937">
        <w:rPr>
          <w:rFonts w:asciiTheme="majorHAnsi" w:hAnsiTheme="majorHAnsi" w:cstheme="majorBidi"/>
          <w:sz w:val="22"/>
          <w:szCs w:val="22"/>
          <w:lang w:val="en-GB"/>
        </w:rPr>
        <w:t>heterogeneous</w:t>
      </w:r>
      <w:r w:rsidR="2C376347" w:rsidRPr="5937A937">
        <w:rPr>
          <w:rFonts w:asciiTheme="majorHAnsi" w:hAnsiTheme="majorHAnsi" w:cstheme="majorBidi"/>
          <w:sz w:val="22"/>
          <w:szCs w:val="22"/>
          <w:lang w:val="en-GB"/>
        </w:rPr>
        <w:t xml:space="preserve"> </w:t>
      </w:r>
      <w:r w:rsidR="4D9DB589" w:rsidRPr="5937A937">
        <w:rPr>
          <w:rFonts w:asciiTheme="majorHAnsi" w:hAnsiTheme="majorHAnsi" w:cstheme="majorBidi"/>
          <w:sz w:val="22"/>
          <w:szCs w:val="22"/>
          <w:lang w:val="en-GB"/>
        </w:rPr>
        <w:t xml:space="preserve">and complex </w:t>
      </w:r>
      <w:r w:rsidR="2C376347" w:rsidRPr="5937A937">
        <w:rPr>
          <w:rFonts w:asciiTheme="majorHAnsi" w:hAnsiTheme="majorHAnsi" w:cstheme="majorBidi"/>
          <w:sz w:val="22"/>
          <w:szCs w:val="22"/>
          <w:lang w:val="en-GB"/>
        </w:rPr>
        <w:t xml:space="preserve">nature of </w:t>
      </w:r>
      <w:r w:rsidR="63D2D46A" w:rsidRPr="5937A937">
        <w:rPr>
          <w:rFonts w:asciiTheme="majorHAnsi" w:hAnsiTheme="majorHAnsi" w:cstheme="majorBidi"/>
          <w:sz w:val="22"/>
          <w:szCs w:val="22"/>
          <w:lang w:val="en-GB"/>
        </w:rPr>
        <w:t>th</w:t>
      </w:r>
      <w:r w:rsidR="2C376347" w:rsidRPr="5937A937">
        <w:rPr>
          <w:rFonts w:asciiTheme="majorHAnsi" w:hAnsiTheme="majorHAnsi" w:cstheme="majorBidi"/>
          <w:sz w:val="22"/>
          <w:szCs w:val="22"/>
          <w:lang w:val="en-GB"/>
        </w:rPr>
        <w:t>e</w:t>
      </w:r>
      <w:r w:rsidR="20C6F0A2" w:rsidRPr="5937A937">
        <w:rPr>
          <w:rFonts w:asciiTheme="majorHAnsi" w:hAnsiTheme="majorHAnsi" w:cstheme="majorBidi"/>
          <w:sz w:val="22"/>
          <w:szCs w:val="22"/>
          <w:lang w:val="en-GB"/>
        </w:rPr>
        <w:t xml:space="preserve"> material and </w:t>
      </w:r>
      <w:r w:rsidR="18762BE9" w:rsidRPr="5937A937">
        <w:rPr>
          <w:rFonts w:asciiTheme="majorHAnsi" w:hAnsiTheme="majorHAnsi" w:cstheme="majorBidi"/>
          <w:sz w:val="22"/>
          <w:szCs w:val="22"/>
          <w:lang w:val="en-GB"/>
        </w:rPr>
        <w:t xml:space="preserve">the </w:t>
      </w:r>
      <w:r w:rsidR="20C6F0A2" w:rsidRPr="5937A937">
        <w:rPr>
          <w:rFonts w:asciiTheme="majorHAnsi" w:hAnsiTheme="majorHAnsi" w:cstheme="majorBidi"/>
          <w:sz w:val="22"/>
          <w:szCs w:val="22"/>
          <w:lang w:val="en-GB"/>
        </w:rPr>
        <w:t>diverse</w:t>
      </w:r>
      <w:r w:rsidR="188B9561" w:rsidRPr="5937A937">
        <w:rPr>
          <w:rFonts w:asciiTheme="majorHAnsi" w:hAnsiTheme="majorHAnsi" w:cstheme="majorBidi"/>
          <w:sz w:val="22"/>
          <w:szCs w:val="22"/>
          <w:lang w:val="en-GB"/>
        </w:rPr>
        <w:t xml:space="preserve"> </w:t>
      </w:r>
      <w:r w:rsidR="20C6F0A2" w:rsidRPr="5937A937">
        <w:rPr>
          <w:rFonts w:asciiTheme="majorHAnsi" w:hAnsiTheme="majorHAnsi" w:cstheme="majorBidi"/>
          <w:sz w:val="22"/>
          <w:szCs w:val="22"/>
          <w:lang w:val="en-GB"/>
        </w:rPr>
        <w:t>availability</w:t>
      </w:r>
      <w:r w:rsidR="2C376347" w:rsidRPr="5937A937">
        <w:rPr>
          <w:rFonts w:asciiTheme="majorHAnsi" w:hAnsiTheme="majorHAnsi" w:cstheme="majorBidi"/>
          <w:sz w:val="22"/>
          <w:szCs w:val="22"/>
          <w:lang w:val="en-GB"/>
        </w:rPr>
        <w:t xml:space="preserve"> </w:t>
      </w:r>
      <w:r w:rsidR="7B624A47" w:rsidRPr="5937A937">
        <w:rPr>
          <w:rFonts w:asciiTheme="majorHAnsi" w:hAnsiTheme="majorHAnsi" w:cstheme="majorBidi"/>
          <w:sz w:val="22"/>
          <w:szCs w:val="22"/>
          <w:lang w:val="en-GB"/>
        </w:rPr>
        <w:t xml:space="preserve">make </w:t>
      </w:r>
      <w:r w:rsidR="6EB1509C" w:rsidRPr="5937A937">
        <w:rPr>
          <w:rFonts w:asciiTheme="majorHAnsi" w:hAnsiTheme="majorHAnsi" w:cstheme="majorBidi"/>
          <w:sz w:val="22"/>
          <w:szCs w:val="22"/>
          <w:lang w:val="en-GB"/>
        </w:rPr>
        <w:t>the</w:t>
      </w:r>
      <w:r w:rsidR="7B624A47" w:rsidRPr="5937A937">
        <w:rPr>
          <w:rFonts w:asciiTheme="majorHAnsi" w:hAnsiTheme="majorHAnsi" w:cstheme="majorBidi"/>
          <w:sz w:val="22"/>
          <w:szCs w:val="22"/>
          <w:lang w:val="en-GB"/>
        </w:rPr>
        <w:t xml:space="preserve"> upgrade </w:t>
      </w:r>
      <w:r w:rsidR="640A5551" w:rsidRPr="5937A937">
        <w:rPr>
          <w:rFonts w:asciiTheme="majorHAnsi" w:hAnsiTheme="majorHAnsi" w:cstheme="majorBidi"/>
          <w:sz w:val="22"/>
          <w:szCs w:val="22"/>
          <w:lang w:val="en-GB"/>
        </w:rPr>
        <w:t xml:space="preserve">of lignocellulose </w:t>
      </w:r>
      <w:r w:rsidR="7B624A47" w:rsidRPr="5937A937">
        <w:rPr>
          <w:rFonts w:asciiTheme="majorHAnsi" w:hAnsiTheme="majorHAnsi" w:cstheme="majorBidi"/>
          <w:sz w:val="22"/>
          <w:szCs w:val="22"/>
          <w:lang w:val="en-GB"/>
        </w:rPr>
        <w:t xml:space="preserve">into fuel a challenging task at commercial </w:t>
      </w:r>
      <w:r w:rsidR="073DC7CD" w:rsidRPr="5937A937">
        <w:rPr>
          <w:rFonts w:asciiTheme="majorHAnsi" w:hAnsiTheme="majorHAnsi" w:cstheme="majorBidi"/>
          <w:sz w:val="22"/>
          <w:szCs w:val="22"/>
          <w:lang w:val="en-GB"/>
        </w:rPr>
        <w:t>scale</w:t>
      </w:r>
      <w:r w:rsidR="2C376347" w:rsidRPr="5937A937">
        <w:rPr>
          <w:rFonts w:asciiTheme="majorHAnsi" w:hAnsiTheme="majorHAnsi" w:cstheme="majorBidi"/>
          <w:sz w:val="22"/>
          <w:szCs w:val="22"/>
          <w:lang w:val="en-GB"/>
        </w:rPr>
        <w:t>.</w:t>
      </w:r>
      <w:r w:rsidR="698416EA" w:rsidRPr="5937A937">
        <w:rPr>
          <w:rFonts w:asciiTheme="majorHAnsi" w:hAnsiTheme="majorHAnsi" w:cstheme="majorBidi"/>
          <w:sz w:val="22"/>
          <w:szCs w:val="22"/>
          <w:lang w:val="en-GB"/>
        </w:rPr>
        <w:t xml:space="preserve"> There </w:t>
      </w:r>
      <w:r w:rsidR="1448C6C2" w:rsidRPr="5937A937">
        <w:rPr>
          <w:rFonts w:asciiTheme="majorHAnsi" w:hAnsiTheme="majorHAnsi" w:cstheme="majorBidi"/>
          <w:sz w:val="22"/>
          <w:szCs w:val="22"/>
          <w:lang w:val="en-GB"/>
        </w:rPr>
        <w:t xml:space="preserve">are </w:t>
      </w:r>
      <w:r w:rsidR="698416EA" w:rsidRPr="5937A937">
        <w:rPr>
          <w:rFonts w:asciiTheme="majorHAnsi" w:hAnsiTheme="majorHAnsi" w:cstheme="majorBidi"/>
          <w:sz w:val="22"/>
          <w:szCs w:val="22"/>
          <w:lang w:val="en-GB"/>
        </w:rPr>
        <w:t xml:space="preserve">different processing options for this kind of residues such as </w:t>
      </w:r>
      <w:r w:rsidR="51547C5F" w:rsidRPr="5937A937">
        <w:rPr>
          <w:rFonts w:asciiTheme="majorHAnsi" w:hAnsiTheme="majorHAnsi" w:cstheme="majorBidi"/>
          <w:sz w:val="22"/>
          <w:szCs w:val="22"/>
          <w:lang w:val="en-GB"/>
        </w:rPr>
        <w:t>pyrolysis, hydrothermal liquefaction (HTL), gasification and bio digestion</w:t>
      </w:r>
      <w:r w:rsidR="5A39CB86" w:rsidRPr="5937A937">
        <w:rPr>
          <w:rFonts w:asciiTheme="majorHAnsi" w:hAnsiTheme="majorHAnsi" w:cstheme="majorBidi"/>
          <w:sz w:val="22"/>
          <w:szCs w:val="22"/>
          <w:lang w:val="en-GB"/>
        </w:rPr>
        <w:t xml:space="preserve">, as depicted </w:t>
      </w:r>
      <w:r w:rsidR="23C3A977" w:rsidRPr="5937A937">
        <w:rPr>
          <w:rFonts w:asciiTheme="majorHAnsi" w:hAnsiTheme="majorHAnsi" w:cstheme="majorBidi"/>
          <w:sz w:val="22"/>
          <w:szCs w:val="22"/>
          <w:lang w:val="en-GB"/>
        </w:rPr>
        <w:t>in</w:t>
      </w:r>
      <w:r w:rsidR="5A39CB86" w:rsidRPr="5937A937">
        <w:rPr>
          <w:rFonts w:asciiTheme="majorHAnsi" w:hAnsiTheme="majorHAnsi" w:cstheme="majorBidi"/>
          <w:sz w:val="22"/>
          <w:szCs w:val="22"/>
          <w:lang w:val="en-GB"/>
        </w:rPr>
        <w:t xml:space="preserve"> Fig</w:t>
      </w:r>
      <w:r w:rsidR="01964E3C" w:rsidRPr="5937A937">
        <w:rPr>
          <w:rFonts w:asciiTheme="majorHAnsi" w:hAnsiTheme="majorHAnsi" w:cstheme="majorBidi"/>
          <w:sz w:val="22"/>
          <w:szCs w:val="22"/>
          <w:lang w:val="en-GB"/>
        </w:rPr>
        <w:t>.</w:t>
      </w:r>
      <w:r w:rsidR="5A39CB86" w:rsidRPr="5937A937">
        <w:rPr>
          <w:rFonts w:asciiTheme="majorHAnsi" w:hAnsiTheme="majorHAnsi" w:cstheme="majorBidi"/>
          <w:sz w:val="22"/>
          <w:szCs w:val="22"/>
          <w:lang w:val="en-GB"/>
        </w:rPr>
        <w:t xml:space="preserve"> </w:t>
      </w:r>
      <w:r w:rsidR="01964E3C" w:rsidRPr="5937A937">
        <w:rPr>
          <w:rFonts w:asciiTheme="majorHAnsi" w:hAnsiTheme="majorHAnsi" w:cstheme="majorBidi"/>
          <w:sz w:val="22"/>
          <w:szCs w:val="22"/>
          <w:lang w:val="en-GB"/>
        </w:rPr>
        <w:t>4</w:t>
      </w:r>
      <w:r w:rsidR="5A39CB86" w:rsidRPr="5937A937">
        <w:rPr>
          <w:rFonts w:asciiTheme="majorHAnsi" w:hAnsiTheme="majorHAnsi" w:cstheme="majorBidi"/>
          <w:sz w:val="22"/>
          <w:szCs w:val="22"/>
          <w:lang w:val="en-GB"/>
        </w:rPr>
        <w:t>.</w:t>
      </w:r>
      <w:r w:rsidR="15BC5B99" w:rsidRPr="5937A937">
        <w:rPr>
          <w:rFonts w:asciiTheme="majorHAnsi" w:hAnsiTheme="majorHAnsi" w:cstheme="majorBidi"/>
          <w:sz w:val="22"/>
          <w:szCs w:val="22"/>
          <w:lang w:val="en-GB"/>
        </w:rPr>
        <w:t xml:space="preserve"> </w:t>
      </w:r>
      <w:r w:rsidR="038229CA" w:rsidRPr="5937A937">
        <w:rPr>
          <w:rFonts w:asciiTheme="majorHAnsi" w:hAnsiTheme="majorHAnsi" w:cstheme="majorBidi"/>
          <w:sz w:val="22"/>
          <w:szCs w:val="22"/>
          <w:lang w:val="en-GB"/>
        </w:rPr>
        <w:t>These are at different stages of development</w:t>
      </w:r>
      <w:r w:rsidR="774316E7" w:rsidRPr="5937A937">
        <w:rPr>
          <w:rFonts w:asciiTheme="majorHAnsi" w:hAnsiTheme="majorHAnsi" w:cstheme="majorBidi"/>
          <w:sz w:val="22"/>
          <w:szCs w:val="22"/>
          <w:lang w:val="en-GB"/>
        </w:rPr>
        <w:t xml:space="preserve"> though</w:t>
      </w:r>
      <w:r w:rsidR="038229CA" w:rsidRPr="5937A937">
        <w:rPr>
          <w:rFonts w:asciiTheme="majorHAnsi" w:hAnsiTheme="majorHAnsi" w:cstheme="majorBidi"/>
          <w:sz w:val="22"/>
          <w:szCs w:val="22"/>
          <w:lang w:val="en-GB"/>
        </w:rPr>
        <w:t xml:space="preserve">. </w:t>
      </w:r>
    </w:p>
    <w:p w14:paraId="4399D9CC" w14:textId="00454227" w:rsidR="005A2C5B" w:rsidRDefault="005A2C5B" w:rsidP="65215FB1">
      <w:pPr>
        <w:spacing w:line="360" w:lineRule="auto"/>
        <w:ind w:firstLine="720"/>
        <w:rPr>
          <w:rFonts w:asciiTheme="majorHAnsi" w:hAnsiTheme="majorHAnsi" w:cstheme="majorHAnsi"/>
          <w:sz w:val="22"/>
          <w:szCs w:val="22"/>
          <w:lang w:val="en-GB"/>
        </w:rPr>
      </w:pPr>
    </w:p>
    <w:p w14:paraId="556F8847" w14:textId="77777777" w:rsidR="005A2C5B" w:rsidRDefault="44173262" w:rsidP="5937A937">
      <w:pPr>
        <w:keepNext/>
        <w:spacing w:line="360" w:lineRule="auto"/>
        <w:jc w:val="center"/>
      </w:pPr>
      <w:r>
        <w:rPr>
          <w:noProof/>
        </w:rPr>
        <w:lastRenderedPageBreak/>
        <w:drawing>
          <wp:inline distT="0" distB="0" distL="0" distR="0" wp14:anchorId="13536A0E" wp14:editId="6DA8FAF6">
            <wp:extent cx="5829300" cy="4238387"/>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829300" cy="4238387"/>
                    </a:xfrm>
                    <a:prstGeom prst="rect">
                      <a:avLst/>
                    </a:prstGeom>
                  </pic:spPr>
                </pic:pic>
              </a:graphicData>
            </a:graphic>
          </wp:inline>
        </w:drawing>
      </w:r>
    </w:p>
    <w:p w14:paraId="7C0779E0" w14:textId="2E0C55A1" w:rsidR="005A2C5B" w:rsidRDefault="005A2C5B" w:rsidP="005A2C5B">
      <w:pPr>
        <w:pStyle w:val="Caption"/>
      </w:pPr>
      <w:bookmarkStart w:id="24" w:name="_Toc84018239"/>
      <w:r>
        <w:t xml:space="preserve">Figure </w:t>
      </w:r>
      <w:fldSimple w:instr=" SEQ Figure \* ARABIC ">
        <w:r w:rsidR="00945B67">
          <w:rPr>
            <w:noProof/>
          </w:rPr>
          <w:t>4</w:t>
        </w:r>
      </w:fldSimple>
      <w:r>
        <w:t xml:space="preserve">. </w:t>
      </w:r>
      <w:r w:rsidRPr="00003165">
        <w:t>Overall flowchart for biofuel production starting from different feedstocks</w:t>
      </w:r>
      <w:r w:rsidR="0078056B">
        <w:t xml:space="preserve"> (</w:t>
      </w:r>
      <w:r w:rsidR="000378E4">
        <w:t>s</w:t>
      </w:r>
      <w:r w:rsidR="00512A9B">
        <w:t>ource:</w:t>
      </w:r>
      <w:r w:rsidRPr="00003165">
        <w:t xml:space="preserve"> IEA Bioenergy 2017</w:t>
      </w:r>
      <w:r w:rsidR="0078056B">
        <w:t>)</w:t>
      </w:r>
      <w:r>
        <w:t>.</w:t>
      </w:r>
      <w:bookmarkEnd w:id="24"/>
    </w:p>
    <w:p w14:paraId="4847CD08" w14:textId="77777777" w:rsidR="00DD5C73" w:rsidRPr="00DD5C73" w:rsidRDefault="00DD5C73" w:rsidP="00DD5C73">
      <w:pPr>
        <w:rPr>
          <w:lang w:val="en-GB"/>
        </w:rPr>
      </w:pPr>
    </w:p>
    <w:p w14:paraId="6B709178" w14:textId="6778D20A" w:rsidR="70D01BEB" w:rsidRPr="00DD5C73" w:rsidRDefault="70D01BEB" w:rsidP="005D6854">
      <w:pPr>
        <w:pStyle w:val="Heading2"/>
      </w:pPr>
      <w:bookmarkStart w:id="25" w:name="_Toc84019453"/>
      <w:r>
        <w:t>Green House Gas Emissions</w:t>
      </w:r>
      <w:bookmarkEnd w:id="25"/>
    </w:p>
    <w:p w14:paraId="512D34B3" w14:textId="7C99559D" w:rsidR="65215FB1" w:rsidRDefault="65215FB1" w:rsidP="65215FB1">
      <w:pPr>
        <w:rPr>
          <w:lang w:val="en-GB"/>
        </w:rPr>
      </w:pPr>
    </w:p>
    <w:p w14:paraId="1CC55B72" w14:textId="3104EE92" w:rsidR="00C53804" w:rsidRPr="00650B23" w:rsidRDefault="31A87CC4" w:rsidP="5937A937">
      <w:pPr>
        <w:spacing w:line="360" w:lineRule="auto"/>
        <w:ind w:firstLine="720"/>
        <w:rPr>
          <w:rFonts w:eastAsia="Calibri" w:cs="Calibri"/>
          <w:color w:val="0C0C0C" w:themeColor="text1"/>
          <w:sz w:val="22"/>
          <w:szCs w:val="22"/>
          <w:lang w:val="en-GB"/>
        </w:rPr>
      </w:pPr>
      <w:r w:rsidRPr="5937A937">
        <w:rPr>
          <w:rFonts w:eastAsia="Calibri" w:cs="Calibri"/>
          <w:color w:val="0C0C0C" w:themeColor="text1"/>
          <w:sz w:val="22"/>
          <w:szCs w:val="22"/>
          <w:lang w:val="en-GB"/>
        </w:rPr>
        <w:t xml:space="preserve">For marine fuels, </w:t>
      </w:r>
      <w:r w:rsidR="109656E5" w:rsidRPr="5937A937">
        <w:rPr>
          <w:rFonts w:eastAsia="Calibri" w:cs="Calibri"/>
          <w:color w:val="0C0C0C" w:themeColor="text1"/>
          <w:sz w:val="22"/>
          <w:szCs w:val="22"/>
          <w:lang w:val="en-GB"/>
        </w:rPr>
        <w:t>IMO directives are the primary criteria</w:t>
      </w:r>
      <w:r w:rsidRPr="5937A937">
        <w:rPr>
          <w:rFonts w:eastAsia="Calibri" w:cs="Calibri"/>
          <w:color w:val="0C0C0C" w:themeColor="text1"/>
          <w:sz w:val="22"/>
          <w:szCs w:val="22"/>
          <w:lang w:val="en-GB"/>
        </w:rPr>
        <w:t xml:space="preserve"> on fuel selection</w:t>
      </w:r>
      <w:r w:rsidR="0AB3F2A3" w:rsidRPr="5937A937">
        <w:rPr>
          <w:rFonts w:eastAsia="Calibri" w:cs="Calibri"/>
          <w:color w:val="0C0C0C" w:themeColor="text1"/>
          <w:sz w:val="22"/>
          <w:szCs w:val="22"/>
          <w:lang w:val="en-GB"/>
        </w:rPr>
        <w:t xml:space="preserve">, especially with regard to the </w:t>
      </w:r>
      <w:r w:rsidR="00E42C76">
        <w:rPr>
          <w:rFonts w:eastAsia="Calibri" w:cs="Calibri"/>
          <w:color w:val="0C0C0C" w:themeColor="text1"/>
          <w:sz w:val="22"/>
          <w:szCs w:val="22"/>
          <w:lang w:val="en-GB"/>
        </w:rPr>
        <w:t>s</w:t>
      </w:r>
      <w:r w:rsidR="00E42C76" w:rsidRPr="5937A937">
        <w:rPr>
          <w:rFonts w:eastAsia="Calibri" w:cs="Calibri"/>
          <w:color w:val="0C0C0C" w:themeColor="text1"/>
          <w:sz w:val="22"/>
          <w:szCs w:val="22"/>
          <w:lang w:val="en-GB"/>
        </w:rPr>
        <w:t>ul</w:t>
      </w:r>
      <w:r w:rsidR="00E42C76">
        <w:rPr>
          <w:rFonts w:eastAsia="Calibri" w:cs="Calibri"/>
          <w:color w:val="0C0C0C" w:themeColor="text1"/>
          <w:sz w:val="22"/>
          <w:szCs w:val="22"/>
          <w:lang w:val="en-GB"/>
        </w:rPr>
        <w:t>p</w:t>
      </w:r>
      <w:r w:rsidR="00E42C76" w:rsidRPr="5937A937">
        <w:rPr>
          <w:rFonts w:eastAsia="Calibri" w:cs="Calibri"/>
          <w:color w:val="0C0C0C" w:themeColor="text1"/>
          <w:sz w:val="22"/>
          <w:szCs w:val="22"/>
          <w:lang w:val="en-GB"/>
        </w:rPr>
        <w:t>hur</w:t>
      </w:r>
      <w:r w:rsidR="0AB3F2A3" w:rsidRPr="5937A937">
        <w:rPr>
          <w:rFonts w:eastAsia="Calibri" w:cs="Calibri"/>
          <w:color w:val="0C0C0C" w:themeColor="text1"/>
          <w:sz w:val="22"/>
          <w:szCs w:val="22"/>
          <w:lang w:val="en-GB"/>
        </w:rPr>
        <w:t xml:space="preserve"> content.</w:t>
      </w:r>
      <w:r w:rsidRPr="5937A937">
        <w:rPr>
          <w:rFonts w:eastAsia="Calibri" w:cs="Calibri"/>
          <w:color w:val="0C0C0C" w:themeColor="text1"/>
          <w:sz w:val="22"/>
          <w:szCs w:val="22"/>
          <w:lang w:val="en-GB"/>
        </w:rPr>
        <w:t xml:space="preserve"> </w:t>
      </w:r>
      <w:r w:rsidR="19A4E9CC" w:rsidRPr="5937A937">
        <w:rPr>
          <w:rFonts w:eastAsia="Calibri" w:cs="Calibri"/>
          <w:color w:val="0C0C0C" w:themeColor="text1"/>
          <w:sz w:val="22"/>
          <w:szCs w:val="22"/>
          <w:lang w:val="en-GB"/>
        </w:rPr>
        <w:t>They relate to the direct emissions coming from the engine</w:t>
      </w:r>
      <w:r w:rsidR="625995CA" w:rsidRPr="5937A937">
        <w:rPr>
          <w:rFonts w:eastAsia="Calibri" w:cs="Calibri"/>
          <w:color w:val="0C0C0C" w:themeColor="text1"/>
          <w:sz w:val="22"/>
          <w:szCs w:val="22"/>
          <w:lang w:val="en-GB"/>
        </w:rPr>
        <w:t>, tracked back to fuel mass composition.</w:t>
      </w:r>
      <w:r w:rsidR="31B9DD54" w:rsidRPr="5937A937">
        <w:rPr>
          <w:rFonts w:eastAsia="Calibri" w:cs="Calibri"/>
          <w:color w:val="0C0C0C" w:themeColor="text1"/>
          <w:sz w:val="22"/>
          <w:szCs w:val="22"/>
          <w:lang w:val="en-GB"/>
        </w:rPr>
        <w:t xml:space="preserve"> </w:t>
      </w:r>
      <w:r w:rsidRPr="5937A937">
        <w:rPr>
          <w:rFonts w:eastAsia="Calibri" w:cs="Calibri"/>
          <w:color w:val="0C0C0C" w:themeColor="text1"/>
          <w:sz w:val="22"/>
          <w:szCs w:val="22"/>
          <w:lang w:val="en-GB"/>
        </w:rPr>
        <w:t>G</w:t>
      </w:r>
      <w:r w:rsidR="4DF50309" w:rsidRPr="5937A937">
        <w:rPr>
          <w:rFonts w:eastAsia="Calibri" w:cs="Calibri"/>
          <w:color w:val="0C0C0C" w:themeColor="text1"/>
          <w:sz w:val="22"/>
          <w:szCs w:val="22"/>
          <w:lang w:val="en-GB"/>
        </w:rPr>
        <w:t>HG</w:t>
      </w:r>
      <w:r w:rsidRPr="5937A937">
        <w:rPr>
          <w:rFonts w:eastAsia="Calibri" w:cs="Calibri"/>
          <w:color w:val="0C0C0C" w:themeColor="text1"/>
          <w:sz w:val="22"/>
          <w:szCs w:val="22"/>
          <w:lang w:val="en-GB"/>
        </w:rPr>
        <w:t xml:space="preserve"> emissions</w:t>
      </w:r>
      <w:r w:rsidR="7CABD465" w:rsidRPr="5937A937">
        <w:rPr>
          <w:rFonts w:eastAsia="Calibri" w:cs="Calibri"/>
          <w:color w:val="0C0C0C" w:themeColor="text1"/>
          <w:sz w:val="22"/>
          <w:szCs w:val="22"/>
          <w:lang w:val="en-GB"/>
        </w:rPr>
        <w:t>, on the other hand,</w:t>
      </w:r>
      <w:r w:rsidRPr="5937A937">
        <w:rPr>
          <w:rFonts w:eastAsia="Calibri" w:cs="Calibri"/>
          <w:color w:val="0C0C0C" w:themeColor="text1"/>
          <w:sz w:val="22"/>
          <w:szCs w:val="22"/>
          <w:lang w:val="en-GB"/>
        </w:rPr>
        <w:t xml:space="preserve"> are accounted from the life cycle of the given fuel. Carbon</w:t>
      </w:r>
      <w:r w:rsidR="0E9F1F1F" w:rsidRPr="5937A937">
        <w:rPr>
          <w:rFonts w:eastAsia="Calibri" w:cs="Calibri"/>
          <w:color w:val="0C0C0C" w:themeColor="text1"/>
          <w:sz w:val="22"/>
          <w:szCs w:val="22"/>
          <w:lang w:val="en-GB"/>
        </w:rPr>
        <w:t xml:space="preserve"> dioxide</w:t>
      </w:r>
      <w:r w:rsidRPr="5937A937">
        <w:rPr>
          <w:rFonts w:eastAsia="Calibri" w:cs="Calibri"/>
          <w:color w:val="0C0C0C" w:themeColor="text1"/>
          <w:sz w:val="22"/>
          <w:szCs w:val="22"/>
          <w:lang w:val="en-GB"/>
        </w:rPr>
        <w:t xml:space="preserve"> equivalent (CO</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xml:space="preserve">eq) is the unit usually adopted on dealing with GHG emissions. It translates the impact of a group of molecules, e.g., </w:t>
      </w:r>
      <w:proofErr w:type="spellStart"/>
      <w:r w:rsidRPr="5937A937">
        <w:rPr>
          <w:rFonts w:eastAsia="Calibri" w:cs="Calibri"/>
          <w:color w:val="0C0C0C" w:themeColor="text1"/>
          <w:sz w:val="22"/>
          <w:szCs w:val="22"/>
          <w:lang w:val="en-GB"/>
        </w:rPr>
        <w:t>COx</w:t>
      </w:r>
      <w:proofErr w:type="spellEnd"/>
      <w:r w:rsidRPr="5937A937">
        <w:rPr>
          <w:rFonts w:eastAsia="Calibri" w:cs="Calibri"/>
          <w:color w:val="0C0C0C" w:themeColor="text1"/>
          <w:sz w:val="22"/>
          <w:szCs w:val="22"/>
          <w:lang w:val="en-GB"/>
        </w:rPr>
        <w:t xml:space="preserve">, NOx, </w:t>
      </w:r>
      <w:proofErr w:type="spellStart"/>
      <w:r w:rsidRPr="5937A937">
        <w:rPr>
          <w:rFonts w:eastAsia="Calibri" w:cs="Calibri"/>
          <w:color w:val="0C0C0C" w:themeColor="text1"/>
          <w:sz w:val="22"/>
          <w:szCs w:val="22"/>
          <w:lang w:val="en-GB"/>
        </w:rPr>
        <w:t>SOx</w:t>
      </w:r>
      <w:proofErr w:type="spellEnd"/>
      <w:r w:rsidRPr="5937A937">
        <w:rPr>
          <w:rFonts w:eastAsia="Calibri" w:cs="Calibri"/>
          <w:color w:val="0C0C0C" w:themeColor="text1"/>
          <w:sz w:val="22"/>
          <w:szCs w:val="22"/>
          <w:lang w:val="en-GB"/>
        </w:rPr>
        <w:t xml:space="preserve"> and methane (CH</w:t>
      </w:r>
      <w:r w:rsidRPr="5937A937">
        <w:rPr>
          <w:rFonts w:eastAsia="Calibri" w:cs="Calibri"/>
          <w:color w:val="0C0C0C" w:themeColor="text1"/>
          <w:sz w:val="22"/>
          <w:szCs w:val="22"/>
          <w:vertAlign w:val="subscript"/>
          <w:lang w:val="en-GB"/>
        </w:rPr>
        <w:t>4</w:t>
      </w:r>
      <w:r w:rsidRPr="5937A937">
        <w:rPr>
          <w:rFonts w:eastAsia="Calibri" w:cs="Calibri"/>
          <w:color w:val="0C0C0C" w:themeColor="text1"/>
          <w:sz w:val="22"/>
          <w:szCs w:val="22"/>
          <w:lang w:val="en-GB"/>
        </w:rPr>
        <w:t>), into a common unit expressed as a quantity of CO</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For example, one unit of CH</w:t>
      </w:r>
      <w:r w:rsidRPr="5937A937">
        <w:rPr>
          <w:rFonts w:eastAsia="Calibri" w:cs="Calibri"/>
          <w:color w:val="0C0C0C" w:themeColor="text1"/>
          <w:sz w:val="22"/>
          <w:szCs w:val="22"/>
          <w:vertAlign w:val="subscript"/>
          <w:lang w:val="en-GB"/>
        </w:rPr>
        <w:t>4</w:t>
      </w:r>
      <w:r w:rsidRPr="5937A937">
        <w:rPr>
          <w:rFonts w:eastAsia="Calibri" w:cs="Calibri"/>
          <w:color w:val="0C0C0C" w:themeColor="text1"/>
          <w:sz w:val="22"/>
          <w:szCs w:val="22"/>
          <w:lang w:val="en-GB"/>
        </w:rPr>
        <w:t xml:space="preserve"> would account for </w:t>
      </w:r>
      <w:r w:rsidR="2FEF1C0E" w:rsidRPr="5937A937">
        <w:rPr>
          <w:rFonts w:eastAsia="Calibri" w:cs="Calibri"/>
          <w:color w:val="0C0C0C" w:themeColor="text1"/>
          <w:sz w:val="22"/>
          <w:szCs w:val="22"/>
          <w:lang w:val="en-GB"/>
        </w:rPr>
        <w:t>approximatively 30</w:t>
      </w:r>
      <w:r w:rsidRPr="5937A937">
        <w:rPr>
          <w:rFonts w:eastAsia="Calibri" w:cs="Calibri"/>
          <w:color w:val="0C0C0C" w:themeColor="text1"/>
          <w:sz w:val="22"/>
          <w:szCs w:val="22"/>
          <w:lang w:val="en-GB"/>
        </w:rPr>
        <w:t xml:space="preserve"> units of CO</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based on their inherent intensity as greenhouse gas</w:t>
      </w:r>
      <w:r w:rsidR="00182583">
        <w:rPr>
          <w:rFonts w:eastAsia="Calibri" w:cs="Calibri"/>
          <w:color w:val="0C0C0C" w:themeColor="text1"/>
          <w:sz w:val="22"/>
          <w:szCs w:val="22"/>
          <w:lang w:val="en-GB"/>
        </w:rPr>
        <w:t xml:space="preserve"> </w:t>
      </w:r>
      <w:r w:rsidR="0084761F">
        <w:rPr>
          <w:rFonts w:eastAsia="Calibri" w:cs="Calibri"/>
          <w:color w:val="0C0C0C" w:themeColor="text1"/>
          <w:sz w:val="22"/>
          <w:szCs w:val="22"/>
          <w:lang w:val="en-GB"/>
        </w:rPr>
        <w:fldChar w:fldCharType="begin" w:fldLock="1"/>
      </w:r>
      <w:r w:rsidR="0005204F">
        <w:rPr>
          <w:rFonts w:eastAsia="Calibri" w:cs="Calibri"/>
          <w:color w:val="0C0C0C" w:themeColor="text1"/>
          <w:sz w:val="22"/>
          <w:szCs w:val="22"/>
          <w:lang w:val="en-GB"/>
        </w:rPr>
        <w:instrText>ADDIN CSL_CITATION {"citationItems":[{"id":"ITEM-1","itemData":{"abstract":"Contribution of Working Group I to the Fifth Assessment Report of the Intergovernmental","author":[{"dropping-particle":"","family":"Myhre, G.","given":"D.","non-dropping-particle":"","parse-names":false,"suffix":""},{"dropping-particle":"","family":"Shindell","given":"F.‐M.","non-dropping-particle":"","parse-names":false,"suffix":""},{"dropping-particle":"","family":"Bréon","given":"W.","non-dropping-particle":"","parse-names":false,"suffix":""},{"dropping-particle":"","family":"Collins","given":"J.","non-dropping-particle":"","parse-names":false,"suffix":""},{"dropping-particle":"","family":"Fuglestvedt","given":"J.","non-dropping-particle":"","parse-names":false,"suffix":""},{"dropping-particle":"","family":"Huang","given":"D.","non-dropping-particle":"","parse-names":false,"suffix":""},{"dropping-particle":"","family":"Koch","given":"J.‐F.","non-dropping-particle":"","parse-names":false,"suffix":""},{"dropping-particle":"","family":"Lamarque","given":"D.","non-dropping-particle":"","parse-names":false,"suffix":""},{"dropping-particle":"","family":"Lee","given":"B.","non-dropping-particle":"","parse-names":false,"suffix":""},{"dropping-particle":"","family":"Mendoza","given":"T.","non-dropping-particle":"","parse-names":false,"suffix":""},{"dropping-particle":"","family":"Nakajima","given":"A.","non-dropping-particle":"","parse-names":false,"suffix":""},{"dropping-particle":"","family":"Robock","given":"G.","non-dropping-particle":"","parse-names":false,"suffix":""},{"dropping-particle":"","family":"Stephens","given":"T.","non-dropping-particle":"","parse-names":false,"suffix":""},{"dropping-particle":"","family":"Takemura","given":"","non-dropping-particle":"","parse-names":false,"suffix":""},{"dropping-particle":"","family":"Zhang","given":"H.","non-dropping-particle":"","parse-names":false,"suffix":""}],"container-title":"Greenhouse Gas Protocol","id":"ITEM-1","issue":"1995","issued":{"date-parts":[["2015"]]},"page":"2-5","title":"Global Warming Potential Values","type":"article-journal","volume":"2014"},"uris":["http://www.mendeley.com/documents/?uuid=7aee5742-ab6d-4f1b-94ba-1fcbc5cd8013"]}],"mendeley":{"formattedCitation":"(Myhre, G. et al., 2015)","plainTextFormattedCitation":"(Myhre, G. et al., 2015)","previouslyFormattedCitation":"(Myhre, G. et al., 2015)"},"properties":{"noteIndex":0},"schema":"https://github.com/citation-style-language/schema/raw/master/csl-citation.json"}</w:instrText>
      </w:r>
      <w:r w:rsidR="0084761F">
        <w:rPr>
          <w:rFonts w:eastAsia="Calibri" w:cs="Calibri"/>
          <w:color w:val="0C0C0C" w:themeColor="text1"/>
          <w:sz w:val="22"/>
          <w:szCs w:val="22"/>
          <w:lang w:val="en-GB"/>
        </w:rPr>
        <w:fldChar w:fldCharType="separate"/>
      </w:r>
      <w:r w:rsidR="0084761F" w:rsidRPr="0084761F">
        <w:rPr>
          <w:rFonts w:eastAsia="Calibri" w:cs="Calibri"/>
          <w:noProof/>
          <w:color w:val="0C0C0C" w:themeColor="text1"/>
          <w:sz w:val="22"/>
          <w:szCs w:val="22"/>
          <w:lang w:val="en-GB"/>
        </w:rPr>
        <w:t>(Myhre, G. et al., 2015)</w:t>
      </w:r>
      <w:r w:rsidR="0084761F">
        <w:rPr>
          <w:rFonts w:eastAsia="Calibri" w:cs="Calibri"/>
          <w:color w:val="0C0C0C" w:themeColor="text1"/>
          <w:sz w:val="22"/>
          <w:szCs w:val="22"/>
          <w:lang w:val="en-GB"/>
        </w:rPr>
        <w:fldChar w:fldCharType="end"/>
      </w:r>
      <w:r w:rsidR="0084761F">
        <w:rPr>
          <w:rFonts w:eastAsia="Calibri" w:cs="Calibri"/>
          <w:color w:val="0C0C0C" w:themeColor="text1"/>
          <w:sz w:val="22"/>
          <w:szCs w:val="22"/>
          <w:lang w:val="en-GB"/>
        </w:rPr>
        <w:t xml:space="preserve">. </w:t>
      </w:r>
    </w:p>
    <w:p w14:paraId="03C1BFC5" w14:textId="2C6A366F" w:rsidR="00C53804" w:rsidRPr="00650B23" w:rsidRDefault="31A87CC4" w:rsidP="5937A937">
      <w:pPr>
        <w:spacing w:line="360" w:lineRule="auto"/>
        <w:ind w:firstLine="720"/>
        <w:rPr>
          <w:rFonts w:eastAsia="Calibri" w:cs="Calibri"/>
          <w:color w:val="0C0C0C" w:themeColor="text1"/>
          <w:sz w:val="22"/>
          <w:szCs w:val="22"/>
          <w:lang w:val="en-GB"/>
        </w:rPr>
      </w:pPr>
      <w:r w:rsidRPr="5937A937">
        <w:rPr>
          <w:rFonts w:eastAsia="Calibri" w:cs="Calibri"/>
          <w:color w:val="0C0C0C" w:themeColor="text1"/>
          <w:sz w:val="22"/>
          <w:szCs w:val="22"/>
          <w:lang w:val="en-GB"/>
        </w:rPr>
        <w:t>The life cycle emissions are quantified through the life cycle analysis (LCA) methodology, which considers the emissions from w</w:t>
      </w:r>
      <w:r w:rsidR="1592BB93" w:rsidRPr="5937A937">
        <w:rPr>
          <w:rFonts w:eastAsia="Calibri" w:cs="Calibri"/>
          <w:color w:val="0C0C0C" w:themeColor="text1"/>
          <w:sz w:val="22"/>
          <w:szCs w:val="22"/>
          <w:lang w:val="en-GB"/>
        </w:rPr>
        <w:t>ell</w:t>
      </w:r>
      <w:r w:rsidRPr="5937A937">
        <w:rPr>
          <w:rFonts w:eastAsia="Calibri" w:cs="Calibri"/>
          <w:color w:val="0C0C0C" w:themeColor="text1"/>
          <w:sz w:val="22"/>
          <w:szCs w:val="22"/>
          <w:lang w:val="en-GB"/>
        </w:rPr>
        <w:t>-to-w</w:t>
      </w:r>
      <w:r w:rsidR="7B4481D1" w:rsidRPr="5937A937">
        <w:rPr>
          <w:rFonts w:eastAsia="Calibri" w:cs="Calibri"/>
          <w:color w:val="0C0C0C" w:themeColor="text1"/>
          <w:sz w:val="22"/>
          <w:szCs w:val="22"/>
          <w:lang w:val="en-GB"/>
        </w:rPr>
        <w:t>ake</w:t>
      </w:r>
      <w:r w:rsidRPr="5937A937">
        <w:rPr>
          <w:rFonts w:eastAsia="Calibri" w:cs="Calibri"/>
          <w:color w:val="0C0C0C" w:themeColor="text1"/>
          <w:sz w:val="22"/>
          <w:szCs w:val="22"/>
          <w:lang w:val="en-GB"/>
        </w:rPr>
        <w:t xml:space="preserve"> of the given fuel. Taking ammonia as an example, the LCA will consider the energy</w:t>
      </w:r>
      <w:r w:rsidR="49CB4C7E" w:rsidRPr="5937A937">
        <w:rPr>
          <w:rFonts w:eastAsia="Calibri" w:cs="Calibri"/>
          <w:color w:val="0C0C0C" w:themeColor="text1"/>
          <w:sz w:val="22"/>
          <w:szCs w:val="22"/>
          <w:lang w:val="en-GB"/>
        </w:rPr>
        <w:t xml:space="preserve"> and</w:t>
      </w:r>
      <w:r w:rsidRPr="5937A937">
        <w:rPr>
          <w:rFonts w:eastAsia="Calibri" w:cs="Calibri"/>
          <w:color w:val="0C0C0C" w:themeColor="text1"/>
          <w:sz w:val="22"/>
          <w:szCs w:val="22"/>
          <w:lang w:val="en-GB"/>
        </w:rPr>
        <w:t xml:space="preserve"> material inputs </w:t>
      </w:r>
      <w:r w:rsidR="79EE0330" w:rsidRPr="5937A937">
        <w:rPr>
          <w:rFonts w:eastAsia="Calibri" w:cs="Calibri"/>
          <w:color w:val="0C0C0C" w:themeColor="text1"/>
          <w:sz w:val="22"/>
          <w:szCs w:val="22"/>
          <w:lang w:val="en-GB"/>
        </w:rPr>
        <w:t>consum</w:t>
      </w:r>
      <w:r w:rsidRPr="5937A937">
        <w:rPr>
          <w:rFonts w:eastAsia="Calibri" w:cs="Calibri"/>
          <w:color w:val="0C0C0C" w:themeColor="text1"/>
          <w:sz w:val="22"/>
          <w:szCs w:val="22"/>
          <w:lang w:val="en-GB"/>
        </w:rPr>
        <w:t xml:space="preserve">ed </w:t>
      </w:r>
      <w:r w:rsidR="0C9D943B" w:rsidRPr="5937A937">
        <w:rPr>
          <w:rFonts w:eastAsia="Calibri" w:cs="Calibri"/>
          <w:color w:val="0C0C0C" w:themeColor="text1"/>
          <w:sz w:val="22"/>
          <w:szCs w:val="22"/>
          <w:lang w:val="en-GB"/>
        </w:rPr>
        <w:t>along the production chain, including</w:t>
      </w:r>
      <w:r w:rsidR="5FA70C2D" w:rsidRPr="5937A937">
        <w:rPr>
          <w:rFonts w:eastAsia="Calibri" w:cs="Calibri"/>
          <w:color w:val="0C0C0C" w:themeColor="text1"/>
          <w:sz w:val="22"/>
          <w:szCs w:val="22"/>
          <w:lang w:val="en-GB"/>
        </w:rPr>
        <w:t xml:space="preserve"> emissions </w:t>
      </w:r>
      <w:r w:rsidR="15AC2722" w:rsidRPr="5937A937">
        <w:rPr>
          <w:rFonts w:eastAsia="Calibri" w:cs="Calibri"/>
          <w:color w:val="0C0C0C" w:themeColor="text1"/>
          <w:sz w:val="22"/>
          <w:szCs w:val="22"/>
          <w:lang w:val="en-GB"/>
        </w:rPr>
        <w:t>related</w:t>
      </w:r>
      <w:r w:rsidR="0C9D943B" w:rsidRPr="5937A937">
        <w:rPr>
          <w:rFonts w:eastAsia="Calibri" w:cs="Calibri"/>
          <w:color w:val="0C0C0C" w:themeColor="text1"/>
          <w:sz w:val="22"/>
          <w:szCs w:val="22"/>
          <w:lang w:val="en-GB"/>
        </w:rPr>
        <w:t xml:space="preserve"> </w:t>
      </w:r>
      <w:r w:rsidRPr="5937A937">
        <w:rPr>
          <w:rFonts w:eastAsia="Calibri" w:cs="Calibri"/>
          <w:color w:val="0C0C0C" w:themeColor="text1"/>
          <w:sz w:val="22"/>
          <w:szCs w:val="22"/>
          <w:lang w:val="en-GB"/>
        </w:rPr>
        <w:t>to H</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xml:space="preserve"> and N</w:t>
      </w:r>
      <w:r w:rsidRPr="5937A937">
        <w:rPr>
          <w:rFonts w:eastAsia="Calibri" w:cs="Calibri"/>
          <w:color w:val="0C0C0C" w:themeColor="text1"/>
          <w:sz w:val="22"/>
          <w:szCs w:val="22"/>
          <w:vertAlign w:val="subscript"/>
          <w:lang w:val="en-GB"/>
        </w:rPr>
        <w:t>2</w:t>
      </w:r>
      <w:r w:rsidRPr="5937A937">
        <w:rPr>
          <w:rFonts w:eastAsia="Calibri" w:cs="Calibri"/>
          <w:color w:val="0C0C0C" w:themeColor="text1"/>
          <w:sz w:val="22"/>
          <w:szCs w:val="22"/>
          <w:lang w:val="en-GB"/>
        </w:rPr>
        <w:t xml:space="preserve"> production</w:t>
      </w:r>
      <w:r w:rsidR="2B50A843" w:rsidRPr="5937A937">
        <w:rPr>
          <w:rFonts w:eastAsia="Calibri" w:cs="Calibri"/>
          <w:color w:val="0C0C0C" w:themeColor="text1"/>
          <w:sz w:val="22"/>
          <w:szCs w:val="22"/>
          <w:lang w:val="en-GB"/>
        </w:rPr>
        <w:t>. LCA will also account emission for material disposal</w:t>
      </w:r>
      <w:r w:rsidR="0005204F">
        <w:rPr>
          <w:rFonts w:eastAsia="Calibri" w:cs="Calibri"/>
          <w:color w:val="0C0C0C" w:themeColor="text1"/>
          <w:sz w:val="22"/>
          <w:szCs w:val="22"/>
          <w:lang w:val="en-GB"/>
        </w:rPr>
        <w:t xml:space="preserve"> </w:t>
      </w:r>
      <w:r w:rsidR="0005204F">
        <w:rPr>
          <w:rFonts w:eastAsia="Calibri" w:cs="Calibri"/>
          <w:color w:val="0C0C0C" w:themeColor="text1"/>
          <w:sz w:val="22"/>
          <w:szCs w:val="22"/>
          <w:lang w:val="en-GB"/>
        </w:rPr>
        <w:fldChar w:fldCharType="begin" w:fldLock="1"/>
      </w:r>
      <w:r w:rsidR="009F7EC4">
        <w:rPr>
          <w:rFonts w:eastAsia="Calibri" w:cs="Calibri"/>
          <w:color w:val="0C0C0C" w:themeColor="text1"/>
          <w:sz w:val="22"/>
          <w:szCs w:val="22"/>
          <w:lang w:val="en-GB"/>
        </w:rPr>
        <w:instrText>ADDIN CSL_CITATION {"citationItems":[{"id":"ITEM-1","itemData":{"ISBN":"978-1-78252-422-9","abstract":"The need to achieve net-zero greenhouse gas emissions from all human activities has never been clearer. One area requiring urgent action is the transition from the use of fossil fuels for transport. Whilst the decarbonisation of electricity is progressing and many transport modes can feasibly be electrified, some transport modes, such as heavy-duty vehicles, aircraft and shipping will require different technological options. Sustainable synthetic fuels offer one solution. What are sustainable synthetic fuels? They are carbon based fuels made from non-fossil resources, with energy densities similar to fossil fuels. This means that they can be transported using existing infrastructure and used in existing engines with little or no modification. The report considers two types of sustainable synthetic fuels: electro fuels (efuels) and synthetic biofuels. Efuels are made by combining hydrogen (from for example the electrolysis of water) with carbon dioxide (from direct air capture or a point source). Synthetic biofuels can be made from biological material (for example waste from forestry) or from further processing biofuels (for example ethanol). Whilst synthetic fuels can be “dropped in” to existing engines, they are currently more expensive than fossil fuels and, in the case of efuels, could be thought of as an inefficient use of renewable electricity. However, where renewable electricity is cheap and plentiful, the manufacture and export of bulk efuels might make economic sense. Key research challenges identified include improving the fundamental understanding of catalysis; the need to produce cheap low-carbon hydrogen at scale; and developing sources of competitively priced low carbon energy are key to the development of synthetic efuels and biofuels. The UK has the research skills and capacity to improve many of these process steps such as in catalysis and biotechnology, and to provide a further area of UK leadership in low-carbon energy.","author":[{"dropping-particle":"","family":"The Royal Society","given":"","non-dropping-particle":"","parse-names":false,"suffix":""}],"id":"ITEM-1","issued":{"date-parts":[["2019"]]},"title":"Sustainable synthetic carbon based fuels for transport","type":"book"},"uris":["http://www.mendeley.com/documents/?uuid=bbfc26f9-f9ca-47eb-bd26-485d0e9da855"]}],"mendeley":{"formattedCitation":"(The Royal Society, 2019)","plainTextFormattedCitation":"(The Royal Society, 2019)","previouslyFormattedCitation":"(The Royal Society, 2019)"},"properties":{"noteIndex":0},"schema":"https://github.com/citation-style-language/schema/raw/master/csl-citation.json"}</w:instrText>
      </w:r>
      <w:r w:rsidR="0005204F">
        <w:rPr>
          <w:rFonts w:eastAsia="Calibri" w:cs="Calibri"/>
          <w:color w:val="0C0C0C" w:themeColor="text1"/>
          <w:sz w:val="22"/>
          <w:szCs w:val="22"/>
          <w:lang w:val="en-GB"/>
        </w:rPr>
        <w:fldChar w:fldCharType="separate"/>
      </w:r>
      <w:r w:rsidR="0005204F" w:rsidRPr="0005204F">
        <w:rPr>
          <w:rFonts w:eastAsia="Calibri" w:cs="Calibri"/>
          <w:noProof/>
          <w:color w:val="0C0C0C" w:themeColor="text1"/>
          <w:sz w:val="22"/>
          <w:szCs w:val="22"/>
          <w:lang w:val="en-GB"/>
        </w:rPr>
        <w:t>(The Royal Society, 2019)</w:t>
      </w:r>
      <w:r w:rsidR="0005204F">
        <w:rPr>
          <w:rFonts w:eastAsia="Calibri" w:cs="Calibri"/>
          <w:color w:val="0C0C0C" w:themeColor="text1"/>
          <w:sz w:val="22"/>
          <w:szCs w:val="22"/>
          <w:lang w:val="en-GB"/>
        </w:rPr>
        <w:fldChar w:fldCharType="end"/>
      </w:r>
      <w:r w:rsidR="2B50A843" w:rsidRPr="5937A937">
        <w:rPr>
          <w:rFonts w:eastAsia="Calibri" w:cs="Calibri"/>
          <w:color w:val="0C0C0C" w:themeColor="text1"/>
          <w:sz w:val="22"/>
          <w:szCs w:val="22"/>
          <w:lang w:val="en-GB"/>
        </w:rPr>
        <w:t>.</w:t>
      </w:r>
    </w:p>
    <w:p w14:paraId="5D65D063" w14:textId="045BE8B7" w:rsidR="00C53804" w:rsidRDefault="056C4D2F" w:rsidP="5937A937">
      <w:pPr>
        <w:spacing w:line="360" w:lineRule="auto"/>
        <w:ind w:firstLine="720"/>
        <w:rPr>
          <w:rFonts w:eastAsia="Calibri" w:cs="Calibri"/>
          <w:color w:val="0C0C0C" w:themeColor="text1"/>
          <w:sz w:val="22"/>
          <w:szCs w:val="22"/>
          <w:lang w:val="en-GB"/>
        </w:rPr>
      </w:pPr>
      <w:r w:rsidRPr="5937A937">
        <w:rPr>
          <w:rFonts w:eastAsia="Calibri" w:cs="Calibri"/>
          <w:color w:val="0C0C0C" w:themeColor="text1"/>
          <w:sz w:val="22"/>
          <w:szCs w:val="22"/>
          <w:lang w:val="en-GB"/>
        </w:rPr>
        <w:t xml:space="preserve">The details of LCA are beyond the scope of this report, but it is valid to highlight that for each of the fuels addressed here, the LCA will consider the production particularities involved, including feedstock production, transport, conversion and combustion - fuels cells when applicable. Considering the variables </w:t>
      </w:r>
      <w:r w:rsidRPr="5937A937">
        <w:rPr>
          <w:rFonts w:eastAsia="Calibri" w:cs="Calibri"/>
          <w:color w:val="0C0C0C" w:themeColor="text1"/>
          <w:sz w:val="22"/>
          <w:szCs w:val="22"/>
          <w:lang w:val="en-GB"/>
        </w:rPr>
        <w:lastRenderedPageBreak/>
        <w:t xml:space="preserve">involved and the possible production methods, the range of GHG emissions and potential GHG reduction for each of the alternatives addressed in this report are depicted in Figure 5 and Table 2. </w:t>
      </w:r>
    </w:p>
    <w:p w14:paraId="15D03F33" w14:textId="5190C84B" w:rsidR="00C53804" w:rsidRPr="00B55ADC" w:rsidRDefault="001C01FE" w:rsidP="5937A937">
      <w:pPr>
        <w:spacing w:line="360" w:lineRule="auto"/>
        <w:ind w:firstLine="720"/>
        <w:rPr>
          <w:sz w:val="22"/>
          <w:szCs w:val="22"/>
          <w:lang w:val="en-GB"/>
        </w:rPr>
      </w:pPr>
      <w:r w:rsidRPr="00B55ADC">
        <w:rPr>
          <w:sz w:val="22"/>
          <w:szCs w:val="22"/>
        </w:rPr>
        <w:t>In RED II, article 31 and annexes V and VI deal with GHG emission quantification. Part C of annex V describes  the calculation methodology, which follows the LCA principle, accounting emissions from raw material cultivation and extraction to end use.</w:t>
      </w:r>
    </w:p>
    <w:p w14:paraId="12585A90" w14:textId="77777777" w:rsidR="00092EB5" w:rsidRDefault="056C4D2F" w:rsidP="00092EB5">
      <w:pPr>
        <w:keepNext/>
        <w:spacing w:line="360" w:lineRule="auto"/>
        <w:ind w:firstLine="720"/>
      </w:pPr>
      <w:r w:rsidRPr="5937A937">
        <w:rPr>
          <w:rFonts w:eastAsia="Calibri" w:cs="Calibri"/>
          <w:color w:val="0C0C0C" w:themeColor="text1"/>
          <w:sz w:val="22"/>
          <w:szCs w:val="22"/>
          <w:lang w:val="en-GB"/>
        </w:rPr>
        <w:t xml:space="preserve"> </w:t>
      </w:r>
      <w:r>
        <w:rPr>
          <w:noProof/>
        </w:rPr>
        <w:drawing>
          <wp:inline distT="0" distB="0" distL="0" distR="0" wp14:anchorId="64205454" wp14:editId="20A998E3">
            <wp:extent cx="4572000" cy="2705100"/>
            <wp:effectExtent l="0" t="0" r="0" b="0"/>
            <wp:docPr id="36385306" name="Picture 3638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inline>
        </w:drawing>
      </w:r>
    </w:p>
    <w:p w14:paraId="1D6C37BC" w14:textId="6004A405" w:rsidR="00C53804" w:rsidRPr="00650B23" w:rsidRDefault="00092EB5" w:rsidP="00092EB5">
      <w:pPr>
        <w:pStyle w:val="Caption"/>
        <w:rPr>
          <w:szCs w:val="21"/>
        </w:rPr>
      </w:pPr>
      <w:bookmarkStart w:id="26" w:name="_Toc84018240"/>
      <w:r>
        <w:t xml:space="preserve">Figure </w:t>
      </w:r>
      <w:fldSimple w:instr=" SEQ Figure \* ARABIC ">
        <w:r w:rsidR="00945B67">
          <w:rPr>
            <w:noProof/>
          </w:rPr>
          <w:t>5</w:t>
        </w:r>
      </w:fldSimple>
      <w:r>
        <w:t xml:space="preserve">. </w:t>
      </w:r>
      <w:r w:rsidRPr="00C76F61">
        <w:t>Emission profile for different fuels considering production background emissions</w:t>
      </w:r>
      <w:r>
        <w:t xml:space="preserve"> </w:t>
      </w:r>
      <w:r w:rsidRPr="00C76F61">
        <w:t>(</w:t>
      </w:r>
      <w:r>
        <w:t>a</w:t>
      </w:r>
      <w:r w:rsidRPr="00C76F61">
        <w:t>dapted from Balcombe 2018)</w:t>
      </w:r>
      <w:bookmarkEnd w:id="26"/>
    </w:p>
    <w:p w14:paraId="7F462FF4" w14:textId="44D81BE6" w:rsidR="00C53804" w:rsidRPr="00650B23" w:rsidRDefault="056C4D2F" w:rsidP="5937A937">
      <w:pPr>
        <w:spacing w:line="360" w:lineRule="auto"/>
        <w:jc w:val="center"/>
      </w:pPr>
      <w:r w:rsidRPr="5937A937">
        <w:rPr>
          <w:rFonts w:ascii="Times New Roman" w:hAnsi="Times New Roman"/>
          <w:szCs w:val="21"/>
          <w:lang w:val="en-GB"/>
        </w:rPr>
        <w:t xml:space="preserve"> </w:t>
      </w:r>
    </w:p>
    <w:p w14:paraId="065E7F0A" w14:textId="1AA619CE" w:rsidR="00C53804" w:rsidRPr="00650B23" w:rsidRDefault="056C4D2F" w:rsidP="5937A937">
      <w:pPr>
        <w:spacing w:line="360" w:lineRule="auto"/>
        <w:jc w:val="center"/>
      </w:pPr>
      <w:r w:rsidRPr="5937A937">
        <w:rPr>
          <w:rFonts w:eastAsia="Calibri" w:cs="Calibri"/>
          <w:b/>
          <w:bCs/>
          <w:color w:val="4C565C"/>
          <w:sz w:val="18"/>
          <w:szCs w:val="18"/>
          <w:lang w:val="en-GB"/>
        </w:rPr>
        <w:t>Table 2. Carbon savings from alternative fuels in comparison to HFO/MDO counterpart.</w:t>
      </w:r>
    </w:p>
    <w:tbl>
      <w:tblPr>
        <w:tblStyle w:val="TableGrid"/>
        <w:tblW w:w="0" w:type="auto"/>
        <w:jc w:val="center"/>
        <w:tblLayout w:type="fixed"/>
        <w:tblLook w:val="06A0" w:firstRow="1" w:lastRow="0" w:firstColumn="1" w:lastColumn="0" w:noHBand="1" w:noVBand="1"/>
      </w:tblPr>
      <w:tblGrid>
        <w:gridCol w:w="2160"/>
        <w:gridCol w:w="2160"/>
      </w:tblGrid>
      <w:tr w:rsidR="5937A937" w14:paraId="77B3DD54" w14:textId="77777777" w:rsidTr="5937A937">
        <w:trPr>
          <w:jc w:val="center"/>
        </w:trPr>
        <w:tc>
          <w:tcPr>
            <w:tcW w:w="2160" w:type="dxa"/>
            <w:tcBorders>
              <w:top w:val="single" w:sz="8" w:space="0" w:color="0C0C0C" w:themeColor="text1"/>
              <w:left w:val="nil"/>
              <w:bottom w:val="single" w:sz="8" w:space="0" w:color="000000"/>
              <w:right w:val="nil"/>
            </w:tcBorders>
            <w:vAlign w:val="center"/>
          </w:tcPr>
          <w:p w14:paraId="07B52E9C" w14:textId="25ACBB11" w:rsidR="5937A937" w:rsidRDefault="5937A937" w:rsidP="00357301">
            <w:pPr>
              <w:spacing w:before="120" w:after="120"/>
              <w:jc w:val="center"/>
            </w:pPr>
            <w:r w:rsidRPr="5937A937">
              <w:rPr>
                <w:rFonts w:eastAsia="Calibri" w:cs="Calibri"/>
                <w:b/>
                <w:bCs/>
                <w:sz w:val="18"/>
                <w:szCs w:val="18"/>
                <w:lang w:val="en-GB"/>
              </w:rPr>
              <w:t>Fuel</w:t>
            </w:r>
          </w:p>
        </w:tc>
        <w:tc>
          <w:tcPr>
            <w:tcW w:w="2160" w:type="dxa"/>
            <w:tcBorders>
              <w:top w:val="single" w:sz="8" w:space="0" w:color="0C0C0C" w:themeColor="text1"/>
              <w:left w:val="nil"/>
              <w:bottom w:val="single" w:sz="8" w:space="0" w:color="000000"/>
              <w:right w:val="nil"/>
            </w:tcBorders>
            <w:vAlign w:val="center"/>
          </w:tcPr>
          <w:p w14:paraId="603783E3" w14:textId="606D5AE5" w:rsidR="5937A937" w:rsidRDefault="5937A937" w:rsidP="00357301">
            <w:pPr>
              <w:spacing w:before="120" w:after="120"/>
              <w:jc w:val="center"/>
            </w:pPr>
            <w:r w:rsidRPr="5937A937">
              <w:rPr>
                <w:rFonts w:eastAsia="Calibri" w:cs="Calibri"/>
                <w:b/>
                <w:bCs/>
                <w:sz w:val="18"/>
                <w:szCs w:val="18"/>
                <w:lang w:val="en-GB"/>
              </w:rPr>
              <w:t>Carbon Saving Potential (%)</w:t>
            </w:r>
          </w:p>
        </w:tc>
      </w:tr>
      <w:tr w:rsidR="5937A937" w14:paraId="1FABE1E6" w14:textId="77777777" w:rsidTr="5937A937">
        <w:trPr>
          <w:jc w:val="center"/>
        </w:trPr>
        <w:tc>
          <w:tcPr>
            <w:tcW w:w="2160" w:type="dxa"/>
            <w:tcBorders>
              <w:top w:val="single" w:sz="8" w:space="0" w:color="000000"/>
              <w:left w:val="nil"/>
              <w:bottom w:val="nil"/>
              <w:right w:val="nil"/>
            </w:tcBorders>
            <w:vAlign w:val="center"/>
          </w:tcPr>
          <w:p w14:paraId="5FDF6E89" w14:textId="5F81EA27" w:rsidR="5937A937" w:rsidRDefault="5937A937" w:rsidP="00357301">
            <w:pPr>
              <w:spacing w:before="120" w:after="120"/>
              <w:jc w:val="center"/>
            </w:pPr>
            <w:r w:rsidRPr="5937A937">
              <w:rPr>
                <w:rFonts w:eastAsia="Calibri" w:cs="Calibri"/>
                <w:sz w:val="18"/>
                <w:szCs w:val="18"/>
                <w:lang w:val="en-GB"/>
              </w:rPr>
              <w:t>LNG</w:t>
            </w:r>
          </w:p>
        </w:tc>
        <w:tc>
          <w:tcPr>
            <w:tcW w:w="2160" w:type="dxa"/>
            <w:tcBorders>
              <w:top w:val="single" w:sz="8" w:space="0" w:color="000000"/>
              <w:left w:val="nil"/>
              <w:bottom w:val="nil"/>
              <w:right w:val="nil"/>
            </w:tcBorders>
            <w:vAlign w:val="center"/>
          </w:tcPr>
          <w:p w14:paraId="295912CF" w14:textId="19DCEA7C" w:rsidR="5937A937" w:rsidRDefault="5937A937" w:rsidP="00357301">
            <w:pPr>
              <w:spacing w:before="120" w:after="120"/>
              <w:jc w:val="center"/>
            </w:pPr>
            <w:r w:rsidRPr="5937A937">
              <w:rPr>
                <w:rFonts w:eastAsia="Calibri" w:cs="Calibri"/>
                <w:sz w:val="18"/>
                <w:szCs w:val="18"/>
                <w:lang w:val="en-GB"/>
              </w:rPr>
              <w:t>- 5</w:t>
            </w:r>
            <w:r w:rsidR="00EC607B">
              <w:rPr>
                <w:rFonts w:eastAsia="Calibri" w:cs="Calibri"/>
                <w:sz w:val="18"/>
                <w:szCs w:val="18"/>
                <w:lang w:val="en-GB"/>
              </w:rPr>
              <w:t>*</w:t>
            </w:r>
            <w:r w:rsidRPr="5937A937">
              <w:rPr>
                <w:rFonts w:eastAsia="Calibri" w:cs="Calibri"/>
                <w:sz w:val="18"/>
                <w:szCs w:val="18"/>
                <w:lang w:val="en-GB"/>
              </w:rPr>
              <w:t xml:space="preserve"> </w:t>
            </w:r>
            <w:r w:rsidR="262F08ED" w:rsidRPr="5937A937">
              <w:rPr>
                <w:rFonts w:eastAsia="Calibri" w:cs="Calibri"/>
                <w:sz w:val="18"/>
                <w:szCs w:val="18"/>
                <w:lang w:val="en-GB"/>
              </w:rPr>
              <w:t xml:space="preserve">to </w:t>
            </w:r>
            <w:r w:rsidRPr="5937A937">
              <w:rPr>
                <w:rFonts w:eastAsia="Calibri" w:cs="Calibri"/>
                <w:sz w:val="18"/>
                <w:szCs w:val="18"/>
                <w:lang w:val="en-GB"/>
              </w:rPr>
              <w:t>25 %</w:t>
            </w:r>
          </w:p>
        </w:tc>
      </w:tr>
      <w:tr w:rsidR="5937A937" w14:paraId="2AA64C86" w14:textId="77777777" w:rsidTr="5937A937">
        <w:trPr>
          <w:jc w:val="center"/>
        </w:trPr>
        <w:tc>
          <w:tcPr>
            <w:tcW w:w="2160" w:type="dxa"/>
            <w:tcBorders>
              <w:top w:val="nil"/>
              <w:left w:val="nil"/>
              <w:bottom w:val="nil"/>
              <w:right w:val="nil"/>
            </w:tcBorders>
            <w:vAlign w:val="center"/>
          </w:tcPr>
          <w:p w14:paraId="5D124EA3" w14:textId="585FE878" w:rsidR="5937A937" w:rsidRDefault="5937A937" w:rsidP="00357301">
            <w:pPr>
              <w:spacing w:before="120" w:after="120"/>
              <w:jc w:val="center"/>
            </w:pPr>
            <w:r w:rsidRPr="5937A937">
              <w:rPr>
                <w:rFonts w:eastAsia="Calibri" w:cs="Calibri"/>
                <w:sz w:val="18"/>
                <w:szCs w:val="18"/>
                <w:lang w:val="en-GB"/>
              </w:rPr>
              <w:t>Methanol</w:t>
            </w:r>
          </w:p>
        </w:tc>
        <w:tc>
          <w:tcPr>
            <w:tcW w:w="2160" w:type="dxa"/>
            <w:tcBorders>
              <w:top w:val="nil"/>
              <w:left w:val="nil"/>
              <w:bottom w:val="nil"/>
              <w:right w:val="nil"/>
            </w:tcBorders>
            <w:vAlign w:val="center"/>
          </w:tcPr>
          <w:p w14:paraId="3C12D0D5" w14:textId="4B1C650C" w:rsidR="5937A937" w:rsidRDefault="5937A937" w:rsidP="00357301">
            <w:pPr>
              <w:spacing w:before="120" w:after="120"/>
              <w:jc w:val="center"/>
            </w:pPr>
            <w:r w:rsidRPr="5937A937">
              <w:rPr>
                <w:rFonts w:eastAsia="Calibri" w:cs="Calibri"/>
                <w:sz w:val="18"/>
                <w:szCs w:val="18"/>
                <w:lang w:val="en-GB"/>
              </w:rPr>
              <w:t>- 20</w:t>
            </w:r>
            <w:r w:rsidR="00EC607B">
              <w:rPr>
                <w:rFonts w:eastAsia="Calibri" w:cs="Calibri"/>
                <w:sz w:val="18"/>
                <w:szCs w:val="18"/>
                <w:lang w:val="en-GB"/>
              </w:rPr>
              <w:t>*</w:t>
            </w:r>
            <w:r w:rsidRPr="5937A937">
              <w:rPr>
                <w:rFonts w:eastAsia="Calibri" w:cs="Calibri"/>
                <w:sz w:val="18"/>
                <w:szCs w:val="18"/>
                <w:lang w:val="en-GB"/>
              </w:rPr>
              <w:t xml:space="preserve"> to 5 %</w:t>
            </w:r>
          </w:p>
        </w:tc>
      </w:tr>
      <w:tr w:rsidR="5937A937" w14:paraId="6F3D52B4" w14:textId="77777777" w:rsidTr="5937A937">
        <w:trPr>
          <w:jc w:val="center"/>
        </w:trPr>
        <w:tc>
          <w:tcPr>
            <w:tcW w:w="2160" w:type="dxa"/>
            <w:tcBorders>
              <w:top w:val="nil"/>
              <w:left w:val="nil"/>
              <w:bottom w:val="nil"/>
              <w:right w:val="nil"/>
            </w:tcBorders>
            <w:vAlign w:val="center"/>
          </w:tcPr>
          <w:p w14:paraId="0CDF8CB4" w14:textId="3BB06B82" w:rsidR="5937A937" w:rsidRDefault="5937A937" w:rsidP="00357301">
            <w:pPr>
              <w:spacing w:before="120" w:after="120"/>
              <w:jc w:val="center"/>
            </w:pPr>
            <w:r w:rsidRPr="5937A937">
              <w:rPr>
                <w:rFonts w:eastAsia="Calibri" w:cs="Calibri"/>
                <w:sz w:val="18"/>
                <w:szCs w:val="18"/>
                <w:lang w:val="en-GB"/>
              </w:rPr>
              <w:t>Hydrogen</w:t>
            </w:r>
          </w:p>
        </w:tc>
        <w:tc>
          <w:tcPr>
            <w:tcW w:w="2160" w:type="dxa"/>
            <w:tcBorders>
              <w:top w:val="nil"/>
              <w:left w:val="nil"/>
              <w:bottom w:val="nil"/>
              <w:right w:val="nil"/>
            </w:tcBorders>
            <w:vAlign w:val="center"/>
          </w:tcPr>
          <w:p w14:paraId="7755204D" w14:textId="1B5D5A93" w:rsidR="5937A937" w:rsidRDefault="5937A937" w:rsidP="00357301">
            <w:pPr>
              <w:spacing w:before="120" w:after="120"/>
              <w:jc w:val="center"/>
            </w:pPr>
            <w:r w:rsidRPr="5937A937">
              <w:rPr>
                <w:rFonts w:eastAsia="Calibri" w:cs="Calibri"/>
                <w:sz w:val="18"/>
                <w:szCs w:val="18"/>
                <w:lang w:val="en-GB"/>
              </w:rPr>
              <w:t>- 20</w:t>
            </w:r>
            <w:r w:rsidR="00EC607B">
              <w:rPr>
                <w:rFonts w:eastAsia="Calibri" w:cs="Calibri"/>
                <w:sz w:val="18"/>
                <w:szCs w:val="18"/>
                <w:lang w:val="en-GB"/>
              </w:rPr>
              <w:t>*</w:t>
            </w:r>
            <w:r w:rsidRPr="5937A937">
              <w:rPr>
                <w:rFonts w:eastAsia="Calibri" w:cs="Calibri"/>
                <w:sz w:val="18"/>
                <w:szCs w:val="18"/>
                <w:lang w:val="en-GB"/>
              </w:rPr>
              <w:t xml:space="preserve"> to 100 %</w:t>
            </w:r>
          </w:p>
        </w:tc>
      </w:tr>
      <w:tr w:rsidR="5937A937" w14:paraId="4735EE05" w14:textId="77777777" w:rsidTr="5937A937">
        <w:trPr>
          <w:jc w:val="center"/>
        </w:trPr>
        <w:tc>
          <w:tcPr>
            <w:tcW w:w="2160" w:type="dxa"/>
            <w:tcBorders>
              <w:top w:val="nil"/>
              <w:left w:val="nil"/>
              <w:bottom w:val="nil"/>
              <w:right w:val="nil"/>
            </w:tcBorders>
            <w:vAlign w:val="center"/>
          </w:tcPr>
          <w:p w14:paraId="3CA81DC5" w14:textId="204741E5" w:rsidR="5937A937" w:rsidRDefault="5937A937" w:rsidP="00357301">
            <w:pPr>
              <w:spacing w:before="120" w:after="120"/>
              <w:jc w:val="center"/>
            </w:pPr>
            <w:r w:rsidRPr="5937A937">
              <w:rPr>
                <w:rFonts w:eastAsia="Calibri" w:cs="Calibri"/>
                <w:sz w:val="18"/>
                <w:szCs w:val="18"/>
                <w:lang w:val="en-GB"/>
              </w:rPr>
              <w:t>Biofuels</w:t>
            </w:r>
          </w:p>
        </w:tc>
        <w:tc>
          <w:tcPr>
            <w:tcW w:w="2160" w:type="dxa"/>
            <w:tcBorders>
              <w:top w:val="nil"/>
              <w:left w:val="nil"/>
              <w:bottom w:val="nil"/>
              <w:right w:val="nil"/>
            </w:tcBorders>
            <w:vAlign w:val="center"/>
          </w:tcPr>
          <w:p w14:paraId="2518A121" w14:textId="1DACE282" w:rsidR="5937A937" w:rsidRDefault="5937A937" w:rsidP="00357301">
            <w:pPr>
              <w:spacing w:before="120" w:after="120"/>
              <w:jc w:val="center"/>
            </w:pPr>
            <w:r w:rsidRPr="5937A937">
              <w:rPr>
                <w:rFonts w:eastAsia="Calibri" w:cs="Calibri"/>
                <w:sz w:val="18"/>
                <w:szCs w:val="18"/>
                <w:lang w:val="en-GB"/>
              </w:rPr>
              <w:t>25 to 100 %</w:t>
            </w:r>
          </w:p>
        </w:tc>
      </w:tr>
      <w:tr w:rsidR="5937A937" w14:paraId="53A66BF7" w14:textId="77777777" w:rsidTr="5937A937">
        <w:trPr>
          <w:jc w:val="center"/>
        </w:trPr>
        <w:tc>
          <w:tcPr>
            <w:tcW w:w="2160" w:type="dxa"/>
            <w:tcBorders>
              <w:top w:val="nil"/>
              <w:left w:val="nil"/>
              <w:bottom w:val="nil"/>
              <w:right w:val="nil"/>
            </w:tcBorders>
            <w:vAlign w:val="center"/>
          </w:tcPr>
          <w:p w14:paraId="44948CAC" w14:textId="2CE746D9" w:rsidR="5937A937" w:rsidRDefault="5937A937" w:rsidP="00357301">
            <w:pPr>
              <w:spacing w:before="120" w:after="120"/>
              <w:jc w:val="center"/>
            </w:pPr>
            <w:r w:rsidRPr="5937A937">
              <w:rPr>
                <w:rFonts w:eastAsia="Calibri" w:cs="Calibri"/>
                <w:sz w:val="18"/>
                <w:szCs w:val="18"/>
                <w:lang w:val="en-GB"/>
              </w:rPr>
              <w:t>Bio-LNG</w:t>
            </w:r>
          </w:p>
        </w:tc>
        <w:tc>
          <w:tcPr>
            <w:tcW w:w="2160" w:type="dxa"/>
            <w:tcBorders>
              <w:top w:val="nil"/>
              <w:left w:val="nil"/>
              <w:bottom w:val="nil"/>
              <w:right w:val="nil"/>
            </w:tcBorders>
            <w:vAlign w:val="center"/>
          </w:tcPr>
          <w:p w14:paraId="5CFBF881" w14:textId="7A6D3F11" w:rsidR="480A2490" w:rsidRDefault="480A2490" w:rsidP="00357301">
            <w:pPr>
              <w:spacing w:before="120" w:after="120"/>
              <w:jc w:val="center"/>
            </w:pPr>
            <w:r w:rsidRPr="5937A937">
              <w:rPr>
                <w:rFonts w:eastAsia="Calibri" w:cs="Calibri"/>
                <w:sz w:val="18"/>
                <w:szCs w:val="18"/>
                <w:lang w:val="en-GB"/>
              </w:rPr>
              <w:t>39 to</w:t>
            </w:r>
            <w:r w:rsidR="5937A937" w:rsidRPr="5937A937">
              <w:rPr>
                <w:rFonts w:eastAsia="Calibri" w:cs="Calibri"/>
                <w:sz w:val="18"/>
                <w:szCs w:val="18"/>
                <w:lang w:val="en-GB"/>
              </w:rPr>
              <w:t xml:space="preserve"> 65 %</w:t>
            </w:r>
          </w:p>
        </w:tc>
      </w:tr>
      <w:tr w:rsidR="5937A937" w14:paraId="414838AC" w14:textId="77777777" w:rsidTr="5937A937">
        <w:trPr>
          <w:jc w:val="center"/>
        </w:trPr>
        <w:tc>
          <w:tcPr>
            <w:tcW w:w="2160" w:type="dxa"/>
            <w:tcBorders>
              <w:top w:val="nil"/>
              <w:left w:val="nil"/>
              <w:bottom w:val="single" w:sz="8" w:space="0" w:color="0C0C0C" w:themeColor="text1"/>
              <w:right w:val="nil"/>
            </w:tcBorders>
            <w:vAlign w:val="center"/>
          </w:tcPr>
          <w:p w14:paraId="3B826BD1" w14:textId="54FF351E" w:rsidR="5937A937" w:rsidRDefault="5937A937" w:rsidP="00357301">
            <w:pPr>
              <w:spacing w:before="120" w:after="120"/>
              <w:jc w:val="center"/>
            </w:pPr>
            <w:r w:rsidRPr="5937A937">
              <w:rPr>
                <w:rFonts w:eastAsia="Calibri" w:cs="Calibri"/>
                <w:sz w:val="18"/>
                <w:szCs w:val="18"/>
                <w:lang w:val="en-GB"/>
              </w:rPr>
              <w:t>Bio-Methanol</w:t>
            </w:r>
          </w:p>
        </w:tc>
        <w:tc>
          <w:tcPr>
            <w:tcW w:w="2160" w:type="dxa"/>
            <w:tcBorders>
              <w:top w:val="nil"/>
              <w:left w:val="nil"/>
              <w:bottom w:val="single" w:sz="8" w:space="0" w:color="0C0C0C" w:themeColor="text1"/>
              <w:right w:val="nil"/>
            </w:tcBorders>
            <w:vAlign w:val="center"/>
          </w:tcPr>
          <w:p w14:paraId="0B64A0B0" w14:textId="4C30085A" w:rsidR="5937A937" w:rsidRDefault="5937A937" w:rsidP="00357301">
            <w:pPr>
              <w:spacing w:before="120" w:after="120"/>
              <w:jc w:val="center"/>
            </w:pPr>
            <w:r w:rsidRPr="5937A937">
              <w:rPr>
                <w:rFonts w:eastAsia="Calibri" w:cs="Calibri"/>
                <w:sz w:val="18"/>
                <w:szCs w:val="18"/>
                <w:lang w:val="en-GB"/>
              </w:rPr>
              <w:t>50 to 96 %</w:t>
            </w:r>
          </w:p>
        </w:tc>
      </w:tr>
      <w:tr w:rsidR="5937A937" w14:paraId="5C90479D" w14:textId="77777777" w:rsidTr="5937A937">
        <w:trPr>
          <w:jc w:val="center"/>
        </w:trPr>
        <w:tc>
          <w:tcPr>
            <w:tcW w:w="4320" w:type="dxa"/>
            <w:gridSpan w:val="2"/>
            <w:tcBorders>
              <w:top w:val="single" w:sz="8" w:space="0" w:color="0C0C0C" w:themeColor="text1"/>
              <w:left w:val="nil"/>
              <w:bottom w:val="nil"/>
              <w:right w:val="nil"/>
            </w:tcBorders>
            <w:vAlign w:val="center"/>
          </w:tcPr>
          <w:p w14:paraId="733DE620" w14:textId="67686B61" w:rsidR="5937A937" w:rsidRDefault="00EC607B" w:rsidP="00357301">
            <w:pPr>
              <w:spacing w:before="120" w:after="120"/>
              <w:jc w:val="left"/>
            </w:pPr>
            <w:r>
              <w:rPr>
                <w:rFonts w:eastAsia="Calibri" w:cs="Calibri"/>
                <w:sz w:val="18"/>
                <w:szCs w:val="18"/>
                <w:lang w:val="en-GB"/>
              </w:rPr>
              <w:t>*</w:t>
            </w:r>
            <w:r w:rsidR="5937A937" w:rsidRPr="5937A937">
              <w:rPr>
                <w:rFonts w:eastAsia="Calibri" w:cs="Calibri"/>
                <w:sz w:val="18"/>
                <w:szCs w:val="18"/>
                <w:lang w:val="en-GB"/>
              </w:rPr>
              <w:t>Negative values stand for higher emissions</w:t>
            </w:r>
            <w:r w:rsidR="0061EAE4" w:rsidRPr="5937A937">
              <w:rPr>
                <w:rFonts w:eastAsia="Calibri" w:cs="Calibri"/>
                <w:sz w:val="18"/>
                <w:szCs w:val="18"/>
                <w:lang w:val="en-GB"/>
              </w:rPr>
              <w:t xml:space="preserve"> than</w:t>
            </w:r>
            <w:r w:rsidR="5937A937" w:rsidRPr="5937A937">
              <w:rPr>
                <w:rFonts w:eastAsia="Calibri" w:cs="Calibri"/>
                <w:sz w:val="18"/>
                <w:szCs w:val="18"/>
                <w:lang w:val="en-GB"/>
              </w:rPr>
              <w:t xml:space="preserve"> fossil counterpart (Balcombe 2018).</w:t>
            </w:r>
          </w:p>
        </w:tc>
      </w:tr>
    </w:tbl>
    <w:p w14:paraId="23228A14" w14:textId="70B0A52A" w:rsidR="00C53804" w:rsidRPr="00650B23" w:rsidRDefault="056C4D2F" w:rsidP="5937A937">
      <w:pPr>
        <w:spacing w:line="360" w:lineRule="auto"/>
        <w:ind w:firstLine="720"/>
      </w:pPr>
      <w:r w:rsidRPr="5937A937">
        <w:rPr>
          <w:rFonts w:ascii="Times New Roman" w:hAnsi="Times New Roman"/>
          <w:szCs w:val="21"/>
          <w:lang w:val="en-GB"/>
        </w:rPr>
        <w:t xml:space="preserve"> </w:t>
      </w:r>
    </w:p>
    <w:p w14:paraId="3827D56F" w14:textId="3FED139F" w:rsidR="00C53804" w:rsidRPr="00650B23" w:rsidRDefault="10571E42" w:rsidP="5937A937">
      <w:pPr>
        <w:spacing w:line="360" w:lineRule="auto"/>
        <w:ind w:firstLine="720"/>
        <w:rPr>
          <w:rFonts w:asciiTheme="majorHAnsi" w:hAnsiTheme="majorHAnsi" w:cstheme="majorBidi"/>
          <w:sz w:val="22"/>
          <w:szCs w:val="22"/>
          <w:lang w:val="en-GB"/>
        </w:rPr>
      </w:pPr>
      <w:r w:rsidRPr="5937A937">
        <w:rPr>
          <w:rFonts w:eastAsia="Calibri" w:cs="Calibri"/>
          <w:sz w:val="22"/>
          <w:szCs w:val="22"/>
          <w:lang w:val="en-GB"/>
        </w:rPr>
        <w:t>On the context of IDEALFUEL project, it is important to assess the potential emission reductions and benchmark against the available fuels. Fuels with greater emission reduction, and lower costs will be preferred</w:t>
      </w:r>
      <w:r w:rsidR="00A2470A">
        <w:rPr>
          <w:rFonts w:eastAsia="Calibri" w:cs="Calibri"/>
          <w:sz w:val="22"/>
          <w:szCs w:val="22"/>
          <w:lang w:val="en-GB"/>
        </w:rPr>
        <w:t xml:space="preserve"> in the market</w:t>
      </w:r>
      <w:r w:rsidR="7895BAC2" w:rsidRPr="5937A937">
        <w:rPr>
          <w:rFonts w:asciiTheme="majorHAnsi" w:hAnsiTheme="majorHAnsi" w:cstheme="majorBidi"/>
          <w:sz w:val="22"/>
          <w:szCs w:val="22"/>
          <w:lang w:val="en-GB"/>
        </w:rPr>
        <w:t>.</w:t>
      </w:r>
      <w:r w:rsidR="08FA71EB" w:rsidRPr="5937A937">
        <w:rPr>
          <w:rFonts w:asciiTheme="majorHAnsi" w:hAnsiTheme="majorHAnsi" w:cstheme="majorBidi"/>
          <w:sz w:val="22"/>
          <w:szCs w:val="22"/>
          <w:lang w:val="en-GB"/>
        </w:rPr>
        <w:t xml:space="preserve"> </w:t>
      </w:r>
      <w:proofErr w:type="spellStart"/>
      <w:r w:rsidR="08FA71EB" w:rsidRPr="5937A937">
        <w:rPr>
          <w:rFonts w:asciiTheme="majorHAnsi" w:hAnsiTheme="majorHAnsi" w:cstheme="majorBidi"/>
          <w:sz w:val="22"/>
          <w:szCs w:val="22"/>
          <w:lang w:val="en-GB"/>
        </w:rPr>
        <w:t>Tanzer</w:t>
      </w:r>
      <w:proofErr w:type="spellEnd"/>
      <w:r w:rsidR="08FA71EB" w:rsidRPr="5937A937">
        <w:rPr>
          <w:rFonts w:asciiTheme="majorHAnsi" w:hAnsiTheme="majorHAnsi" w:cstheme="majorBidi"/>
          <w:sz w:val="22"/>
          <w:szCs w:val="22"/>
          <w:lang w:val="en-GB"/>
        </w:rPr>
        <w:t xml:space="preserve"> and co-workers (2019) assessed the life cycle emissions of lignocellulose-based marine fuels </w:t>
      </w:r>
      <w:r w:rsidR="00963F36">
        <w:rPr>
          <w:rFonts w:asciiTheme="majorHAnsi" w:hAnsiTheme="majorHAnsi" w:cstheme="majorBidi"/>
          <w:sz w:val="22"/>
          <w:szCs w:val="22"/>
          <w:lang w:val="en-GB"/>
        </w:rPr>
        <w:t>from</w:t>
      </w:r>
      <w:r w:rsidR="48774A7E" w:rsidRPr="5937A937">
        <w:rPr>
          <w:rFonts w:asciiTheme="majorHAnsi" w:hAnsiTheme="majorHAnsi" w:cstheme="majorBidi"/>
          <w:sz w:val="22"/>
          <w:szCs w:val="22"/>
          <w:lang w:val="en-GB"/>
        </w:rPr>
        <w:t xml:space="preserve"> three </w:t>
      </w:r>
      <w:r w:rsidR="08FA71EB" w:rsidRPr="5937A937">
        <w:rPr>
          <w:rFonts w:asciiTheme="majorHAnsi" w:hAnsiTheme="majorHAnsi" w:cstheme="majorBidi"/>
          <w:sz w:val="22"/>
          <w:szCs w:val="22"/>
          <w:lang w:val="en-GB"/>
        </w:rPr>
        <w:t xml:space="preserve">conversions </w:t>
      </w:r>
      <w:r w:rsidR="77182549" w:rsidRPr="5937A937">
        <w:rPr>
          <w:rFonts w:asciiTheme="majorHAnsi" w:hAnsiTheme="majorHAnsi" w:cstheme="majorBidi"/>
          <w:sz w:val="22"/>
          <w:szCs w:val="22"/>
          <w:lang w:val="en-GB"/>
        </w:rPr>
        <w:t>technologies:</w:t>
      </w:r>
      <w:r w:rsidR="5EB8410B" w:rsidRPr="5937A937">
        <w:rPr>
          <w:rFonts w:asciiTheme="majorHAnsi" w:hAnsiTheme="majorHAnsi" w:cstheme="majorBidi"/>
          <w:sz w:val="22"/>
          <w:szCs w:val="22"/>
          <w:lang w:val="en-GB"/>
        </w:rPr>
        <w:t xml:space="preserve"> </w:t>
      </w:r>
      <w:proofErr w:type="spellStart"/>
      <w:r w:rsidR="5EB8410B" w:rsidRPr="5937A937">
        <w:rPr>
          <w:rFonts w:asciiTheme="majorHAnsi" w:hAnsiTheme="majorHAnsi" w:cstheme="majorBidi"/>
          <w:sz w:val="22"/>
          <w:szCs w:val="22"/>
          <w:lang w:val="en-GB"/>
        </w:rPr>
        <w:t>i</w:t>
      </w:r>
      <w:proofErr w:type="spellEnd"/>
      <w:r w:rsidR="5EB8410B" w:rsidRPr="5937A937">
        <w:rPr>
          <w:rFonts w:asciiTheme="majorHAnsi" w:hAnsiTheme="majorHAnsi" w:cstheme="majorBidi"/>
          <w:sz w:val="22"/>
          <w:szCs w:val="22"/>
          <w:lang w:val="en-GB"/>
        </w:rPr>
        <w:t xml:space="preserve">) hydrothermal liquefaction with </w:t>
      </w:r>
      <w:r w:rsidR="5EB8410B" w:rsidRPr="5937A937">
        <w:rPr>
          <w:rFonts w:asciiTheme="majorHAnsi" w:hAnsiTheme="majorHAnsi" w:cstheme="majorBidi"/>
          <w:sz w:val="22"/>
          <w:szCs w:val="22"/>
          <w:lang w:val="en-GB"/>
        </w:rPr>
        <w:lastRenderedPageBreak/>
        <w:t>hydrodeoxygenation</w:t>
      </w:r>
      <w:r w:rsidR="60BAFB72" w:rsidRPr="5937A937">
        <w:rPr>
          <w:rFonts w:asciiTheme="majorHAnsi" w:hAnsiTheme="majorHAnsi" w:cstheme="majorBidi"/>
          <w:sz w:val="22"/>
          <w:szCs w:val="22"/>
          <w:lang w:val="en-GB"/>
        </w:rPr>
        <w:t>;</w:t>
      </w:r>
      <w:r w:rsidR="5EB8410B" w:rsidRPr="5937A937">
        <w:rPr>
          <w:rFonts w:asciiTheme="majorHAnsi" w:hAnsiTheme="majorHAnsi" w:cstheme="majorBidi"/>
          <w:sz w:val="22"/>
          <w:szCs w:val="22"/>
          <w:lang w:val="en-GB"/>
        </w:rPr>
        <w:t xml:space="preserve"> ii) fast pyrolysis with hydrodeoxygenation</w:t>
      </w:r>
      <w:r w:rsidR="34E94465" w:rsidRPr="5937A937">
        <w:rPr>
          <w:rFonts w:asciiTheme="majorHAnsi" w:hAnsiTheme="majorHAnsi" w:cstheme="majorBidi"/>
          <w:sz w:val="22"/>
          <w:szCs w:val="22"/>
          <w:lang w:val="en-GB"/>
        </w:rPr>
        <w:t>;</w:t>
      </w:r>
      <w:r w:rsidR="5EB8410B" w:rsidRPr="5937A937">
        <w:rPr>
          <w:rFonts w:asciiTheme="majorHAnsi" w:hAnsiTheme="majorHAnsi" w:cstheme="majorBidi"/>
          <w:sz w:val="22"/>
          <w:szCs w:val="22"/>
          <w:lang w:val="en-GB"/>
        </w:rPr>
        <w:t xml:space="preserve"> iii)</w:t>
      </w:r>
      <w:r w:rsidR="5BE7284A" w:rsidRPr="5937A937">
        <w:rPr>
          <w:rFonts w:asciiTheme="majorHAnsi" w:hAnsiTheme="majorHAnsi" w:cstheme="majorBidi"/>
          <w:sz w:val="22"/>
          <w:szCs w:val="22"/>
          <w:lang w:val="en-GB"/>
        </w:rPr>
        <w:t xml:space="preserve"> gasification followed by Fischer-</w:t>
      </w:r>
      <w:proofErr w:type="spellStart"/>
      <w:r w:rsidR="5BE7284A" w:rsidRPr="5937A937">
        <w:rPr>
          <w:rFonts w:asciiTheme="majorHAnsi" w:hAnsiTheme="majorHAnsi" w:cstheme="majorBidi"/>
          <w:sz w:val="22"/>
          <w:szCs w:val="22"/>
          <w:lang w:val="en-GB"/>
        </w:rPr>
        <w:t>Tropsch</w:t>
      </w:r>
      <w:proofErr w:type="spellEnd"/>
      <w:r w:rsidR="5BE7284A" w:rsidRPr="5937A937">
        <w:rPr>
          <w:rFonts w:asciiTheme="majorHAnsi" w:hAnsiTheme="majorHAnsi" w:cstheme="majorBidi"/>
          <w:sz w:val="22"/>
          <w:szCs w:val="22"/>
          <w:lang w:val="en-GB"/>
        </w:rPr>
        <w:t xml:space="preserve"> synthesis. The</w:t>
      </w:r>
      <w:r w:rsidR="33777D72" w:rsidRPr="5937A937">
        <w:rPr>
          <w:rFonts w:asciiTheme="majorHAnsi" w:hAnsiTheme="majorHAnsi" w:cstheme="majorBidi"/>
          <w:sz w:val="22"/>
          <w:szCs w:val="22"/>
          <w:lang w:val="en-GB"/>
        </w:rPr>
        <w:t>y found that</w:t>
      </w:r>
      <w:r w:rsidR="5BE7284A" w:rsidRPr="5937A937">
        <w:rPr>
          <w:rFonts w:asciiTheme="majorHAnsi" w:hAnsiTheme="majorHAnsi" w:cstheme="majorBidi"/>
          <w:sz w:val="22"/>
          <w:szCs w:val="22"/>
          <w:lang w:val="en-GB"/>
        </w:rPr>
        <w:t xml:space="preserve"> emissions </w:t>
      </w:r>
      <w:r w:rsidR="0D816265" w:rsidRPr="5937A937">
        <w:rPr>
          <w:rFonts w:asciiTheme="majorHAnsi" w:hAnsiTheme="majorHAnsi" w:cstheme="majorBidi"/>
          <w:sz w:val="22"/>
          <w:szCs w:val="22"/>
          <w:lang w:val="en-GB"/>
        </w:rPr>
        <w:t>reductions were</w:t>
      </w:r>
      <w:r w:rsidR="5BE7284A" w:rsidRPr="5937A937">
        <w:rPr>
          <w:rFonts w:asciiTheme="majorHAnsi" w:hAnsiTheme="majorHAnsi" w:cstheme="majorBidi"/>
          <w:sz w:val="22"/>
          <w:szCs w:val="22"/>
          <w:lang w:val="en-GB"/>
        </w:rPr>
        <w:t xml:space="preserve"> within the range of 55 % to 133%</w:t>
      </w:r>
      <w:r w:rsidR="1FF03790" w:rsidRPr="5937A937">
        <w:rPr>
          <w:rFonts w:asciiTheme="majorHAnsi" w:hAnsiTheme="majorHAnsi" w:cstheme="majorBidi"/>
          <w:sz w:val="22"/>
          <w:szCs w:val="22"/>
          <w:lang w:val="en-GB"/>
        </w:rPr>
        <w:t xml:space="preserve">. </w:t>
      </w:r>
      <w:r w:rsidR="1846876C" w:rsidRPr="5937A937">
        <w:rPr>
          <w:rFonts w:asciiTheme="majorHAnsi" w:hAnsiTheme="majorHAnsi" w:cstheme="majorBidi"/>
          <w:sz w:val="22"/>
          <w:szCs w:val="22"/>
          <w:lang w:val="en-GB"/>
        </w:rPr>
        <w:t xml:space="preserve">The </w:t>
      </w:r>
      <w:r w:rsidR="39246BD3" w:rsidRPr="5937A937">
        <w:rPr>
          <w:rFonts w:asciiTheme="majorHAnsi" w:hAnsiTheme="majorHAnsi" w:cstheme="majorBidi"/>
          <w:sz w:val="22"/>
          <w:szCs w:val="22"/>
          <w:lang w:val="en-GB"/>
        </w:rPr>
        <w:t xml:space="preserve">feedstock production and transport emerged as emission </w:t>
      </w:r>
      <w:r w:rsidR="1846876C" w:rsidRPr="5937A937">
        <w:rPr>
          <w:rFonts w:asciiTheme="majorHAnsi" w:hAnsiTheme="majorHAnsi" w:cstheme="majorBidi"/>
          <w:sz w:val="22"/>
          <w:szCs w:val="22"/>
          <w:lang w:val="en-GB"/>
        </w:rPr>
        <w:t>hotspot</w:t>
      </w:r>
      <w:r w:rsidR="00963F36">
        <w:rPr>
          <w:rFonts w:asciiTheme="majorHAnsi" w:hAnsiTheme="majorHAnsi" w:cstheme="majorBidi"/>
          <w:sz w:val="22"/>
          <w:szCs w:val="22"/>
          <w:lang w:val="en-GB"/>
        </w:rPr>
        <w:t>s</w:t>
      </w:r>
      <w:r w:rsidR="1846876C" w:rsidRPr="5937A937">
        <w:rPr>
          <w:rFonts w:asciiTheme="majorHAnsi" w:hAnsiTheme="majorHAnsi" w:cstheme="majorBidi"/>
          <w:sz w:val="22"/>
          <w:szCs w:val="22"/>
          <w:lang w:val="en-GB"/>
        </w:rPr>
        <w:t>, when</w:t>
      </w:r>
      <w:r w:rsidR="76158D01" w:rsidRPr="5937A937">
        <w:rPr>
          <w:rFonts w:asciiTheme="majorHAnsi" w:hAnsiTheme="majorHAnsi" w:cstheme="majorBidi"/>
          <w:sz w:val="22"/>
          <w:szCs w:val="22"/>
          <w:lang w:val="en-GB"/>
        </w:rPr>
        <w:t xml:space="preserve"> </w:t>
      </w:r>
      <w:r w:rsidR="33420791" w:rsidRPr="5937A937">
        <w:rPr>
          <w:rFonts w:asciiTheme="majorHAnsi" w:hAnsiTheme="majorHAnsi" w:cstheme="majorBidi"/>
          <w:sz w:val="22"/>
          <w:szCs w:val="22"/>
          <w:lang w:val="en-GB"/>
        </w:rPr>
        <w:t xml:space="preserve">the </w:t>
      </w:r>
      <w:r w:rsidR="76158D01" w:rsidRPr="5937A937">
        <w:rPr>
          <w:rFonts w:asciiTheme="majorHAnsi" w:hAnsiTheme="majorHAnsi" w:cstheme="majorBidi"/>
          <w:sz w:val="22"/>
          <w:szCs w:val="22"/>
          <w:lang w:val="en-GB"/>
        </w:rPr>
        <w:t xml:space="preserve">energetic matrix is mostly based on renewables. If fossil-based inputs are used, </w:t>
      </w:r>
      <w:r w:rsidR="1FA6BF97" w:rsidRPr="5937A937">
        <w:rPr>
          <w:rFonts w:asciiTheme="majorHAnsi" w:hAnsiTheme="majorHAnsi" w:cstheme="majorBidi"/>
          <w:sz w:val="22"/>
          <w:szCs w:val="22"/>
          <w:lang w:val="en-GB"/>
        </w:rPr>
        <w:t>recycling</w:t>
      </w:r>
      <w:r w:rsidR="76158D01" w:rsidRPr="5937A937">
        <w:rPr>
          <w:rFonts w:asciiTheme="majorHAnsi" w:hAnsiTheme="majorHAnsi" w:cstheme="majorBidi"/>
          <w:sz w:val="22"/>
          <w:szCs w:val="22"/>
          <w:lang w:val="en-GB"/>
        </w:rPr>
        <w:t xml:space="preserve"> is </w:t>
      </w:r>
      <w:r w:rsidR="474EA255" w:rsidRPr="5937A937">
        <w:rPr>
          <w:rFonts w:asciiTheme="majorHAnsi" w:hAnsiTheme="majorHAnsi" w:cstheme="majorBidi"/>
          <w:sz w:val="22"/>
          <w:szCs w:val="22"/>
          <w:lang w:val="en-GB"/>
        </w:rPr>
        <w:t xml:space="preserve">necessary. </w:t>
      </w:r>
      <w:r w:rsidR="00255BF0">
        <w:rPr>
          <w:rFonts w:asciiTheme="majorHAnsi" w:hAnsiTheme="majorHAnsi" w:cstheme="majorBidi"/>
          <w:sz w:val="22"/>
          <w:szCs w:val="22"/>
          <w:lang w:val="en-GB"/>
        </w:rPr>
        <w:t>Th</w:t>
      </w:r>
      <w:r w:rsidR="00AC5254">
        <w:rPr>
          <w:rFonts w:asciiTheme="majorHAnsi" w:hAnsiTheme="majorHAnsi" w:cstheme="majorBidi"/>
          <w:sz w:val="22"/>
          <w:szCs w:val="22"/>
          <w:lang w:val="en-GB"/>
        </w:rPr>
        <w:t>ese</w:t>
      </w:r>
      <w:r w:rsidR="00255BF0">
        <w:rPr>
          <w:rFonts w:asciiTheme="majorHAnsi" w:hAnsiTheme="majorHAnsi" w:cstheme="majorBidi"/>
          <w:sz w:val="22"/>
          <w:szCs w:val="22"/>
          <w:lang w:val="en-GB"/>
        </w:rPr>
        <w:t xml:space="preserve"> will be the </w:t>
      </w:r>
      <w:r w:rsidR="00AC5254">
        <w:rPr>
          <w:rFonts w:asciiTheme="majorHAnsi" w:hAnsiTheme="majorHAnsi" w:cstheme="majorBidi"/>
          <w:sz w:val="22"/>
          <w:szCs w:val="22"/>
          <w:lang w:val="en-GB"/>
        </w:rPr>
        <w:t>first points of comparison for the Bio-HFO</w:t>
      </w:r>
      <w:r w:rsidR="006F570C">
        <w:rPr>
          <w:rFonts w:asciiTheme="majorHAnsi" w:hAnsiTheme="majorHAnsi" w:cstheme="majorBidi"/>
          <w:sz w:val="22"/>
          <w:szCs w:val="22"/>
          <w:lang w:val="en-GB"/>
        </w:rPr>
        <w:t xml:space="preserve"> </w:t>
      </w:r>
      <w:r w:rsidR="006F570C">
        <w:rPr>
          <w:rFonts w:asciiTheme="majorHAnsi" w:hAnsiTheme="majorHAnsi" w:cstheme="majorBidi"/>
          <w:sz w:val="22"/>
          <w:szCs w:val="22"/>
          <w:lang w:val="en-GB"/>
        </w:rPr>
        <w:fldChar w:fldCharType="begin" w:fldLock="1"/>
      </w:r>
      <w:r w:rsidR="001574DF">
        <w:rPr>
          <w:rFonts w:asciiTheme="majorHAnsi" w:hAnsiTheme="majorHAnsi" w:cstheme="majorBidi"/>
          <w:sz w:val="22"/>
          <w:szCs w:val="22"/>
          <w:lang w:val="en-GB"/>
        </w:rPr>
        <w:instrText>ADDIN CSL_CITATION {"citationItems":[{"id":"ITEM-1","itemData":{"DOI":"10.1016/j.jclepro.2019.117845","ISSN":"09596526","abstract":"The impending restrictions on the sulfur content and greenhouse gas emissions of marine fuels represent a challenge for the maritime shipping industry and an opportunity for alternative fuels that may have lower environmental impacts but are not currently economically competitive. This study developed an integrated screening model to compare the technological, economic, and environmental performance of 33 “drop-in” marine biofuel blendstock supply chains, considering nine agroforestry residues and three thermochemical technologies. The biofuel production was modeled for 500 tonne per day “first-of-a-kind” biorefineries to reflect near-term production. Supply chains were modeled for biofuel production in both Brazil and Sweden to explore the impact of regional differences on the biofuels’ break-even prices and their life cycle emissions of greenhouse gases, SO2, and NOX. This study indicates that in the immediate term, marine biofuels from lignocellulosic feedstocks may have a minimum fuel selling price three or more times higher than current fossil marine fuel prices. Biofuels made from agricultural residues saw a 40–100 kg/GJ decrease in life cycle GHG emissions, but forestry residue emissions depended highly on biogenic carbon dioxide accounting. SO2, and NOX emissions were dominated primarily by combustion, which for SO2 were estimated to be much lower than fossil fuels, due to the negligible sulfur content of the biomass. Overall, no single biofuel was a clear winner in terms of economic and environmental performance in the model, but space is opened for deeper research, as the new regulations come into effect.","author":[{"dropping-particle":"","family":"Tanzer","given":"Samantha Eleanor","non-dropping-particle":"","parse-names":false,"suffix":""},{"dropping-particle":"","family":"Posada","given":"John","non-dropping-particle":"","parse-names":false,"suffix":""},{"dropping-particle":"","family":"Geraedts","given":"S.","non-dropping-particle":"","parse-names":false,"suffix":""},{"dropping-particle":"","family":"Ramírez","given":"Andrea","non-dropping-particle":"","parse-names":false,"suffix":""}],"container-title":"Journal of Cleaner Production","id":"ITEM-1","issued":{"date-parts":[["2019"]]},"page":"117845","publisher":"Elsevier Ltd","title":"Lignocellulosic marine biofuel: Technoeconomic and environmental assessment for production in Brazil and Sweden","type":"article-journal","volume":"239"},"uris":["http://www.mendeley.com/documents/?uuid=74de9cfc-8b70-4a46-877a-4ee72a9a8826"]}],"mendeley":{"formattedCitation":"(Tanzer et al., 2019)","plainTextFormattedCitation":"(Tanzer et al., 2019)","previouslyFormattedCitation":"(Tanzer et al., 2019)"},"properties":{"noteIndex":0},"schema":"https://github.com/citation-style-language/schema/raw/master/csl-citation.json"}</w:instrText>
      </w:r>
      <w:r w:rsidR="006F570C">
        <w:rPr>
          <w:rFonts w:asciiTheme="majorHAnsi" w:hAnsiTheme="majorHAnsi" w:cstheme="majorBidi"/>
          <w:sz w:val="22"/>
          <w:szCs w:val="22"/>
          <w:lang w:val="en-GB"/>
        </w:rPr>
        <w:fldChar w:fldCharType="separate"/>
      </w:r>
      <w:r w:rsidR="006F570C" w:rsidRPr="006F570C">
        <w:rPr>
          <w:rFonts w:asciiTheme="majorHAnsi" w:hAnsiTheme="majorHAnsi" w:cstheme="majorBidi"/>
          <w:noProof/>
          <w:sz w:val="22"/>
          <w:szCs w:val="22"/>
          <w:lang w:val="en-GB"/>
        </w:rPr>
        <w:t>(Tanzer et al., 2019)</w:t>
      </w:r>
      <w:r w:rsidR="006F570C">
        <w:rPr>
          <w:rFonts w:asciiTheme="majorHAnsi" w:hAnsiTheme="majorHAnsi" w:cstheme="majorBidi"/>
          <w:sz w:val="22"/>
          <w:szCs w:val="22"/>
          <w:lang w:val="en-GB"/>
        </w:rPr>
        <w:fldChar w:fldCharType="end"/>
      </w:r>
      <w:r w:rsidR="00AC5254">
        <w:rPr>
          <w:rFonts w:asciiTheme="majorHAnsi" w:hAnsiTheme="majorHAnsi" w:cstheme="majorBidi"/>
          <w:sz w:val="22"/>
          <w:szCs w:val="22"/>
          <w:lang w:val="en-GB"/>
        </w:rPr>
        <w:t>.</w:t>
      </w:r>
    </w:p>
    <w:p w14:paraId="1EBFC3EF" w14:textId="59BB4538" w:rsidR="00C53804" w:rsidRPr="00650B23" w:rsidRDefault="645A392A" w:rsidP="5937A937">
      <w:pPr>
        <w:spacing w:line="360" w:lineRule="auto"/>
        <w:ind w:firstLine="720"/>
        <w:rPr>
          <w:rFonts w:asciiTheme="majorHAnsi" w:hAnsiTheme="majorHAnsi" w:cstheme="majorBidi"/>
          <w:sz w:val="22"/>
          <w:szCs w:val="22"/>
          <w:lang w:val="en-GB"/>
        </w:rPr>
      </w:pPr>
      <w:r w:rsidRPr="5937A937">
        <w:rPr>
          <w:rFonts w:asciiTheme="majorHAnsi" w:hAnsiTheme="majorHAnsi" w:cstheme="majorBidi"/>
          <w:sz w:val="22"/>
          <w:szCs w:val="22"/>
          <w:lang w:val="en-GB"/>
        </w:rPr>
        <w:t xml:space="preserve"> </w:t>
      </w:r>
    </w:p>
    <w:p w14:paraId="5C321081" w14:textId="7688ED40" w:rsidR="00C53804" w:rsidRPr="00650B23" w:rsidRDefault="2A1548B2" w:rsidP="005D6854">
      <w:pPr>
        <w:pStyle w:val="Heading2"/>
      </w:pPr>
      <w:bookmarkStart w:id="27" w:name="_Toc84019454"/>
      <w:r>
        <w:t xml:space="preserve">Fuel </w:t>
      </w:r>
      <w:r w:rsidR="5414E083">
        <w:t xml:space="preserve">Stability and </w:t>
      </w:r>
      <w:r>
        <w:t>Compatibility</w:t>
      </w:r>
      <w:bookmarkEnd w:id="27"/>
    </w:p>
    <w:p w14:paraId="4782B590" w14:textId="1B8A39A2" w:rsidR="00C53804" w:rsidRPr="00650B23" w:rsidRDefault="00C53804" w:rsidP="65215FB1"/>
    <w:p w14:paraId="4519922C" w14:textId="59D86230" w:rsidR="00C53804" w:rsidRPr="00650B23" w:rsidRDefault="39E081CB" w:rsidP="5937A937">
      <w:pPr>
        <w:spacing w:line="360" w:lineRule="auto"/>
        <w:ind w:firstLine="720"/>
      </w:pPr>
      <w:r w:rsidRPr="5937A937">
        <w:rPr>
          <w:rFonts w:eastAsia="Calibri" w:cs="Calibri"/>
          <w:sz w:val="22"/>
          <w:szCs w:val="22"/>
          <w:lang w:val="en-GB"/>
        </w:rPr>
        <w:t xml:space="preserve">Besides price and emissions, end users will consider the technical aspects of fuels use, which relates to fuel quality and </w:t>
      </w:r>
      <w:r w:rsidR="4E7BF960" w:rsidRPr="5937A937">
        <w:rPr>
          <w:rFonts w:eastAsia="Calibri" w:cs="Calibri"/>
          <w:sz w:val="22"/>
          <w:szCs w:val="22"/>
          <w:lang w:val="en-GB"/>
        </w:rPr>
        <w:t xml:space="preserve">engine </w:t>
      </w:r>
      <w:r w:rsidRPr="5937A937">
        <w:rPr>
          <w:rFonts w:eastAsia="Calibri" w:cs="Calibri"/>
          <w:sz w:val="22"/>
          <w:szCs w:val="22"/>
          <w:lang w:val="en-GB"/>
        </w:rPr>
        <w:t>compatibility (</w:t>
      </w:r>
      <w:proofErr w:type="spellStart"/>
      <w:r w:rsidRPr="5937A937">
        <w:rPr>
          <w:rFonts w:eastAsia="Calibri" w:cs="Calibri"/>
          <w:sz w:val="22"/>
          <w:szCs w:val="22"/>
          <w:lang w:val="en-GB"/>
        </w:rPr>
        <w:t>Panoutsou</w:t>
      </w:r>
      <w:proofErr w:type="spellEnd"/>
      <w:r w:rsidRPr="5937A937">
        <w:rPr>
          <w:rFonts w:eastAsia="Calibri" w:cs="Calibri"/>
          <w:sz w:val="22"/>
          <w:szCs w:val="22"/>
          <w:lang w:val="en-GB"/>
        </w:rPr>
        <w:t xml:space="preserve"> et al., 2021).   </w:t>
      </w:r>
    </w:p>
    <w:p w14:paraId="5A86D3F5" w14:textId="1BE58133" w:rsidR="00C53804" w:rsidRPr="00650B23" w:rsidRDefault="39E081CB" w:rsidP="5937A937">
      <w:pPr>
        <w:spacing w:line="360" w:lineRule="auto"/>
        <w:ind w:firstLine="720"/>
      </w:pPr>
      <w:r w:rsidRPr="5937A937">
        <w:rPr>
          <w:rFonts w:eastAsia="Calibri" w:cs="Calibri"/>
          <w:sz w:val="22"/>
          <w:szCs w:val="22"/>
          <w:lang w:val="en-GB"/>
        </w:rPr>
        <w:t xml:space="preserve">Marine fuel stability is addressed by the method ISO 10307-2. The supplier has the responsibility to ensure the delivery of a stable fuel; whereas, best practices and tests to avoid the mixing of incompatible fuels are onboard responsibility. The fuel stability is measured from sedimentation test (ISO 10307-2), which evaluates the particulate formation from a single fuel or mixture. The spot test is a quick method (ASTM D4740) indicated to test the stability and compatibility of fuels with viscosity up to 50 </w:t>
      </w:r>
      <w:proofErr w:type="spellStart"/>
      <w:r w:rsidRPr="5937A937">
        <w:rPr>
          <w:rFonts w:eastAsia="Calibri" w:cs="Calibri"/>
          <w:sz w:val="22"/>
          <w:szCs w:val="22"/>
          <w:lang w:val="en-GB"/>
        </w:rPr>
        <w:t>cST</w:t>
      </w:r>
      <w:proofErr w:type="spellEnd"/>
      <w:r w:rsidRPr="5937A937">
        <w:rPr>
          <w:rFonts w:eastAsia="Calibri" w:cs="Calibri"/>
          <w:sz w:val="22"/>
          <w:szCs w:val="22"/>
          <w:lang w:val="en-GB"/>
        </w:rPr>
        <w:t xml:space="preserve"> at 100 °C</w:t>
      </w:r>
      <w:r w:rsidR="00AC5BEE">
        <w:rPr>
          <w:rFonts w:eastAsia="Calibri" w:cs="Calibri"/>
          <w:sz w:val="22"/>
          <w:szCs w:val="22"/>
          <w:lang w:val="en-GB"/>
        </w:rPr>
        <w:t>. It</w:t>
      </w:r>
      <w:r w:rsidRPr="5937A937">
        <w:rPr>
          <w:rFonts w:eastAsia="Calibri" w:cs="Calibri"/>
          <w:sz w:val="22"/>
          <w:szCs w:val="22"/>
          <w:lang w:val="en-GB"/>
        </w:rPr>
        <w:t xml:space="preserve"> consists in dropping a fuel or a blend on a test paper</w:t>
      </w:r>
      <w:r w:rsidR="002F73A3">
        <w:rPr>
          <w:rFonts w:eastAsia="Calibri" w:cs="Calibri"/>
          <w:sz w:val="22"/>
          <w:szCs w:val="22"/>
          <w:lang w:val="en-GB"/>
        </w:rPr>
        <w:t>. T</w:t>
      </w:r>
      <w:r w:rsidR="0CB215E8" w:rsidRPr="5937A937">
        <w:rPr>
          <w:rFonts w:eastAsia="Calibri" w:cs="Calibri"/>
          <w:sz w:val="22"/>
          <w:szCs w:val="22"/>
          <w:lang w:val="en-GB"/>
        </w:rPr>
        <w:t>hen</w:t>
      </w:r>
      <w:r w:rsidRPr="5937A937">
        <w:rPr>
          <w:rFonts w:eastAsia="Calibri" w:cs="Calibri"/>
          <w:sz w:val="22"/>
          <w:szCs w:val="22"/>
          <w:lang w:val="en-GB"/>
        </w:rPr>
        <w:t xml:space="preserve"> assess the appearance of that based on a referred scale. To test </w:t>
      </w:r>
      <w:r w:rsidR="002F73A3">
        <w:rPr>
          <w:rFonts w:eastAsia="Calibri" w:cs="Calibri"/>
          <w:sz w:val="22"/>
          <w:szCs w:val="22"/>
          <w:lang w:val="en-GB"/>
        </w:rPr>
        <w:t xml:space="preserve">the </w:t>
      </w:r>
      <w:r w:rsidRPr="5937A937">
        <w:rPr>
          <w:rFonts w:eastAsia="Calibri" w:cs="Calibri"/>
          <w:sz w:val="22"/>
          <w:szCs w:val="22"/>
          <w:lang w:val="en-GB"/>
        </w:rPr>
        <w:t>fuel compatibility the methods ASTM D7157, D7060 and D7112 can be applied (CIMAC, 2019). Fuel compatibility is a key aspect considering the adoption of alternative fuels. It bring</w:t>
      </w:r>
      <w:r w:rsidR="00B93976">
        <w:rPr>
          <w:rFonts w:eastAsia="Calibri" w:cs="Calibri"/>
          <w:sz w:val="22"/>
          <w:szCs w:val="22"/>
          <w:lang w:val="en-GB"/>
        </w:rPr>
        <w:t>s</w:t>
      </w:r>
      <w:r w:rsidRPr="5937A937">
        <w:rPr>
          <w:rFonts w:eastAsia="Calibri" w:cs="Calibri"/>
          <w:sz w:val="22"/>
          <w:szCs w:val="22"/>
          <w:lang w:val="en-GB"/>
        </w:rPr>
        <w:t xml:space="preserve"> cheaper solutions to market by means of blended products, at the same time, it does not limit bunkering fuel when there is not availability.</w:t>
      </w:r>
    </w:p>
    <w:p w14:paraId="7752193B" w14:textId="30908175" w:rsidR="00C53804" w:rsidRPr="00650B23" w:rsidRDefault="2E071198" w:rsidP="5937A937">
      <w:pPr>
        <w:spacing w:line="360" w:lineRule="auto"/>
        <w:ind w:firstLine="720"/>
      </w:pPr>
      <w:r w:rsidRPr="5937A937">
        <w:rPr>
          <w:rFonts w:eastAsia="Calibri" w:cs="Calibri"/>
          <w:sz w:val="22"/>
          <w:szCs w:val="22"/>
          <w:lang w:val="en-GB"/>
        </w:rPr>
        <w:t xml:space="preserve">Apart from </w:t>
      </w:r>
      <w:r w:rsidR="7965B32D" w:rsidRPr="5937A937">
        <w:rPr>
          <w:rFonts w:eastAsia="Calibri" w:cs="Calibri"/>
          <w:sz w:val="22"/>
          <w:szCs w:val="22"/>
          <w:lang w:val="en-GB"/>
        </w:rPr>
        <w:t>stability and compatibility</w:t>
      </w:r>
      <w:r w:rsidRPr="5937A937">
        <w:rPr>
          <w:rFonts w:eastAsia="Calibri" w:cs="Calibri"/>
          <w:sz w:val="22"/>
          <w:szCs w:val="22"/>
          <w:lang w:val="en-GB"/>
        </w:rPr>
        <w:t xml:space="preserve">, other criteria should be considered while addressing blend potentials. The sulphur content will determine the regions where fuels can be used and, therefore, its potential market segmentation. The flash point is another </w:t>
      </w:r>
      <w:r w:rsidR="002405DB">
        <w:rPr>
          <w:rFonts w:eastAsia="Calibri" w:cs="Calibri"/>
          <w:sz w:val="22"/>
          <w:szCs w:val="22"/>
          <w:lang w:val="en-GB"/>
        </w:rPr>
        <w:t xml:space="preserve">important </w:t>
      </w:r>
      <w:r w:rsidRPr="5937A937">
        <w:rPr>
          <w:rFonts w:eastAsia="Calibri" w:cs="Calibri"/>
          <w:sz w:val="22"/>
          <w:szCs w:val="22"/>
          <w:lang w:val="en-GB"/>
        </w:rPr>
        <w:t xml:space="preserve"> property for end use, since it has a direct impact on </w:t>
      </w:r>
      <w:r w:rsidR="00835085">
        <w:rPr>
          <w:rFonts w:eastAsia="Calibri" w:cs="Calibri"/>
          <w:sz w:val="22"/>
          <w:szCs w:val="22"/>
          <w:lang w:val="en-GB"/>
        </w:rPr>
        <w:t>fuel handling safety</w:t>
      </w:r>
      <w:r w:rsidRPr="5937A937">
        <w:rPr>
          <w:rFonts w:eastAsia="Calibri" w:cs="Calibri"/>
          <w:sz w:val="22"/>
          <w:szCs w:val="22"/>
          <w:lang w:val="en-GB"/>
        </w:rPr>
        <w:t>. In terms of engine performance, the density, heating value</w:t>
      </w:r>
      <w:r w:rsidR="00FC4A4E">
        <w:rPr>
          <w:rFonts w:eastAsia="Calibri" w:cs="Calibri"/>
          <w:sz w:val="22"/>
          <w:szCs w:val="22"/>
          <w:lang w:val="en-GB"/>
        </w:rPr>
        <w:t>, cetane number</w:t>
      </w:r>
      <w:r w:rsidRPr="5937A937">
        <w:rPr>
          <w:rFonts w:eastAsia="Calibri" w:cs="Calibri"/>
          <w:sz w:val="22"/>
          <w:szCs w:val="22"/>
          <w:lang w:val="en-GB"/>
        </w:rPr>
        <w:t xml:space="preserve"> and viscosity are key parameters to consider for the resulted blend. Density will affect the mass of injected fuel</w:t>
      </w:r>
      <w:r w:rsidR="000E539E">
        <w:rPr>
          <w:rFonts w:eastAsia="Calibri" w:cs="Calibri"/>
          <w:sz w:val="22"/>
          <w:szCs w:val="22"/>
          <w:lang w:val="en-GB"/>
        </w:rPr>
        <w:t>. Cetane number relates to the ignition properties</w:t>
      </w:r>
      <w:r w:rsidR="00DB10B1">
        <w:rPr>
          <w:rFonts w:eastAsia="Calibri" w:cs="Calibri"/>
          <w:sz w:val="22"/>
          <w:szCs w:val="22"/>
          <w:lang w:val="en-GB"/>
        </w:rPr>
        <w:t>.</w:t>
      </w:r>
      <w:r w:rsidRPr="5937A937">
        <w:rPr>
          <w:rFonts w:eastAsia="Calibri" w:cs="Calibri"/>
          <w:sz w:val="22"/>
          <w:szCs w:val="22"/>
          <w:lang w:val="en-GB"/>
        </w:rPr>
        <w:t xml:space="preserve"> </w:t>
      </w:r>
      <w:r w:rsidR="00DB10B1">
        <w:rPr>
          <w:rFonts w:eastAsia="Calibri" w:cs="Calibri"/>
          <w:sz w:val="22"/>
          <w:szCs w:val="22"/>
          <w:lang w:val="en-GB"/>
        </w:rPr>
        <w:t>V</w:t>
      </w:r>
      <w:r w:rsidRPr="5937A937">
        <w:rPr>
          <w:rFonts w:eastAsia="Calibri" w:cs="Calibri"/>
          <w:sz w:val="22"/>
          <w:szCs w:val="22"/>
          <w:lang w:val="en-GB"/>
        </w:rPr>
        <w:t>iscosity will influence on the gas-liquid mixture homogenization and hydrostatic behaviour</w:t>
      </w:r>
      <w:r w:rsidR="0445CEF7" w:rsidRPr="5937A937">
        <w:rPr>
          <w:rFonts w:eastAsia="Calibri" w:cs="Calibri"/>
          <w:sz w:val="22"/>
          <w:szCs w:val="22"/>
          <w:lang w:val="en-GB"/>
        </w:rPr>
        <w:t xml:space="preserve"> during injection</w:t>
      </w:r>
      <w:r w:rsidRPr="5937A937">
        <w:rPr>
          <w:rFonts w:eastAsia="Calibri" w:cs="Calibri"/>
          <w:sz w:val="22"/>
          <w:szCs w:val="22"/>
          <w:lang w:val="en-GB"/>
        </w:rPr>
        <w:t xml:space="preserve"> while the heating value refers to the energy obtained during combustion (</w:t>
      </w:r>
      <w:proofErr w:type="spellStart"/>
      <w:r w:rsidRPr="5937A937">
        <w:rPr>
          <w:rFonts w:eastAsia="Calibri" w:cs="Calibri"/>
          <w:sz w:val="22"/>
          <w:szCs w:val="22"/>
          <w:lang w:val="en-GB"/>
        </w:rPr>
        <w:t>Panoutsou</w:t>
      </w:r>
      <w:proofErr w:type="spellEnd"/>
      <w:r w:rsidRPr="5937A937">
        <w:rPr>
          <w:rFonts w:eastAsia="Calibri" w:cs="Calibri"/>
          <w:sz w:val="22"/>
          <w:szCs w:val="22"/>
          <w:lang w:val="en-GB"/>
        </w:rPr>
        <w:t xml:space="preserve"> et al., 2021).</w:t>
      </w:r>
    </w:p>
    <w:p w14:paraId="3BED188D" w14:textId="5B5DE782" w:rsidR="00C53804" w:rsidRPr="00650B23" w:rsidRDefault="00C53804" w:rsidP="5937A937">
      <w:pPr>
        <w:spacing w:line="360" w:lineRule="auto"/>
        <w:ind w:firstLine="720"/>
        <w:rPr>
          <w:szCs w:val="21"/>
          <w:lang w:val="en-GB"/>
        </w:rPr>
      </w:pPr>
    </w:p>
    <w:p w14:paraId="5905CC79" w14:textId="7C9A85BC" w:rsidR="00C53804" w:rsidRPr="00650B23" w:rsidRDefault="00816FB2" w:rsidP="00816FB2">
      <w:pPr>
        <w:pStyle w:val="Caption"/>
      </w:pPr>
      <w:bookmarkStart w:id="28" w:name="_Toc83296286"/>
      <w:r>
        <w:t xml:space="preserve">Table </w:t>
      </w:r>
      <w:fldSimple w:instr=" SEQ Table \* ARABIC ">
        <w:r w:rsidR="002E4890">
          <w:rPr>
            <w:noProof/>
          </w:rPr>
          <w:t>3</w:t>
        </w:r>
      </w:fldSimple>
      <w:r>
        <w:t xml:space="preserve">. </w:t>
      </w:r>
      <w:r w:rsidRPr="00AA43AF">
        <w:t xml:space="preserve">Fuel and engine compatibility (adapted from </w:t>
      </w:r>
      <w:proofErr w:type="spellStart"/>
      <w:r w:rsidRPr="00AA43AF">
        <w:t>Uslu</w:t>
      </w:r>
      <w:proofErr w:type="spellEnd"/>
      <w:r w:rsidRPr="00AA43AF">
        <w:t>, 2019)</w:t>
      </w:r>
      <w:r>
        <w:t>.</w:t>
      </w:r>
      <w:bookmarkEnd w:id="28"/>
    </w:p>
    <w:tbl>
      <w:tblPr>
        <w:tblStyle w:val="TableGrid"/>
        <w:tblW w:w="0" w:type="auto"/>
        <w:tblLayout w:type="fixed"/>
        <w:tblLook w:val="06A0" w:firstRow="1" w:lastRow="0" w:firstColumn="1" w:lastColumn="0" w:noHBand="1" w:noVBand="1"/>
      </w:tblPr>
      <w:tblGrid>
        <w:gridCol w:w="2535"/>
        <w:gridCol w:w="1035"/>
        <w:gridCol w:w="6060"/>
      </w:tblGrid>
      <w:tr w:rsidR="5937A937" w14:paraId="463A16CD" w14:textId="77777777" w:rsidTr="5937A937">
        <w:tc>
          <w:tcPr>
            <w:tcW w:w="2535" w:type="dxa"/>
            <w:tcBorders>
              <w:top w:val="single" w:sz="8" w:space="0" w:color="auto"/>
              <w:left w:val="nil"/>
              <w:bottom w:val="single" w:sz="8" w:space="0" w:color="auto"/>
              <w:right w:val="nil"/>
            </w:tcBorders>
          </w:tcPr>
          <w:p w14:paraId="2601A40F" w14:textId="0DC48A76" w:rsidR="5937A937" w:rsidRDefault="5937A937" w:rsidP="5937A937">
            <w:pPr>
              <w:spacing w:before="120" w:after="120"/>
              <w:jc w:val="center"/>
            </w:pPr>
            <w:r w:rsidRPr="5937A937">
              <w:rPr>
                <w:rFonts w:eastAsia="Calibri" w:cs="Calibri"/>
                <w:b/>
                <w:bCs/>
                <w:color w:val="0C0C0C" w:themeColor="text1"/>
                <w:sz w:val="18"/>
                <w:szCs w:val="18"/>
                <w:lang w:val="en-GB"/>
              </w:rPr>
              <w:t>Fuel</w:t>
            </w:r>
          </w:p>
        </w:tc>
        <w:tc>
          <w:tcPr>
            <w:tcW w:w="1035" w:type="dxa"/>
            <w:tcBorders>
              <w:top w:val="single" w:sz="8" w:space="0" w:color="auto"/>
              <w:left w:val="nil"/>
              <w:bottom w:val="single" w:sz="8" w:space="0" w:color="auto"/>
              <w:right w:val="nil"/>
            </w:tcBorders>
          </w:tcPr>
          <w:p w14:paraId="7D0548FE" w14:textId="3C7CEB8B" w:rsidR="5937A937" w:rsidRDefault="5937A937" w:rsidP="5937A937">
            <w:pPr>
              <w:spacing w:before="120" w:after="120"/>
              <w:jc w:val="center"/>
            </w:pPr>
            <w:r w:rsidRPr="5937A937">
              <w:rPr>
                <w:rFonts w:eastAsia="Calibri" w:cs="Calibri"/>
                <w:b/>
                <w:bCs/>
                <w:color w:val="0C0C0C" w:themeColor="text1"/>
                <w:sz w:val="18"/>
                <w:szCs w:val="18"/>
                <w:lang w:val="en-GB"/>
              </w:rPr>
              <w:t>Drop-in</w:t>
            </w:r>
          </w:p>
        </w:tc>
        <w:tc>
          <w:tcPr>
            <w:tcW w:w="6060" w:type="dxa"/>
            <w:tcBorders>
              <w:top w:val="single" w:sz="8" w:space="0" w:color="auto"/>
              <w:left w:val="nil"/>
              <w:bottom w:val="single" w:sz="8" w:space="0" w:color="auto"/>
              <w:right w:val="nil"/>
            </w:tcBorders>
          </w:tcPr>
          <w:p w14:paraId="7803ED79" w14:textId="096CCE26" w:rsidR="5937A937" w:rsidRDefault="5937A937" w:rsidP="5937A937">
            <w:pPr>
              <w:spacing w:before="120" w:after="120"/>
              <w:jc w:val="center"/>
            </w:pPr>
            <w:r w:rsidRPr="5937A937">
              <w:rPr>
                <w:rFonts w:eastAsia="Calibri" w:cs="Calibri"/>
                <w:b/>
                <w:bCs/>
                <w:color w:val="0C0C0C" w:themeColor="text1"/>
                <w:sz w:val="18"/>
                <w:szCs w:val="18"/>
                <w:lang w:val="en-GB"/>
              </w:rPr>
              <w:t>Engine's requirements</w:t>
            </w:r>
          </w:p>
        </w:tc>
      </w:tr>
      <w:tr w:rsidR="5937A937" w14:paraId="5E709B93" w14:textId="77777777" w:rsidTr="5937A937">
        <w:tc>
          <w:tcPr>
            <w:tcW w:w="2535" w:type="dxa"/>
            <w:tcBorders>
              <w:top w:val="single" w:sz="8" w:space="0" w:color="auto"/>
              <w:left w:val="nil"/>
              <w:bottom w:val="none" w:sz="4" w:space="0" w:color="000000"/>
              <w:right w:val="nil"/>
            </w:tcBorders>
            <w:vAlign w:val="center"/>
          </w:tcPr>
          <w:p w14:paraId="00266D02" w14:textId="122E0757" w:rsidR="5937A937" w:rsidRDefault="5937A937" w:rsidP="5937A937">
            <w:pPr>
              <w:spacing w:before="120" w:after="120"/>
              <w:jc w:val="center"/>
            </w:pPr>
            <w:r w:rsidRPr="5937A937">
              <w:rPr>
                <w:rFonts w:eastAsia="Calibri" w:cs="Calibri"/>
                <w:color w:val="0C0C0C" w:themeColor="text1"/>
                <w:sz w:val="18"/>
                <w:szCs w:val="18"/>
                <w:lang w:val="en-GB"/>
              </w:rPr>
              <w:t>Pyrolysis oil</w:t>
            </w:r>
          </w:p>
        </w:tc>
        <w:tc>
          <w:tcPr>
            <w:tcW w:w="1035" w:type="dxa"/>
            <w:tcBorders>
              <w:top w:val="single" w:sz="8" w:space="0" w:color="auto"/>
              <w:left w:val="nil"/>
              <w:bottom w:val="none" w:sz="4" w:space="0" w:color="000000"/>
              <w:right w:val="nil"/>
            </w:tcBorders>
            <w:vAlign w:val="center"/>
          </w:tcPr>
          <w:p w14:paraId="157E3912" w14:textId="2BDB3705" w:rsidR="5937A937" w:rsidRDefault="5937A937" w:rsidP="5937A937">
            <w:pPr>
              <w:spacing w:before="120" w:after="120"/>
              <w:jc w:val="center"/>
            </w:pPr>
            <w:r w:rsidRPr="5937A937">
              <w:rPr>
                <w:rFonts w:eastAsia="Calibri" w:cs="Calibri"/>
                <w:color w:val="0C0C0C" w:themeColor="text1"/>
                <w:sz w:val="18"/>
                <w:szCs w:val="18"/>
                <w:lang w:val="en-GB"/>
              </w:rPr>
              <w:t>No</w:t>
            </w:r>
          </w:p>
        </w:tc>
        <w:tc>
          <w:tcPr>
            <w:tcW w:w="6060" w:type="dxa"/>
            <w:tcBorders>
              <w:top w:val="single" w:sz="8" w:space="0" w:color="auto"/>
              <w:left w:val="nil"/>
              <w:bottom w:val="none" w:sz="4" w:space="0" w:color="000000"/>
              <w:right w:val="nil"/>
            </w:tcBorders>
            <w:vAlign w:val="center"/>
          </w:tcPr>
          <w:p w14:paraId="776928BD" w14:textId="314042A8" w:rsidR="5937A937" w:rsidRDefault="5937A937" w:rsidP="5937A937">
            <w:pPr>
              <w:spacing w:before="120" w:after="120"/>
              <w:jc w:val="center"/>
            </w:pPr>
            <w:r w:rsidRPr="5937A937">
              <w:rPr>
                <w:rFonts w:eastAsia="Calibri" w:cs="Calibri"/>
                <w:color w:val="0C0C0C" w:themeColor="text1"/>
                <w:sz w:val="18"/>
                <w:szCs w:val="18"/>
                <w:lang w:val="en-GB"/>
              </w:rPr>
              <w:t xml:space="preserve">It is not compatible with the engine and fuel system. Adaptations are needed </w:t>
            </w:r>
          </w:p>
        </w:tc>
      </w:tr>
      <w:tr w:rsidR="5937A937" w14:paraId="31358353"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499C73E1" w14:textId="298D51FE" w:rsidR="5937A937" w:rsidRDefault="5937A937" w:rsidP="5937A937">
            <w:pPr>
              <w:spacing w:before="120" w:after="120"/>
              <w:jc w:val="center"/>
            </w:pPr>
            <w:r w:rsidRPr="5937A937">
              <w:rPr>
                <w:rFonts w:eastAsia="Calibri" w:cs="Calibri"/>
                <w:color w:val="0C0C0C" w:themeColor="text1"/>
                <w:sz w:val="18"/>
                <w:szCs w:val="18"/>
                <w:lang w:val="en-GB"/>
              </w:rPr>
              <w:t>Upgraded Pyrolysis oil</w:t>
            </w:r>
          </w:p>
        </w:tc>
        <w:tc>
          <w:tcPr>
            <w:tcW w:w="1035" w:type="dxa"/>
            <w:tcBorders>
              <w:top w:val="none" w:sz="4" w:space="0" w:color="000000"/>
              <w:left w:val="none" w:sz="4" w:space="0" w:color="000000"/>
              <w:bottom w:val="none" w:sz="4" w:space="0" w:color="000000"/>
              <w:right w:val="none" w:sz="4" w:space="0" w:color="000000"/>
            </w:tcBorders>
            <w:vAlign w:val="center"/>
          </w:tcPr>
          <w:p w14:paraId="09AB4FAE" w14:textId="09D99C7A" w:rsidR="5937A937" w:rsidRDefault="5937A937" w:rsidP="5937A937">
            <w:pPr>
              <w:spacing w:before="120" w:after="120"/>
              <w:jc w:val="center"/>
            </w:pPr>
            <w:r w:rsidRPr="5937A937">
              <w:rPr>
                <w:rFonts w:eastAsia="Calibri" w:cs="Calibri"/>
                <w:color w:val="0C0C0C" w:themeColor="text1"/>
                <w:sz w:val="18"/>
                <w:szCs w:val="18"/>
                <w:lang w:val="en-GB"/>
              </w:rPr>
              <w:t>Yes</w:t>
            </w:r>
          </w:p>
        </w:tc>
        <w:tc>
          <w:tcPr>
            <w:tcW w:w="6060" w:type="dxa"/>
            <w:tcBorders>
              <w:top w:val="none" w:sz="4" w:space="0" w:color="000000"/>
              <w:left w:val="none" w:sz="4" w:space="0" w:color="000000"/>
              <w:bottom w:val="none" w:sz="4" w:space="0" w:color="000000"/>
              <w:right w:val="none" w:sz="4" w:space="0" w:color="000000"/>
            </w:tcBorders>
            <w:vAlign w:val="center"/>
          </w:tcPr>
          <w:p w14:paraId="48DCCF5D" w14:textId="05B3DDDE" w:rsidR="5937A937" w:rsidRDefault="5937A937" w:rsidP="5937A937">
            <w:pPr>
              <w:spacing w:before="120" w:after="120"/>
              <w:jc w:val="center"/>
            </w:pPr>
            <w:r w:rsidRPr="5937A937">
              <w:rPr>
                <w:rFonts w:eastAsia="Calibri" w:cs="Calibri"/>
                <w:color w:val="0C0C0C" w:themeColor="text1"/>
                <w:sz w:val="18"/>
                <w:szCs w:val="18"/>
                <w:lang w:val="en-GB"/>
              </w:rPr>
              <w:t>Similar characteristics to FT-Diesel and potentially be used for in-land shipping.</w:t>
            </w:r>
          </w:p>
        </w:tc>
      </w:tr>
      <w:tr w:rsidR="5937A937" w14:paraId="70E1B33F"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4774089F" w14:textId="5FE9801E" w:rsidR="5937A937" w:rsidRDefault="5937A937" w:rsidP="5937A937">
            <w:pPr>
              <w:spacing w:before="120" w:after="120"/>
              <w:jc w:val="center"/>
            </w:pPr>
            <w:r w:rsidRPr="5937A937">
              <w:rPr>
                <w:rFonts w:eastAsia="Calibri" w:cs="Calibri"/>
                <w:color w:val="0C0C0C" w:themeColor="text1"/>
                <w:sz w:val="18"/>
                <w:szCs w:val="18"/>
                <w:lang w:val="en-GB"/>
              </w:rPr>
              <w:t>FT- Diesel</w:t>
            </w:r>
          </w:p>
        </w:tc>
        <w:tc>
          <w:tcPr>
            <w:tcW w:w="1035" w:type="dxa"/>
            <w:tcBorders>
              <w:top w:val="none" w:sz="4" w:space="0" w:color="000000"/>
              <w:left w:val="none" w:sz="4" w:space="0" w:color="000000"/>
              <w:bottom w:val="none" w:sz="4" w:space="0" w:color="000000"/>
              <w:right w:val="none" w:sz="4" w:space="0" w:color="000000"/>
            </w:tcBorders>
            <w:vAlign w:val="center"/>
          </w:tcPr>
          <w:p w14:paraId="70BF8963" w14:textId="436060A7" w:rsidR="5937A937" w:rsidRDefault="5937A937" w:rsidP="5937A937">
            <w:pPr>
              <w:spacing w:before="120" w:after="120"/>
              <w:jc w:val="center"/>
            </w:pPr>
            <w:r w:rsidRPr="5937A937">
              <w:rPr>
                <w:rFonts w:eastAsia="Calibri" w:cs="Calibri"/>
                <w:color w:val="0C0C0C" w:themeColor="text1"/>
                <w:sz w:val="18"/>
                <w:szCs w:val="18"/>
                <w:lang w:val="en-GB"/>
              </w:rPr>
              <w:t>Yes</w:t>
            </w:r>
          </w:p>
        </w:tc>
        <w:tc>
          <w:tcPr>
            <w:tcW w:w="6060" w:type="dxa"/>
            <w:tcBorders>
              <w:top w:val="none" w:sz="4" w:space="0" w:color="000000"/>
              <w:left w:val="none" w:sz="4" w:space="0" w:color="000000"/>
              <w:bottom w:val="none" w:sz="4" w:space="0" w:color="000000"/>
              <w:right w:val="none" w:sz="4" w:space="0" w:color="000000"/>
            </w:tcBorders>
            <w:vAlign w:val="center"/>
          </w:tcPr>
          <w:p w14:paraId="7539A9FC" w14:textId="73C45029" w:rsidR="5937A937" w:rsidRDefault="5937A937" w:rsidP="5937A937">
            <w:pPr>
              <w:spacing w:before="120" w:after="120"/>
              <w:jc w:val="center"/>
            </w:pPr>
            <w:r w:rsidRPr="5937A937">
              <w:rPr>
                <w:rFonts w:eastAsia="Calibri" w:cs="Calibri"/>
                <w:color w:val="0C0C0C" w:themeColor="text1"/>
                <w:sz w:val="18"/>
                <w:szCs w:val="18"/>
                <w:lang w:val="en-GB"/>
              </w:rPr>
              <w:t>Need larger fuel tanks due to the lower volumetric energy density.</w:t>
            </w:r>
          </w:p>
          <w:p w14:paraId="3EE29C42" w14:textId="3028E07D" w:rsidR="5937A937" w:rsidRDefault="5937A937" w:rsidP="5937A937">
            <w:pPr>
              <w:spacing w:before="120" w:after="120"/>
              <w:jc w:val="center"/>
            </w:pPr>
            <w:r w:rsidRPr="5937A937">
              <w:rPr>
                <w:rFonts w:eastAsia="Calibri" w:cs="Calibri"/>
                <w:color w:val="0C0C0C" w:themeColor="text1"/>
                <w:sz w:val="18"/>
                <w:szCs w:val="18"/>
                <w:lang w:val="en-GB"/>
              </w:rPr>
              <w:lastRenderedPageBreak/>
              <w:t>Compatible with current vessel and port infrastructure.</w:t>
            </w:r>
          </w:p>
        </w:tc>
      </w:tr>
      <w:tr w:rsidR="5937A937" w14:paraId="78359E73"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64555A73" w14:textId="7844C72D" w:rsidR="5937A937" w:rsidRDefault="5937A937" w:rsidP="5937A937">
            <w:pPr>
              <w:spacing w:before="120" w:after="120"/>
              <w:jc w:val="center"/>
            </w:pPr>
            <w:r w:rsidRPr="5937A937">
              <w:rPr>
                <w:rFonts w:eastAsia="Calibri" w:cs="Calibri"/>
                <w:color w:val="0C0C0C" w:themeColor="text1"/>
                <w:sz w:val="18"/>
                <w:szCs w:val="18"/>
                <w:lang w:val="en-GB"/>
              </w:rPr>
              <w:lastRenderedPageBreak/>
              <w:t>HVO</w:t>
            </w:r>
          </w:p>
        </w:tc>
        <w:tc>
          <w:tcPr>
            <w:tcW w:w="1035" w:type="dxa"/>
            <w:tcBorders>
              <w:top w:val="none" w:sz="4" w:space="0" w:color="000000"/>
              <w:left w:val="none" w:sz="4" w:space="0" w:color="000000"/>
              <w:bottom w:val="none" w:sz="4" w:space="0" w:color="000000"/>
              <w:right w:val="none" w:sz="4" w:space="0" w:color="000000"/>
            </w:tcBorders>
            <w:vAlign w:val="center"/>
          </w:tcPr>
          <w:p w14:paraId="1774E237" w14:textId="132EB2DA" w:rsidR="5937A937" w:rsidRDefault="5937A937" w:rsidP="5937A937">
            <w:pPr>
              <w:spacing w:before="120" w:after="120"/>
              <w:jc w:val="center"/>
            </w:pPr>
            <w:r w:rsidRPr="5937A937">
              <w:rPr>
                <w:rFonts w:eastAsia="Calibri" w:cs="Calibri"/>
                <w:color w:val="0C0C0C" w:themeColor="text1"/>
                <w:sz w:val="18"/>
                <w:szCs w:val="18"/>
                <w:lang w:val="en-GB"/>
              </w:rPr>
              <w:t>Yes</w:t>
            </w:r>
          </w:p>
        </w:tc>
        <w:tc>
          <w:tcPr>
            <w:tcW w:w="6060" w:type="dxa"/>
            <w:tcBorders>
              <w:top w:val="none" w:sz="4" w:space="0" w:color="000000"/>
              <w:left w:val="none" w:sz="4" w:space="0" w:color="000000"/>
              <w:bottom w:val="none" w:sz="4" w:space="0" w:color="000000"/>
              <w:right w:val="none" w:sz="4" w:space="0" w:color="000000"/>
            </w:tcBorders>
            <w:vAlign w:val="center"/>
          </w:tcPr>
          <w:p w14:paraId="30A456E4" w14:textId="43F87910" w:rsidR="5937A937" w:rsidRDefault="5937A937" w:rsidP="5937A937">
            <w:pPr>
              <w:spacing w:before="120" w:after="120"/>
              <w:jc w:val="center"/>
            </w:pPr>
            <w:r w:rsidRPr="5937A937">
              <w:rPr>
                <w:rFonts w:eastAsia="Calibri" w:cs="Calibri"/>
                <w:color w:val="0C0C0C" w:themeColor="text1"/>
                <w:sz w:val="18"/>
                <w:szCs w:val="18"/>
                <w:lang w:val="en-GB"/>
              </w:rPr>
              <w:t>Compatible with current marine diesel engines running on HFO, MDO, and MGO</w:t>
            </w:r>
          </w:p>
        </w:tc>
      </w:tr>
      <w:tr w:rsidR="5937A937" w14:paraId="3D37666C" w14:textId="77777777" w:rsidTr="5937A937">
        <w:tc>
          <w:tcPr>
            <w:tcW w:w="2535" w:type="dxa"/>
            <w:tcBorders>
              <w:top w:val="none" w:sz="4" w:space="0" w:color="000000"/>
              <w:left w:val="none" w:sz="4" w:space="0" w:color="000000"/>
              <w:bottom w:val="none" w:sz="4" w:space="0" w:color="000000"/>
              <w:right w:val="none" w:sz="4" w:space="0" w:color="000000"/>
            </w:tcBorders>
            <w:vAlign w:val="center"/>
          </w:tcPr>
          <w:p w14:paraId="37818AF1" w14:textId="03402E12" w:rsidR="5937A937" w:rsidRDefault="5937A937" w:rsidP="5937A937">
            <w:pPr>
              <w:spacing w:before="120" w:after="120"/>
              <w:jc w:val="center"/>
            </w:pPr>
            <w:r w:rsidRPr="5937A937">
              <w:rPr>
                <w:rFonts w:eastAsia="Calibri" w:cs="Calibri"/>
                <w:color w:val="0C0C0C" w:themeColor="text1"/>
                <w:sz w:val="18"/>
                <w:szCs w:val="18"/>
                <w:lang w:val="en-GB"/>
              </w:rPr>
              <w:t>(Bio) Methanol</w:t>
            </w:r>
          </w:p>
        </w:tc>
        <w:tc>
          <w:tcPr>
            <w:tcW w:w="1035" w:type="dxa"/>
            <w:tcBorders>
              <w:top w:val="none" w:sz="4" w:space="0" w:color="000000"/>
              <w:left w:val="none" w:sz="4" w:space="0" w:color="000000"/>
              <w:bottom w:val="none" w:sz="4" w:space="0" w:color="000000"/>
              <w:right w:val="none" w:sz="4" w:space="0" w:color="000000"/>
            </w:tcBorders>
            <w:vAlign w:val="center"/>
          </w:tcPr>
          <w:p w14:paraId="38192A50" w14:textId="360FAF03" w:rsidR="5937A937" w:rsidRDefault="5937A937" w:rsidP="5937A937">
            <w:pPr>
              <w:spacing w:before="120" w:after="120"/>
              <w:jc w:val="center"/>
            </w:pPr>
            <w:r w:rsidRPr="5937A937">
              <w:rPr>
                <w:rFonts w:eastAsia="Calibri" w:cs="Calibri"/>
                <w:color w:val="0C0C0C" w:themeColor="text1"/>
                <w:sz w:val="18"/>
                <w:szCs w:val="18"/>
                <w:lang w:val="en-GB"/>
              </w:rPr>
              <w:t>No</w:t>
            </w:r>
          </w:p>
        </w:tc>
        <w:tc>
          <w:tcPr>
            <w:tcW w:w="6060" w:type="dxa"/>
            <w:tcBorders>
              <w:top w:val="none" w:sz="4" w:space="0" w:color="000000"/>
              <w:left w:val="none" w:sz="4" w:space="0" w:color="000000"/>
              <w:bottom w:val="none" w:sz="4" w:space="0" w:color="000000"/>
              <w:right w:val="none" w:sz="4" w:space="0" w:color="000000"/>
            </w:tcBorders>
            <w:vAlign w:val="center"/>
          </w:tcPr>
          <w:p w14:paraId="3AC8132A" w14:textId="0913E494" w:rsidR="5937A937" w:rsidRDefault="5937A937" w:rsidP="5937A937">
            <w:pPr>
              <w:spacing w:before="120" w:after="120"/>
              <w:jc w:val="center"/>
            </w:pPr>
            <w:r w:rsidRPr="5937A937">
              <w:rPr>
                <w:rFonts w:eastAsia="Calibri" w:cs="Calibri"/>
                <w:color w:val="0C0C0C" w:themeColor="text1"/>
                <w:sz w:val="18"/>
                <w:szCs w:val="18"/>
                <w:lang w:val="en-GB"/>
              </w:rPr>
              <w:t xml:space="preserve">Higher application potential for short-sea-shipping due to the lower energy density. </w:t>
            </w:r>
          </w:p>
          <w:p w14:paraId="30D918FA" w14:textId="764CE780" w:rsidR="5937A937" w:rsidRDefault="5937A937" w:rsidP="5937A937">
            <w:pPr>
              <w:spacing w:before="120" w:after="120"/>
              <w:jc w:val="center"/>
            </w:pPr>
            <w:r w:rsidRPr="5937A937">
              <w:rPr>
                <w:rFonts w:eastAsia="Calibri" w:cs="Calibri"/>
                <w:color w:val="0C0C0C" w:themeColor="text1"/>
                <w:sz w:val="18"/>
                <w:szCs w:val="18"/>
                <w:lang w:val="en-GB"/>
              </w:rPr>
              <w:t xml:space="preserve">Mayor changes in engine system are needed, including injection, ignition enhancer, fuelling system and storage. </w:t>
            </w:r>
          </w:p>
        </w:tc>
      </w:tr>
      <w:tr w:rsidR="5937A937" w14:paraId="7186B269" w14:textId="77777777" w:rsidTr="5937A937">
        <w:tc>
          <w:tcPr>
            <w:tcW w:w="2535" w:type="dxa"/>
            <w:tcBorders>
              <w:top w:val="none" w:sz="4" w:space="0" w:color="000000"/>
              <w:left w:val="nil"/>
              <w:bottom w:val="single" w:sz="8" w:space="0" w:color="auto"/>
              <w:right w:val="nil"/>
            </w:tcBorders>
            <w:vAlign w:val="center"/>
          </w:tcPr>
          <w:p w14:paraId="5835EF6C" w14:textId="4AB0D284" w:rsidR="5937A937" w:rsidRDefault="5937A937" w:rsidP="5937A937">
            <w:pPr>
              <w:spacing w:before="120" w:after="120"/>
              <w:jc w:val="center"/>
            </w:pPr>
            <w:r w:rsidRPr="5937A937">
              <w:rPr>
                <w:rFonts w:eastAsia="Calibri" w:cs="Calibri"/>
                <w:color w:val="0C0C0C" w:themeColor="text1"/>
                <w:sz w:val="18"/>
                <w:szCs w:val="18"/>
                <w:lang w:val="en-GB"/>
              </w:rPr>
              <w:t>Ethanol (lignocellulose base)</w:t>
            </w:r>
          </w:p>
        </w:tc>
        <w:tc>
          <w:tcPr>
            <w:tcW w:w="1035" w:type="dxa"/>
            <w:tcBorders>
              <w:top w:val="none" w:sz="4" w:space="0" w:color="000000"/>
              <w:left w:val="nil"/>
              <w:bottom w:val="single" w:sz="8" w:space="0" w:color="auto"/>
              <w:right w:val="nil"/>
            </w:tcBorders>
            <w:vAlign w:val="center"/>
          </w:tcPr>
          <w:p w14:paraId="255D307B" w14:textId="369DB33E" w:rsidR="5937A937" w:rsidRDefault="5937A937" w:rsidP="5937A937">
            <w:pPr>
              <w:spacing w:before="120" w:after="120"/>
              <w:jc w:val="center"/>
            </w:pPr>
            <w:r w:rsidRPr="5937A937">
              <w:rPr>
                <w:rFonts w:eastAsia="Calibri" w:cs="Calibri"/>
                <w:color w:val="0C0C0C" w:themeColor="text1"/>
                <w:sz w:val="18"/>
                <w:szCs w:val="18"/>
                <w:lang w:val="en-GB"/>
              </w:rPr>
              <w:t>No</w:t>
            </w:r>
          </w:p>
        </w:tc>
        <w:tc>
          <w:tcPr>
            <w:tcW w:w="6060" w:type="dxa"/>
            <w:tcBorders>
              <w:top w:val="none" w:sz="4" w:space="0" w:color="000000"/>
              <w:left w:val="nil"/>
              <w:bottom w:val="single" w:sz="8" w:space="0" w:color="auto"/>
              <w:right w:val="nil"/>
            </w:tcBorders>
            <w:vAlign w:val="center"/>
          </w:tcPr>
          <w:p w14:paraId="3D0C7B18" w14:textId="3EC4DA22" w:rsidR="5937A937" w:rsidRDefault="5937A937" w:rsidP="5937A937">
            <w:pPr>
              <w:spacing w:before="120" w:after="120"/>
              <w:jc w:val="center"/>
            </w:pPr>
            <w:r w:rsidRPr="5937A937">
              <w:rPr>
                <w:rFonts w:eastAsia="Calibri" w:cs="Calibri"/>
                <w:color w:val="0C0C0C" w:themeColor="text1"/>
                <w:sz w:val="18"/>
                <w:szCs w:val="18"/>
                <w:lang w:val="en-GB"/>
              </w:rPr>
              <w:t>Similar requirements to methanol.</w:t>
            </w:r>
          </w:p>
        </w:tc>
      </w:tr>
    </w:tbl>
    <w:p w14:paraId="285666B9" w14:textId="77777777" w:rsidR="0022473B" w:rsidRDefault="0022473B" w:rsidP="5937A937">
      <w:pPr>
        <w:spacing w:line="360" w:lineRule="auto"/>
        <w:ind w:firstLine="720"/>
        <w:rPr>
          <w:szCs w:val="21"/>
          <w:lang w:val="en-GB"/>
        </w:rPr>
        <w:sectPr w:rsidR="0022473B" w:rsidSect="00095ECB">
          <w:pgSz w:w="11906" w:h="16838"/>
          <w:pgMar w:top="1418" w:right="1134" w:bottom="1418" w:left="1134" w:header="709" w:footer="709" w:gutter="0"/>
          <w:pgNumType w:start="1"/>
          <w:cols w:space="708"/>
          <w:titlePg/>
          <w:docGrid w:linePitch="360"/>
        </w:sectPr>
      </w:pPr>
    </w:p>
    <w:p w14:paraId="25E2EEFA" w14:textId="61B65B1C" w:rsidR="00C53804" w:rsidRPr="00650B23" w:rsidRDefault="1C595714" w:rsidP="005D6854">
      <w:pPr>
        <w:pStyle w:val="Heading1"/>
      </w:pPr>
      <w:bookmarkStart w:id="29" w:name="_Toc84019455"/>
      <w:r>
        <w:lastRenderedPageBreak/>
        <w:t>Future Market</w:t>
      </w:r>
      <w:bookmarkEnd w:id="29"/>
    </w:p>
    <w:p w14:paraId="14CF1E58" w14:textId="5795B5DC" w:rsidR="00C53804" w:rsidRPr="00650B23" w:rsidRDefault="00C53804" w:rsidP="65215FB1">
      <w:pPr>
        <w:rPr>
          <w:lang w:val="en-GB"/>
        </w:rPr>
      </w:pPr>
    </w:p>
    <w:p w14:paraId="7E20B84D" w14:textId="36E983DE" w:rsidR="7BF6C1B3" w:rsidRDefault="7BF6C1B3" w:rsidP="5937A937">
      <w:pPr>
        <w:spacing w:line="360" w:lineRule="auto"/>
        <w:ind w:firstLine="720"/>
        <w:rPr>
          <w:rFonts w:eastAsia="Calibri" w:cs="Calibri"/>
          <w:sz w:val="22"/>
          <w:szCs w:val="22"/>
          <w:lang w:val="en-GB"/>
        </w:rPr>
      </w:pPr>
      <w:r w:rsidRPr="5937A937">
        <w:rPr>
          <w:rFonts w:eastAsia="Calibri" w:cs="Calibri"/>
          <w:sz w:val="22"/>
          <w:szCs w:val="22"/>
          <w:lang w:val="en-GB"/>
        </w:rPr>
        <w:t xml:space="preserve">The </w:t>
      </w:r>
      <w:r w:rsidR="35FCEE24" w:rsidRPr="5937A937">
        <w:rPr>
          <w:rFonts w:eastAsia="Calibri" w:cs="Calibri"/>
          <w:sz w:val="22"/>
          <w:szCs w:val="22"/>
          <w:lang w:val="en-GB"/>
        </w:rPr>
        <w:t xml:space="preserve">potential </w:t>
      </w:r>
      <w:r w:rsidRPr="5937A937">
        <w:rPr>
          <w:rFonts w:eastAsia="Calibri" w:cs="Calibri"/>
          <w:sz w:val="22"/>
          <w:szCs w:val="22"/>
          <w:lang w:val="en-GB"/>
        </w:rPr>
        <w:t xml:space="preserve">market </w:t>
      </w:r>
      <w:r w:rsidR="06D44FC7" w:rsidRPr="5937A937">
        <w:rPr>
          <w:rFonts w:eastAsia="Calibri" w:cs="Calibri"/>
          <w:sz w:val="22"/>
          <w:szCs w:val="22"/>
          <w:lang w:val="en-GB"/>
        </w:rPr>
        <w:t>for</w:t>
      </w:r>
      <w:r w:rsidRPr="5937A937">
        <w:rPr>
          <w:rFonts w:eastAsia="Calibri" w:cs="Calibri"/>
          <w:sz w:val="22"/>
          <w:szCs w:val="22"/>
          <w:lang w:val="en-GB"/>
        </w:rPr>
        <w:t xml:space="preserve"> a fuel will depend on the market size</w:t>
      </w:r>
      <w:r w:rsidR="5C0FDE09" w:rsidRPr="5937A937">
        <w:rPr>
          <w:rFonts w:eastAsia="Calibri" w:cs="Calibri"/>
          <w:sz w:val="22"/>
          <w:szCs w:val="22"/>
          <w:lang w:val="en-GB"/>
        </w:rPr>
        <w:t xml:space="preserve"> and profile</w:t>
      </w:r>
      <w:r w:rsidRPr="5937A937">
        <w:rPr>
          <w:rFonts w:eastAsia="Calibri" w:cs="Calibri"/>
          <w:sz w:val="22"/>
          <w:szCs w:val="22"/>
          <w:lang w:val="en-GB"/>
        </w:rPr>
        <w:t xml:space="preserve">, </w:t>
      </w:r>
      <w:r w:rsidR="68418B33" w:rsidRPr="5937A937">
        <w:rPr>
          <w:rFonts w:eastAsia="Calibri" w:cs="Calibri"/>
          <w:sz w:val="22"/>
          <w:szCs w:val="22"/>
          <w:lang w:val="en-GB"/>
        </w:rPr>
        <w:t>legislation, competition</w:t>
      </w:r>
      <w:r w:rsidRPr="5937A937">
        <w:rPr>
          <w:rFonts w:eastAsia="Calibri" w:cs="Calibri"/>
          <w:sz w:val="22"/>
          <w:szCs w:val="22"/>
          <w:lang w:val="en-GB"/>
        </w:rPr>
        <w:t xml:space="preserve"> and prices.  </w:t>
      </w:r>
      <w:r w:rsidR="4B5BAC0F" w:rsidRPr="5937A937">
        <w:rPr>
          <w:rFonts w:eastAsia="Calibri" w:cs="Calibri"/>
          <w:sz w:val="22"/>
          <w:szCs w:val="22"/>
          <w:lang w:val="en-GB"/>
        </w:rPr>
        <w:t>I</w:t>
      </w:r>
      <w:r w:rsidR="2DCEBBD1" w:rsidRPr="5937A937">
        <w:rPr>
          <w:rFonts w:eastAsia="Calibri" w:cs="Calibri"/>
          <w:sz w:val="22"/>
          <w:szCs w:val="22"/>
          <w:lang w:val="en-GB"/>
        </w:rPr>
        <w:t>n</w:t>
      </w:r>
      <w:r w:rsidR="4B5BAC0F" w:rsidRPr="5937A937">
        <w:rPr>
          <w:rFonts w:eastAsia="Calibri" w:cs="Calibri"/>
          <w:sz w:val="22"/>
          <w:szCs w:val="22"/>
          <w:lang w:val="en-GB"/>
        </w:rPr>
        <w:t xml:space="preserve"> this section, each of </w:t>
      </w:r>
      <w:r w:rsidR="429EC17A" w:rsidRPr="5937A937">
        <w:rPr>
          <w:rFonts w:eastAsia="Calibri" w:cs="Calibri"/>
          <w:sz w:val="22"/>
          <w:szCs w:val="22"/>
          <w:lang w:val="en-GB"/>
        </w:rPr>
        <w:t>these aspects</w:t>
      </w:r>
      <w:r w:rsidR="4B5BAC0F" w:rsidRPr="5937A937">
        <w:rPr>
          <w:rFonts w:eastAsia="Calibri" w:cs="Calibri"/>
          <w:sz w:val="22"/>
          <w:szCs w:val="22"/>
          <w:lang w:val="en-GB"/>
        </w:rPr>
        <w:t xml:space="preserve"> are discussed</w:t>
      </w:r>
      <w:r w:rsidR="0CB6C6DE" w:rsidRPr="5937A937">
        <w:rPr>
          <w:rFonts w:eastAsia="Calibri" w:cs="Calibri"/>
          <w:sz w:val="22"/>
          <w:szCs w:val="22"/>
          <w:lang w:val="en-GB"/>
        </w:rPr>
        <w:t>, but legislation which has a dedicated</w:t>
      </w:r>
      <w:r w:rsidR="13208DDD" w:rsidRPr="5937A937">
        <w:rPr>
          <w:rFonts w:eastAsia="Calibri" w:cs="Calibri"/>
          <w:sz w:val="22"/>
          <w:szCs w:val="22"/>
          <w:lang w:val="en-GB"/>
        </w:rPr>
        <w:t xml:space="preserve"> section already discussed.</w:t>
      </w:r>
    </w:p>
    <w:p w14:paraId="4D3CFB40" w14:textId="07B66FDC" w:rsidR="5937A937" w:rsidRDefault="5937A937" w:rsidP="5937A937">
      <w:pPr>
        <w:rPr>
          <w:szCs w:val="21"/>
        </w:rPr>
      </w:pPr>
    </w:p>
    <w:p w14:paraId="69FF9790" w14:textId="424EE8ED" w:rsidR="00C53804" w:rsidRPr="00650B23" w:rsidRDefault="65E29757" w:rsidP="002F7E75">
      <w:pPr>
        <w:pStyle w:val="Heading2"/>
        <w:rPr>
          <w:rFonts w:asciiTheme="majorHAnsi" w:hAnsiTheme="majorHAnsi"/>
          <w:color w:val="0075B0" w:themeColor="accent6"/>
          <w:sz w:val="24"/>
          <w:szCs w:val="24"/>
        </w:rPr>
      </w:pPr>
      <w:bookmarkStart w:id="30" w:name="_Toc84019456"/>
      <w:r>
        <w:t>Market Size</w:t>
      </w:r>
      <w:bookmarkEnd w:id="30"/>
    </w:p>
    <w:p w14:paraId="16905DAF" w14:textId="62AF0535" w:rsidR="7D6C5C87" w:rsidRPr="00A24536" w:rsidRDefault="7D6C5C87" w:rsidP="59587566">
      <w:pPr>
        <w:spacing w:line="360" w:lineRule="auto"/>
        <w:ind w:firstLine="720"/>
        <w:rPr>
          <w:rFonts w:asciiTheme="majorHAnsi" w:hAnsiTheme="majorHAnsi" w:cstheme="majorHAnsi"/>
          <w:szCs w:val="21"/>
          <w:lang w:val="en-GB"/>
        </w:rPr>
      </w:pPr>
      <w:r w:rsidRPr="00A24536">
        <w:rPr>
          <w:rFonts w:asciiTheme="majorHAnsi" w:hAnsiTheme="majorHAnsi" w:cstheme="majorHAnsi"/>
          <w:color w:val="0C0C0C" w:themeColor="text1"/>
          <w:sz w:val="22"/>
          <w:szCs w:val="22"/>
          <w:lang w:val="en-GB"/>
        </w:rPr>
        <w:t>Without specific policy in place, the future market for alternative marine fuels will be mostly governed by price on costumer decision making</w:t>
      </w:r>
      <w:r w:rsidR="33FA7740" w:rsidRPr="00A24536">
        <w:rPr>
          <w:rFonts w:asciiTheme="majorHAnsi" w:hAnsiTheme="majorHAnsi" w:cstheme="majorHAnsi"/>
          <w:color w:val="0C0C0C" w:themeColor="text1"/>
          <w:sz w:val="22"/>
          <w:szCs w:val="22"/>
          <w:lang w:val="en-GB"/>
        </w:rPr>
        <w:t>. This assumption is</w:t>
      </w:r>
      <w:r w:rsidR="632A3326" w:rsidRPr="00A24536">
        <w:rPr>
          <w:rFonts w:asciiTheme="majorHAnsi" w:hAnsiTheme="majorHAnsi" w:cstheme="majorHAnsi"/>
          <w:color w:val="0C0C0C" w:themeColor="text1"/>
          <w:sz w:val="22"/>
          <w:szCs w:val="22"/>
          <w:lang w:val="en-GB"/>
        </w:rPr>
        <w:t xml:space="preserve"> also indicated by respondents of public consultation</w:t>
      </w:r>
      <w:r w:rsidR="00DC4B5A">
        <w:rPr>
          <w:rFonts w:asciiTheme="majorHAnsi" w:hAnsiTheme="majorHAnsi" w:cstheme="majorHAnsi"/>
          <w:color w:val="0C0C0C" w:themeColor="text1"/>
          <w:sz w:val="22"/>
          <w:szCs w:val="22"/>
          <w:lang w:val="en-GB"/>
        </w:rPr>
        <w:t xml:space="preserve"> (Fig. </w:t>
      </w:r>
      <w:r w:rsidR="002174B6">
        <w:rPr>
          <w:rFonts w:asciiTheme="majorHAnsi" w:hAnsiTheme="majorHAnsi" w:cstheme="majorHAnsi"/>
          <w:color w:val="0C0C0C" w:themeColor="text1"/>
          <w:sz w:val="22"/>
          <w:szCs w:val="22"/>
          <w:lang w:val="en-GB"/>
        </w:rPr>
        <w:t>6)</w:t>
      </w:r>
      <w:r w:rsidR="3C9A417D" w:rsidRPr="00A24536">
        <w:rPr>
          <w:rFonts w:asciiTheme="majorHAnsi" w:hAnsiTheme="majorHAnsi" w:cstheme="majorHAnsi"/>
          <w:color w:val="0C0C0C" w:themeColor="text1"/>
          <w:sz w:val="22"/>
          <w:szCs w:val="22"/>
          <w:lang w:val="en-GB"/>
        </w:rPr>
        <w:t>, in which</w:t>
      </w:r>
      <w:r w:rsidR="40C175EF" w:rsidRPr="00A24536">
        <w:rPr>
          <w:rFonts w:asciiTheme="majorHAnsi" w:hAnsiTheme="majorHAnsi" w:cstheme="majorHAnsi"/>
          <w:color w:val="0C0C0C" w:themeColor="text1"/>
          <w:sz w:val="22"/>
          <w:szCs w:val="22"/>
          <w:lang w:val="en-GB"/>
        </w:rPr>
        <w:t xml:space="preserve"> </w:t>
      </w:r>
      <w:r w:rsidR="431005C7" w:rsidRPr="00A24536">
        <w:rPr>
          <w:rFonts w:asciiTheme="majorHAnsi" w:hAnsiTheme="majorHAnsi" w:cstheme="majorHAnsi"/>
          <w:color w:val="0C0C0C" w:themeColor="text1"/>
          <w:sz w:val="22"/>
          <w:szCs w:val="22"/>
          <w:lang w:val="en-GB"/>
        </w:rPr>
        <w:t xml:space="preserve">87 % of respondents focused on the demand-side </w:t>
      </w:r>
      <w:r w:rsidR="3B990D97" w:rsidRPr="00A24536">
        <w:rPr>
          <w:rFonts w:asciiTheme="majorHAnsi" w:hAnsiTheme="majorHAnsi" w:cstheme="majorHAnsi"/>
          <w:color w:val="0C0C0C" w:themeColor="text1"/>
          <w:sz w:val="22"/>
          <w:szCs w:val="22"/>
          <w:lang w:val="en-GB"/>
        </w:rPr>
        <w:t>while addressing renewables uptake in the marine sector.</w:t>
      </w:r>
      <w:r w:rsidR="431005C7" w:rsidRPr="00A24536">
        <w:rPr>
          <w:rFonts w:asciiTheme="majorHAnsi" w:hAnsiTheme="majorHAnsi" w:cstheme="majorHAnsi"/>
          <w:color w:val="0C0C0C" w:themeColor="text1"/>
          <w:sz w:val="22"/>
          <w:szCs w:val="22"/>
          <w:lang w:val="en-GB"/>
        </w:rPr>
        <w:t xml:space="preserve"> </w:t>
      </w:r>
      <w:r w:rsidR="3FC67022" w:rsidRPr="00A24536">
        <w:rPr>
          <w:rFonts w:asciiTheme="majorHAnsi" w:eastAsia="Calibri" w:hAnsiTheme="majorHAnsi" w:cstheme="majorHAnsi"/>
          <w:color w:val="0C0C0C" w:themeColor="text1"/>
          <w:sz w:val="22"/>
          <w:szCs w:val="22"/>
          <w:lang w:val="en-GB"/>
        </w:rPr>
        <w:t>In a business-as-usual scenario, the emission of maritime sector would rise 14 % and 30% by 2030 and 2050, respectively, incompatible with the road map for carbon neutrality 2050.</w:t>
      </w:r>
    </w:p>
    <w:p w14:paraId="5E0B9EA5" w14:textId="0E0F3700" w:rsidR="5937A937" w:rsidRDefault="5937A937" w:rsidP="5937A937">
      <w:pPr>
        <w:rPr>
          <w:rFonts w:eastAsia="Calibri" w:cs="Calibri"/>
          <w:b/>
          <w:bCs/>
          <w:color w:val="4C565C"/>
          <w:sz w:val="18"/>
          <w:szCs w:val="18"/>
          <w:lang w:val="en-GB"/>
        </w:rPr>
      </w:pPr>
    </w:p>
    <w:p w14:paraId="00F18B40" w14:textId="77777777" w:rsidR="00092EB5" w:rsidRDefault="31BB4A89" w:rsidP="00092EB5">
      <w:pPr>
        <w:keepNext/>
      </w:pPr>
      <w:r>
        <w:rPr>
          <w:noProof/>
        </w:rPr>
        <w:drawing>
          <wp:inline distT="0" distB="0" distL="0" distR="0" wp14:anchorId="0B50B111" wp14:editId="697B1190">
            <wp:extent cx="6019802" cy="1467326"/>
            <wp:effectExtent l="0" t="0" r="0" b="0"/>
            <wp:docPr id="1963332890" name="Picture 203119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193117"/>
                    <pic:cNvPicPr/>
                  </pic:nvPicPr>
                  <pic:blipFill>
                    <a:blip r:embed="rId21">
                      <a:extLst>
                        <a:ext uri="{28A0092B-C50C-407E-A947-70E740481C1C}">
                          <a14:useLocalDpi xmlns:a14="http://schemas.microsoft.com/office/drawing/2010/main" val="0"/>
                        </a:ext>
                      </a:extLst>
                    </a:blip>
                    <a:stretch>
                      <a:fillRect/>
                    </a:stretch>
                  </pic:blipFill>
                  <pic:spPr>
                    <a:xfrm>
                      <a:off x="0" y="0"/>
                      <a:ext cx="6019802" cy="1467326"/>
                    </a:xfrm>
                    <a:prstGeom prst="rect">
                      <a:avLst/>
                    </a:prstGeom>
                  </pic:spPr>
                </pic:pic>
              </a:graphicData>
            </a:graphic>
          </wp:inline>
        </w:drawing>
      </w:r>
    </w:p>
    <w:p w14:paraId="0E426A23" w14:textId="3C0C3838" w:rsidR="31BB4A89" w:rsidRDefault="00092EB5" w:rsidP="00092EB5">
      <w:pPr>
        <w:pStyle w:val="Caption"/>
        <w:rPr>
          <w:szCs w:val="21"/>
        </w:rPr>
      </w:pPr>
      <w:bookmarkStart w:id="31" w:name="_Toc84018241"/>
      <w:r>
        <w:t xml:space="preserve">Figure </w:t>
      </w:r>
      <w:fldSimple w:instr=" SEQ Figure \* ARABIC ">
        <w:r w:rsidR="00945B67">
          <w:rPr>
            <w:noProof/>
          </w:rPr>
          <w:t>6</w:t>
        </w:r>
      </w:fldSimple>
      <w:r>
        <w:t xml:space="preserve">. </w:t>
      </w:r>
      <w:r w:rsidRPr="006915C9">
        <w:t xml:space="preserve">Public consultation: How likely is the uptake of renewable fuels in the marine sector without specific policy intervention? </w:t>
      </w:r>
      <w:r w:rsidR="000378E4">
        <w:t>(</w:t>
      </w:r>
      <w:r w:rsidRPr="006915C9">
        <w:t>Source: European Commission Proposal 2021 – Amending Directive 2009/16/EC</w:t>
      </w:r>
      <w:bookmarkEnd w:id="31"/>
      <w:r w:rsidR="000378E4">
        <w:t>)</w:t>
      </w:r>
    </w:p>
    <w:p w14:paraId="04BBA468" w14:textId="0C254F90" w:rsidR="52F3EACC" w:rsidRDefault="52F3EACC" w:rsidP="5937A937"/>
    <w:p w14:paraId="5E10E405" w14:textId="49BB0C36" w:rsidR="5937A937" w:rsidRDefault="5937A937" w:rsidP="5937A937">
      <w:pPr>
        <w:rPr>
          <w:b/>
          <w:bCs/>
          <w:szCs w:val="21"/>
          <w:lang w:val="en-GB"/>
        </w:rPr>
      </w:pPr>
    </w:p>
    <w:p w14:paraId="17E78F73" w14:textId="6B3EEF6A" w:rsidR="2989D637" w:rsidRDefault="2989D637" w:rsidP="5937A937">
      <w:pPr>
        <w:spacing w:line="360" w:lineRule="auto"/>
        <w:ind w:firstLine="720"/>
      </w:pPr>
      <w:r w:rsidRPr="59587566">
        <w:rPr>
          <w:rFonts w:eastAsia="Calibri" w:cs="Calibri"/>
          <w:color w:val="0C0C0C" w:themeColor="text1"/>
          <w:sz w:val="22"/>
          <w:szCs w:val="22"/>
          <w:lang w:val="en-GB"/>
        </w:rPr>
        <w:t xml:space="preserve">Having said that, the future market of alternative fuels will be </w:t>
      </w:r>
      <w:r w:rsidR="6C66705B" w:rsidRPr="59587566">
        <w:rPr>
          <w:rFonts w:eastAsia="Calibri" w:cs="Calibri"/>
          <w:color w:val="0C0C0C" w:themeColor="text1"/>
          <w:sz w:val="22"/>
          <w:szCs w:val="22"/>
          <w:lang w:val="en-GB"/>
        </w:rPr>
        <w:t>influenced</w:t>
      </w:r>
      <w:r w:rsidRPr="59587566">
        <w:rPr>
          <w:rFonts w:eastAsia="Calibri" w:cs="Calibri"/>
          <w:color w:val="0C0C0C" w:themeColor="text1"/>
          <w:sz w:val="22"/>
          <w:szCs w:val="22"/>
          <w:lang w:val="en-GB"/>
        </w:rPr>
        <w:t xml:space="preserve">, </w:t>
      </w:r>
      <w:r w:rsidR="14784FDE" w:rsidRPr="59587566">
        <w:rPr>
          <w:rFonts w:eastAsia="Calibri" w:cs="Calibri"/>
          <w:color w:val="0C0C0C" w:themeColor="text1"/>
          <w:sz w:val="22"/>
          <w:szCs w:val="22"/>
          <w:lang w:val="en-GB"/>
        </w:rPr>
        <w:t>apart from</w:t>
      </w:r>
      <w:r w:rsidRPr="59587566">
        <w:rPr>
          <w:rFonts w:eastAsia="Calibri" w:cs="Calibri"/>
          <w:color w:val="0C0C0C" w:themeColor="text1"/>
          <w:sz w:val="22"/>
          <w:szCs w:val="22"/>
          <w:lang w:val="en-GB"/>
        </w:rPr>
        <w:t xml:space="preserve"> price, by mandates and incentives. Mandates will guarantee a floor level for alternative fuels market size. Incentives will be translated into premium payment, benefiting the adoption of renewable fuels from a pricing perspective, most likely aligned to carbon equivalent metrics.  </w:t>
      </w:r>
    </w:p>
    <w:p w14:paraId="4C45DC6E" w14:textId="261358AF" w:rsidR="4A4C348F" w:rsidRDefault="307B6CC7" w:rsidP="59587566">
      <w:pPr>
        <w:spacing w:line="360" w:lineRule="auto"/>
        <w:ind w:firstLine="720"/>
        <w:rPr>
          <w:rFonts w:eastAsia="Calibri" w:cs="Calibri"/>
          <w:sz w:val="22"/>
          <w:szCs w:val="22"/>
          <w:lang w:val="en-GB"/>
        </w:rPr>
      </w:pPr>
      <w:r w:rsidRPr="59587566">
        <w:rPr>
          <w:rFonts w:eastAsia="Calibri" w:cs="Calibri"/>
          <w:color w:val="0C0C0C" w:themeColor="text1"/>
          <w:sz w:val="22"/>
          <w:szCs w:val="22"/>
          <w:lang w:val="en-GB"/>
        </w:rPr>
        <w:t xml:space="preserve">In 2018, IMO </w:t>
      </w:r>
      <w:r w:rsidR="2E66AF50" w:rsidRPr="59587566">
        <w:rPr>
          <w:rFonts w:eastAsia="Calibri" w:cs="Calibri"/>
          <w:color w:val="0C0C0C" w:themeColor="text1"/>
          <w:sz w:val="22"/>
          <w:szCs w:val="22"/>
          <w:lang w:val="en-GB"/>
        </w:rPr>
        <w:t>a</w:t>
      </w:r>
      <w:r w:rsidRPr="59587566">
        <w:rPr>
          <w:rFonts w:eastAsia="Calibri" w:cs="Calibri"/>
          <w:color w:val="0C0C0C" w:themeColor="text1"/>
          <w:sz w:val="22"/>
          <w:szCs w:val="22"/>
          <w:lang w:val="en-GB"/>
        </w:rPr>
        <w:t xml:space="preserve">dopted the UN </w:t>
      </w:r>
      <w:r w:rsidR="63DB84AC" w:rsidRPr="59587566">
        <w:rPr>
          <w:rFonts w:eastAsia="Calibri" w:cs="Calibri"/>
          <w:color w:val="0C0C0C" w:themeColor="text1"/>
          <w:sz w:val="22"/>
          <w:szCs w:val="22"/>
          <w:lang w:val="en-GB"/>
        </w:rPr>
        <w:t>strategy for shipping</w:t>
      </w:r>
      <w:r w:rsidR="2093CCE2" w:rsidRPr="59587566">
        <w:rPr>
          <w:rFonts w:eastAsia="Calibri" w:cs="Calibri"/>
          <w:color w:val="0C0C0C" w:themeColor="text1"/>
          <w:sz w:val="22"/>
          <w:szCs w:val="22"/>
          <w:lang w:val="en-GB"/>
        </w:rPr>
        <w:t xml:space="preserve"> GHG emissions with 3 main </w:t>
      </w:r>
      <w:r w:rsidR="4BEF3E70" w:rsidRPr="59587566">
        <w:rPr>
          <w:rFonts w:eastAsia="Calibri" w:cs="Calibri"/>
          <w:color w:val="0C0C0C" w:themeColor="text1"/>
          <w:sz w:val="22"/>
          <w:szCs w:val="22"/>
          <w:lang w:val="en-GB"/>
        </w:rPr>
        <w:t xml:space="preserve">objectives: </w:t>
      </w:r>
      <w:proofErr w:type="spellStart"/>
      <w:r w:rsidR="4BEF3E70" w:rsidRPr="59587566">
        <w:rPr>
          <w:rFonts w:eastAsia="Calibri" w:cs="Calibri"/>
          <w:color w:val="0C0C0C" w:themeColor="text1"/>
          <w:sz w:val="22"/>
          <w:szCs w:val="22"/>
          <w:lang w:val="en-GB"/>
        </w:rPr>
        <w:t>i</w:t>
      </w:r>
      <w:proofErr w:type="spellEnd"/>
      <w:r w:rsidR="4BEF3E70" w:rsidRPr="59587566">
        <w:rPr>
          <w:rFonts w:eastAsia="Calibri" w:cs="Calibri"/>
          <w:color w:val="0C0C0C" w:themeColor="text1"/>
          <w:sz w:val="22"/>
          <w:szCs w:val="22"/>
          <w:lang w:val="en-GB"/>
        </w:rPr>
        <w:t xml:space="preserve">) reduction in the energy intensity of </w:t>
      </w:r>
      <w:r w:rsidR="1EF8B663" w:rsidRPr="59587566">
        <w:rPr>
          <w:rFonts w:eastAsia="Calibri" w:cs="Calibri"/>
          <w:color w:val="0C0C0C" w:themeColor="text1"/>
          <w:sz w:val="22"/>
          <w:szCs w:val="22"/>
          <w:lang w:val="en-GB"/>
        </w:rPr>
        <w:t>ships</w:t>
      </w:r>
      <w:r w:rsidR="05D13E6C" w:rsidRPr="59587566">
        <w:rPr>
          <w:rFonts w:eastAsia="Calibri" w:cs="Calibri"/>
          <w:color w:val="0C0C0C" w:themeColor="text1"/>
          <w:sz w:val="22"/>
          <w:szCs w:val="22"/>
          <w:lang w:val="en-GB"/>
        </w:rPr>
        <w:t xml:space="preserve">; ii) </w:t>
      </w:r>
      <w:r w:rsidR="6FC8FA7C" w:rsidRPr="59587566">
        <w:rPr>
          <w:rFonts w:eastAsia="Calibri" w:cs="Calibri"/>
          <w:color w:val="0C0C0C" w:themeColor="text1"/>
          <w:sz w:val="22"/>
          <w:szCs w:val="22"/>
          <w:lang w:val="en-GB"/>
        </w:rPr>
        <w:t xml:space="preserve">international emission to decline by at least 40 % by 2030, </w:t>
      </w:r>
      <w:r w:rsidR="3CF00E2D" w:rsidRPr="59587566">
        <w:rPr>
          <w:rFonts w:eastAsia="Calibri" w:cs="Calibri"/>
          <w:color w:val="0C0C0C" w:themeColor="text1"/>
          <w:sz w:val="22"/>
          <w:szCs w:val="22"/>
          <w:lang w:val="en-GB"/>
        </w:rPr>
        <w:t>pursuing</w:t>
      </w:r>
      <w:r w:rsidR="6FC8FA7C" w:rsidRPr="59587566">
        <w:rPr>
          <w:rFonts w:eastAsia="Calibri" w:cs="Calibri"/>
          <w:color w:val="0C0C0C" w:themeColor="text1"/>
          <w:sz w:val="22"/>
          <w:szCs w:val="22"/>
          <w:lang w:val="en-GB"/>
        </w:rPr>
        <w:t xml:space="preserve"> efforts </w:t>
      </w:r>
      <w:r w:rsidR="134F2C45" w:rsidRPr="59587566">
        <w:rPr>
          <w:rFonts w:eastAsia="Calibri" w:cs="Calibri"/>
          <w:color w:val="0C0C0C" w:themeColor="text1"/>
          <w:sz w:val="22"/>
          <w:szCs w:val="22"/>
          <w:lang w:val="en-GB"/>
        </w:rPr>
        <w:t>towards</w:t>
      </w:r>
      <w:r w:rsidR="6FC8FA7C" w:rsidRPr="59587566">
        <w:rPr>
          <w:rFonts w:eastAsia="Calibri" w:cs="Calibri"/>
          <w:color w:val="0C0C0C" w:themeColor="text1"/>
          <w:sz w:val="22"/>
          <w:szCs w:val="22"/>
          <w:lang w:val="en-GB"/>
        </w:rPr>
        <w:t xml:space="preserve"> 70 % by 2050</w:t>
      </w:r>
      <w:r w:rsidR="193B2CB9" w:rsidRPr="59587566">
        <w:rPr>
          <w:rFonts w:eastAsia="Calibri" w:cs="Calibri"/>
          <w:color w:val="0C0C0C" w:themeColor="text1"/>
          <w:sz w:val="22"/>
          <w:szCs w:val="22"/>
          <w:lang w:val="en-GB"/>
        </w:rPr>
        <w:t xml:space="preserve"> (2008 base case)</w:t>
      </w:r>
      <w:r w:rsidR="6FC8FA7C" w:rsidRPr="59587566">
        <w:rPr>
          <w:rFonts w:eastAsia="Calibri" w:cs="Calibri"/>
          <w:color w:val="0C0C0C" w:themeColor="text1"/>
          <w:sz w:val="22"/>
          <w:szCs w:val="22"/>
          <w:lang w:val="en-GB"/>
        </w:rPr>
        <w:t xml:space="preserve">; iii) </w:t>
      </w:r>
      <w:r w:rsidR="606E4C2D" w:rsidRPr="59587566">
        <w:rPr>
          <w:rFonts w:eastAsia="Calibri" w:cs="Calibri"/>
          <w:color w:val="0C0C0C" w:themeColor="text1"/>
          <w:sz w:val="22"/>
          <w:szCs w:val="22"/>
          <w:lang w:val="en-GB"/>
        </w:rPr>
        <w:t>total emissions to peak and decline as soon as possible, reducing total annual emissions at least</w:t>
      </w:r>
      <w:r w:rsidR="07F138A3" w:rsidRPr="59587566">
        <w:rPr>
          <w:rFonts w:eastAsia="Calibri" w:cs="Calibri"/>
          <w:color w:val="0C0C0C" w:themeColor="text1"/>
          <w:sz w:val="22"/>
          <w:szCs w:val="22"/>
          <w:lang w:val="en-GB"/>
        </w:rPr>
        <w:t xml:space="preserve"> by 50 % by 2050. </w:t>
      </w:r>
      <w:r w:rsidR="4324AE6B" w:rsidRPr="59587566">
        <w:rPr>
          <w:rFonts w:eastAsia="Calibri" w:cs="Calibri"/>
          <w:color w:val="0C0C0C" w:themeColor="text1"/>
          <w:sz w:val="22"/>
          <w:szCs w:val="22"/>
          <w:lang w:val="en-GB"/>
        </w:rPr>
        <w:t>Framed by these commitments, 3 different scenarios were assumed</w:t>
      </w:r>
      <w:r w:rsidR="22772104" w:rsidRPr="59587566">
        <w:rPr>
          <w:rFonts w:eastAsia="Calibri" w:cs="Calibri"/>
          <w:color w:val="0C0C0C" w:themeColor="text1"/>
          <w:sz w:val="22"/>
          <w:szCs w:val="22"/>
          <w:lang w:val="en-GB"/>
        </w:rPr>
        <w:t xml:space="preserve"> towards decarbonisation</w:t>
      </w:r>
      <w:r w:rsidR="42A7ACA7" w:rsidRPr="59587566">
        <w:rPr>
          <w:rFonts w:eastAsia="Calibri" w:cs="Calibri"/>
          <w:color w:val="0C0C0C" w:themeColor="text1"/>
          <w:sz w:val="22"/>
          <w:szCs w:val="22"/>
          <w:lang w:val="en-GB"/>
        </w:rPr>
        <w:t xml:space="preserve">, two </w:t>
      </w:r>
      <w:r w:rsidR="3FCCA3BE" w:rsidRPr="59587566">
        <w:rPr>
          <w:rFonts w:eastAsia="Calibri" w:cs="Calibri"/>
          <w:color w:val="0C0C0C" w:themeColor="text1"/>
          <w:sz w:val="22"/>
          <w:szCs w:val="22"/>
          <w:lang w:val="en-GB"/>
        </w:rPr>
        <w:t xml:space="preserve">considering </w:t>
      </w:r>
      <w:r w:rsidR="42A7ACA7" w:rsidRPr="59587566">
        <w:rPr>
          <w:rFonts w:eastAsia="Calibri" w:cs="Calibri"/>
          <w:color w:val="0C0C0C" w:themeColor="text1"/>
          <w:sz w:val="22"/>
          <w:szCs w:val="22"/>
          <w:lang w:val="en-GB"/>
        </w:rPr>
        <w:t>the uptak</w:t>
      </w:r>
      <w:r w:rsidR="2860B5A4" w:rsidRPr="59587566">
        <w:rPr>
          <w:rFonts w:eastAsia="Calibri" w:cs="Calibri"/>
          <w:color w:val="0C0C0C" w:themeColor="text1"/>
          <w:sz w:val="22"/>
          <w:szCs w:val="22"/>
          <w:lang w:val="en-GB"/>
        </w:rPr>
        <w:t xml:space="preserve">e of </w:t>
      </w:r>
      <w:r w:rsidR="00772DBC">
        <w:rPr>
          <w:rFonts w:eastAsia="Calibri" w:cs="Calibri"/>
          <w:color w:val="0C0C0C" w:themeColor="text1"/>
          <w:sz w:val="22"/>
          <w:szCs w:val="22"/>
          <w:lang w:val="en-GB"/>
        </w:rPr>
        <w:t>hydrogen (</w:t>
      </w:r>
      <w:r w:rsidR="2860B5A4" w:rsidRPr="59587566">
        <w:rPr>
          <w:rFonts w:eastAsia="Calibri" w:cs="Calibri"/>
          <w:color w:val="0C0C0C" w:themeColor="text1"/>
          <w:sz w:val="22"/>
          <w:szCs w:val="22"/>
          <w:lang w:val="en-GB"/>
        </w:rPr>
        <w:t>H</w:t>
      </w:r>
      <w:r w:rsidR="2860B5A4" w:rsidRPr="00B55ADC">
        <w:rPr>
          <w:rFonts w:eastAsia="Calibri" w:cs="Calibri"/>
          <w:color w:val="0C0C0C" w:themeColor="text1"/>
          <w:sz w:val="22"/>
          <w:szCs w:val="22"/>
          <w:vertAlign w:val="subscript"/>
          <w:lang w:val="en-GB"/>
        </w:rPr>
        <w:t>2</w:t>
      </w:r>
      <w:r w:rsidR="00772DBC">
        <w:rPr>
          <w:rFonts w:eastAsia="Calibri" w:cs="Calibri"/>
          <w:color w:val="0C0C0C" w:themeColor="text1"/>
          <w:sz w:val="22"/>
          <w:szCs w:val="22"/>
          <w:lang w:val="en-GB"/>
        </w:rPr>
        <w:t>)</w:t>
      </w:r>
      <w:r w:rsidR="2860B5A4" w:rsidRPr="59587566">
        <w:rPr>
          <w:rFonts w:eastAsia="Calibri" w:cs="Calibri"/>
          <w:color w:val="0C0C0C" w:themeColor="text1"/>
          <w:sz w:val="22"/>
          <w:szCs w:val="22"/>
          <w:lang w:val="en-GB"/>
        </w:rPr>
        <w:t xml:space="preserve"> and one </w:t>
      </w:r>
      <w:r w:rsidR="50F6CEC0" w:rsidRPr="59587566">
        <w:rPr>
          <w:rFonts w:eastAsia="Calibri" w:cs="Calibri"/>
          <w:color w:val="0C0C0C" w:themeColor="text1"/>
          <w:sz w:val="22"/>
          <w:szCs w:val="22"/>
          <w:lang w:val="en-GB"/>
        </w:rPr>
        <w:t>follow</w:t>
      </w:r>
      <w:r w:rsidR="2860B5A4" w:rsidRPr="59587566">
        <w:rPr>
          <w:rFonts w:eastAsia="Calibri" w:cs="Calibri"/>
          <w:color w:val="0C0C0C" w:themeColor="text1"/>
          <w:sz w:val="22"/>
          <w:szCs w:val="22"/>
          <w:lang w:val="en-GB"/>
        </w:rPr>
        <w:t xml:space="preserve">ing the </w:t>
      </w:r>
      <w:r w:rsidR="28CF7E4E" w:rsidRPr="59587566">
        <w:rPr>
          <w:rFonts w:eastAsia="Calibri" w:cs="Calibri"/>
          <w:color w:val="0C0C0C" w:themeColor="text1"/>
          <w:sz w:val="22"/>
          <w:szCs w:val="22"/>
          <w:lang w:val="en-GB"/>
        </w:rPr>
        <w:t>UN</w:t>
      </w:r>
      <w:r w:rsidR="2860B5A4" w:rsidRPr="59587566">
        <w:rPr>
          <w:rFonts w:eastAsia="Calibri" w:cs="Calibri"/>
          <w:color w:val="0C0C0C" w:themeColor="text1"/>
          <w:sz w:val="22"/>
          <w:szCs w:val="22"/>
          <w:lang w:val="en-GB"/>
        </w:rPr>
        <w:t xml:space="preserve"> below 1.5 °</w:t>
      </w:r>
      <w:r w:rsidR="2215ED7D" w:rsidRPr="59587566">
        <w:rPr>
          <w:rFonts w:eastAsia="Calibri" w:cs="Calibri"/>
          <w:color w:val="0C0C0C" w:themeColor="text1"/>
          <w:sz w:val="22"/>
          <w:szCs w:val="22"/>
          <w:lang w:val="en-GB"/>
        </w:rPr>
        <w:t>C global warming potential</w:t>
      </w:r>
      <w:r w:rsidR="1369B7A7" w:rsidRPr="59587566">
        <w:rPr>
          <w:rFonts w:eastAsia="Calibri" w:cs="Calibri"/>
          <w:color w:val="0C0C0C" w:themeColor="text1"/>
          <w:sz w:val="22"/>
          <w:szCs w:val="22"/>
          <w:lang w:val="en-GB"/>
        </w:rPr>
        <w:t xml:space="preserve">, </w:t>
      </w:r>
      <w:r w:rsidR="2215ED7D" w:rsidRPr="59587566">
        <w:rPr>
          <w:rFonts w:eastAsia="Calibri" w:cs="Calibri"/>
          <w:color w:val="0C0C0C" w:themeColor="text1"/>
          <w:sz w:val="22"/>
          <w:szCs w:val="22"/>
          <w:lang w:val="en-GB"/>
        </w:rPr>
        <w:t>as depicted in Figure</w:t>
      </w:r>
      <w:r w:rsidR="7B455A4A" w:rsidRPr="59587566">
        <w:rPr>
          <w:rFonts w:eastAsia="Calibri" w:cs="Calibri"/>
          <w:color w:val="0C0C0C" w:themeColor="text1"/>
          <w:sz w:val="22"/>
          <w:szCs w:val="22"/>
          <w:lang w:val="en-GB"/>
        </w:rPr>
        <w:t xml:space="preserve"> </w:t>
      </w:r>
      <w:r w:rsidR="007E37EB">
        <w:rPr>
          <w:rFonts w:eastAsia="Calibri" w:cs="Calibri"/>
          <w:color w:val="0C0C0C" w:themeColor="text1"/>
          <w:sz w:val="22"/>
          <w:szCs w:val="22"/>
          <w:lang w:val="en-GB"/>
        </w:rPr>
        <w:t>7</w:t>
      </w:r>
      <w:r w:rsidR="2215ED7D" w:rsidRPr="59587566">
        <w:rPr>
          <w:rFonts w:eastAsia="Calibri" w:cs="Calibri"/>
          <w:sz w:val="22"/>
          <w:szCs w:val="22"/>
          <w:lang w:val="en-GB"/>
        </w:rPr>
        <w:t xml:space="preserve"> (</w:t>
      </w:r>
      <w:proofErr w:type="spellStart"/>
      <w:r w:rsidR="2215ED7D" w:rsidRPr="59587566">
        <w:rPr>
          <w:rFonts w:eastAsia="Calibri" w:cs="Calibri"/>
          <w:sz w:val="22"/>
          <w:szCs w:val="22"/>
          <w:lang w:val="en-GB"/>
        </w:rPr>
        <w:t>Prussi</w:t>
      </w:r>
      <w:proofErr w:type="spellEnd"/>
      <w:r w:rsidR="2215ED7D" w:rsidRPr="59587566">
        <w:rPr>
          <w:rFonts w:eastAsia="Calibri" w:cs="Calibri"/>
          <w:sz w:val="22"/>
          <w:szCs w:val="22"/>
          <w:lang w:val="en-GB"/>
        </w:rPr>
        <w:t xml:space="preserve"> et al., 2021)</w:t>
      </w:r>
      <w:r w:rsidR="2215ED7D" w:rsidRPr="59587566">
        <w:rPr>
          <w:rFonts w:eastAsia="Calibri" w:cs="Calibri"/>
          <w:color w:val="0C0C0C" w:themeColor="text1"/>
          <w:sz w:val="22"/>
          <w:szCs w:val="22"/>
          <w:lang w:val="en-GB"/>
        </w:rPr>
        <w:t xml:space="preserve">. </w:t>
      </w:r>
      <w:r w:rsidR="5BAF9AFB" w:rsidRPr="59587566">
        <w:rPr>
          <w:rFonts w:eastAsia="Calibri" w:cs="Calibri"/>
          <w:color w:val="0C0C0C" w:themeColor="text1"/>
          <w:sz w:val="22"/>
          <w:szCs w:val="22"/>
          <w:lang w:val="en-GB"/>
        </w:rPr>
        <w:t xml:space="preserve"> Scenarios I, II and 1.5 °C consider</w:t>
      </w:r>
      <w:r w:rsidR="22772104" w:rsidRPr="59587566">
        <w:rPr>
          <w:rFonts w:eastAsia="Calibri" w:cs="Calibri"/>
          <w:color w:val="0C0C0C" w:themeColor="text1"/>
          <w:sz w:val="22"/>
          <w:szCs w:val="22"/>
          <w:lang w:val="en-GB"/>
        </w:rPr>
        <w:t xml:space="preserve"> </w:t>
      </w:r>
      <w:r w:rsidR="49843C13" w:rsidRPr="59587566">
        <w:rPr>
          <w:rFonts w:eastAsia="Calibri" w:cs="Calibri"/>
          <w:color w:val="0C0C0C" w:themeColor="text1"/>
          <w:sz w:val="22"/>
          <w:szCs w:val="22"/>
          <w:lang w:val="en-GB"/>
        </w:rPr>
        <w:t xml:space="preserve">a biofuel uptake </w:t>
      </w:r>
      <w:r w:rsidR="49843C13" w:rsidRPr="59587566">
        <w:rPr>
          <w:rFonts w:eastAsia="Calibri" w:cs="Calibri"/>
          <w:sz w:val="22"/>
          <w:szCs w:val="22"/>
          <w:lang w:val="en-GB"/>
        </w:rPr>
        <w:t>of 37 %, 54 % and 54 %, respectively.</w:t>
      </w:r>
    </w:p>
    <w:p w14:paraId="4F3E057E" w14:textId="77777777" w:rsidR="00244B79" w:rsidRDefault="00244B79" w:rsidP="59587566">
      <w:pPr>
        <w:spacing w:line="360" w:lineRule="auto"/>
        <w:ind w:firstLine="720"/>
        <w:rPr>
          <w:szCs w:val="21"/>
          <w:lang w:val="en-GB"/>
        </w:rPr>
      </w:pPr>
    </w:p>
    <w:p w14:paraId="033717C7" w14:textId="77777777" w:rsidR="00092EB5" w:rsidRDefault="007E37EB" w:rsidP="00092EB5">
      <w:pPr>
        <w:keepNext/>
        <w:spacing w:line="360" w:lineRule="auto"/>
        <w:ind w:firstLine="720"/>
      </w:pPr>
      <w:r>
        <w:rPr>
          <w:noProof/>
        </w:rPr>
        <w:lastRenderedPageBreak/>
        <w:drawing>
          <wp:inline distT="0" distB="0" distL="0" distR="0" wp14:anchorId="76514292" wp14:editId="2673DAF2">
            <wp:extent cx="5388926" cy="2469924"/>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88926" cy="2469924"/>
                    </a:xfrm>
                    <a:prstGeom prst="rect">
                      <a:avLst/>
                    </a:prstGeom>
                  </pic:spPr>
                </pic:pic>
              </a:graphicData>
            </a:graphic>
          </wp:inline>
        </w:drawing>
      </w:r>
    </w:p>
    <w:p w14:paraId="71EE6A61" w14:textId="4B6438F8" w:rsidR="4A4C348F" w:rsidRDefault="00092EB5" w:rsidP="00092EB5">
      <w:pPr>
        <w:pStyle w:val="Caption"/>
        <w:jc w:val="center"/>
        <w:rPr>
          <w:szCs w:val="21"/>
        </w:rPr>
      </w:pPr>
      <w:bookmarkStart w:id="32" w:name="_Toc84018242"/>
      <w:r>
        <w:t xml:space="preserve">Figure </w:t>
      </w:r>
      <w:fldSimple w:instr=" SEQ Figure \* ARABIC ">
        <w:r w:rsidR="00945B67">
          <w:rPr>
            <w:noProof/>
          </w:rPr>
          <w:t>7</w:t>
        </w:r>
      </w:fldSimple>
      <w:r>
        <w:t xml:space="preserve">. </w:t>
      </w:r>
      <w:r w:rsidRPr="001A50D5">
        <w:t>European Commission 2050 long-term scenarios for maritime fuel mix</w:t>
      </w:r>
      <w:r>
        <w:t xml:space="preserve"> (source</w:t>
      </w:r>
      <w:r w:rsidR="00244B79">
        <w:t>:</w:t>
      </w:r>
      <w:r>
        <w:t xml:space="preserve"> </w:t>
      </w:r>
      <w:proofErr w:type="spellStart"/>
      <w:r>
        <w:t>Prussi</w:t>
      </w:r>
      <w:proofErr w:type="spellEnd"/>
      <w:r>
        <w:t xml:space="preserve"> et al., 2021)</w:t>
      </w:r>
      <w:bookmarkEnd w:id="32"/>
    </w:p>
    <w:p w14:paraId="325E7E2C" w14:textId="77777777" w:rsidR="007E37EB" w:rsidRDefault="007E37EB" w:rsidP="59587566">
      <w:pPr>
        <w:spacing w:line="360" w:lineRule="auto"/>
        <w:jc w:val="center"/>
        <w:rPr>
          <w:rFonts w:eastAsia="Calibri" w:cs="Calibri"/>
          <w:sz w:val="22"/>
          <w:szCs w:val="22"/>
          <w:lang w:val="en-GB"/>
        </w:rPr>
      </w:pPr>
    </w:p>
    <w:p w14:paraId="5972571E" w14:textId="3D52DD80" w:rsidR="00C53804" w:rsidRPr="00650B23" w:rsidRDefault="654CA926" w:rsidP="005D6854">
      <w:pPr>
        <w:pStyle w:val="Heading2"/>
      </w:pPr>
      <w:bookmarkStart w:id="33" w:name="_Toc84019457"/>
      <w:r>
        <w:t>Pricing</w:t>
      </w:r>
      <w:bookmarkEnd w:id="33"/>
    </w:p>
    <w:p w14:paraId="26D61B91" w14:textId="6653826D" w:rsidR="00C53804" w:rsidRPr="00650B23" w:rsidRDefault="00C53804" w:rsidP="65215FB1"/>
    <w:p w14:paraId="5CF19AE5" w14:textId="72FF6311" w:rsidR="00C53804" w:rsidRPr="00650B23" w:rsidRDefault="4FE1F1F2" w:rsidP="59587566">
      <w:pPr>
        <w:spacing w:after="120" w:line="360" w:lineRule="auto"/>
        <w:ind w:firstLine="720"/>
        <w:rPr>
          <w:rFonts w:asciiTheme="majorHAnsi" w:eastAsiaTheme="majorEastAsia" w:hAnsiTheme="majorHAnsi" w:cstheme="majorBidi"/>
          <w:sz w:val="22"/>
          <w:szCs w:val="22"/>
          <w:lang w:val="en-GB"/>
        </w:rPr>
      </w:pPr>
      <w:r w:rsidRPr="59587566">
        <w:rPr>
          <w:rFonts w:asciiTheme="majorHAnsi" w:eastAsiaTheme="majorEastAsia" w:hAnsiTheme="majorHAnsi" w:cstheme="majorBidi"/>
          <w:sz w:val="22"/>
          <w:szCs w:val="22"/>
          <w:lang w:val="en-GB"/>
        </w:rPr>
        <w:t xml:space="preserve">Price is usually the most impacting factor on </w:t>
      </w:r>
      <w:r w:rsidR="3B7D5F31" w:rsidRPr="59587566">
        <w:rPr>
          <w:rFonts w:asciiTheme="majorHAnsi" w:eastAsiaTheme="majorEastAsia" w:hAnsiTheme="majorHAnsi" w:cstheme="majorBidi"/>
          <w:sz w:val="22"/>
          <w:szCs w:val="22"/>
          <w:lang w:val="en-GB"/>
        </w:rPr>
        <w:t>costumers'</w:t>
      </w:r>
      <w:r w:rsidRPr="59587566">
        <w:rPr>
          <w:rFonts w:asciiTheme="majorHAnsi" w:eastAsiaTheme="majorEastAsia" w:hAnsiTheme="majorHAnsi" w:cstheme="majorBidi"/>
          <w:sz w:val="22"/>
          <w:szCs w:val="22"/>
          <w:lang w:val="en-GB"/>
        </w:rPr>
        <w:t xml:space="preserve"> decision making. Fossil fuels, on </w:t>
      </w:r>
      <w:r w:rsidR="796EBD1A" w:rsidRPr="59587566">
        <w:rPr>
          <w:rFonts w:asciiTheme="majorHAnsi" w:eastAsiaTheme="majorEastAsia" w:hAnsiTheme="majorHAnsi" w:cstheme="majorBidi"/>
          <w:sz w:val="22"/>
          <w:szCs w:val="22"/>
          <w:lang w:val="en-GB"/>
        </w:rPr>
        <w:t>this</w:t>
      </w:r>
      <w:r w:rsidRPr="59587566">
        <w:rPr>
          <w:rFonts w:asciiTheme="majorHAnsi" w:eastAsiaTheme="majorEastAsia" w:hAnsiTheme="majorHAnsi" w:cstheme="majorBidi"/>
          <w:sz w:val="22"/>
          <w:szCs w:val="22"/>
          <w:lang w:val="en-GB"/>
        </w:rPr>
        <w:t xml:space="preserve"> regard, have enormous advanta</w:t>
      </w:r>
      <w:r w:rsidR="66FCC257" w:rsidRPr="59587566">
        <w:rPr>
          <w:rFonts w:asciiTheme="majorHAnsi" w:eastAsiaTheme="majorEastAsia" w:hAnsiTheme="majorHAnsi" w:cstheme="majorBidi"/>
          <w:sz w:val="22"/>
          <w:szCs w:val="22"/>
          <w:lang w:val="en-GB"/>
        </w:rPr>
        <w:t>ge</w:t>
      </w:r>
      <w:r w:rsidR="5DB5988D" w:rsidRPr="59587566">
        <w:rPr>
          <w:rFonts w:asciiTheme="majorHAnsi" w:eastAsiaTheme="majorEastAsia" w:hAnsiTheme="majorHAnsi" w:cstheme="majorBidi"/>
          <w:sz w:val="22"/>
          <w:szCs w:val="22"/>
          <w:lang w:val="en-GB"/>
        </w:rPr>
        <w:t xml:space="preserve"> on biofuels</w:t>
      </w:r>
      <w:r w:rsidR="481C2182" w:rsidRPr="59587566">
        <w:rPr>
          <w:rFonts w:asciiTheme="majorHAnsi" w:eastAsiaTheme="majorEastAsia" w:hAnsiTheme="majorHAnsi" w:cstheme="majorBidi"/>
          <w:sz w:val="22"/>
          <w:szCs w:val="22"/>
          <w:lang w:val="en-GB"/>
        </w:rPr>
        <w:t xml:space="preserve">. The higher </w:t>
      </w:r>
      <w:r w:rsidR="786C0C1A" w:rsidRPr="59587566">
        <w:rPr>
          <w:rFonts w:asciiTheme="majorHAnsi" w:eastAsiaTheme="majorEastAsia" w:hAnsiTheme="majorHAnsi" w:cstheme="majorBidi"/>
          <w:sz w:val="22"/>
          <w:szCs w:val="22"/>
          <w:lang w:val="en-GB"/>
        </w:rPr>
        <w:t xml:space="preserve">prices of </w:t>
      </w:r>
      <w:r w:rsidR="481C2182" w:rsidRPr="59587566">
        <w:rPr>
          <w:rFonts w:asciiTheme="majorHAnsi" w:eastAsiaTheme="majorEastAsia" w:hAnsiTheme="majorHAnsi" w:cstheme="majorBidi"/>
          <w:sz w:val="22"/>
          <w:szCs w:val="22"/>
          <w:lang w:val="en-GB"/>
        </w:rPr>
        <w:t xml:space="preserve">biofuel are mostly </w:t>
      </w:r>
      <w:r w:rsidR="56D28CA3" w:rsidRPr="59587566">
        <w:rPr>
          <w:rFonts w:asciiTheme="majorHAnsi" w:eastAsiaTheme="majorEastAsia" w:hAnsiTheme="majorHAnsi" w:cstheme="majorBidi"/>
          <w:sz w:val="22"/>
          <w:szCs w:val="22"/>
          <w:lang w:val="en-GB"/>
        </w:rPr>
        <w:t xml:space="preserve">attributed to </w:t>
      </w:r>
      <w:r w:rsidR="00963F36">
        <w:rPr>
          <w:rFonts w:asciiTheme="majorHAnsi" w:eastAsiaTheme="majorEastAsia" w:hAnsiTheme="majorHAnsi" w:cstheme="majorBidi"/>
          <w:sz w:val="22"/>
          <w:szCs w:val="22"/>
          <w:lang w:val="en-GB"/>
        </w:rPr>
        <w:t>its</w:t>
      </w:r>
      <w:r w:rsidR="56D28CA3" w:rsidRPr="59587566">
        <w:rPr>
          <w:rFonts w:asciiTheme="majorHAnsi" w:eastAsiaTheme="majorEastAsia" w:hAnsiTheme="majorHAnsi" w:cstheme="majorBidi"/>
          <w:sz w:val="22"/>
          <w:szCs w:val="22"/>
          <w:lang w:val="en-GB"/>
        </w:rPr>
        <w:t xml:space="preserve"> production and feedstock costs. </w:t>
      </w:r>
      <w:r w:rsidR="3710F14C" w:rsidRPr="59587566">
        <w:rPr>
          <w:rFonts w:asciiTheme="majorHAnsi" w:eastAsiaTheme="majorEastAsia" w:hAnsiTheme="majorHAnsi" w:cstheme="majorBidi"/>
          <w:sz w:val="22"/>
          <w:szCs w:val="22"/>
          <w:lang w:val="en-GB"/>
        </w:rPr>
        <w:t>Nevertheless, overall p</w:t>
      </w:r>
      <w:r w:rsidR="56D28CA3" w:rsidRPr="59587566">
        <w:rPr>
          <w:rFonts w:asciiTheme="majorHAnsi" w:eastAsiaTheme="majorEastAsia" w:hAnsiTheme="majorHAnsi" w:cstheme="majorBidi"/>
          <w:sz w:val="22"/>
          <w:szCs w:val="22"/>
          <w:lang w:val="en-GB"/>
        </w:rPr>
        <w:t>rices tend to dec</w:t>
      </w:r>
      <w:r w:rsidR="1920A23E" w:rsidRPr="59587566">
        <w:rPr>
          <w:rFonts w:asciiTheme="majorHAnsi" w:eastAsiaTheme="majorEastAsia" w:hAnsiTheme="majorHAnsi" w:cstheme="majorBidi"/>
          <w:sz w:val="22"/>
          <w:szCs w:val="22"/>
          <w:lang w:val="en-GB"/>
        </w:rPr>
        <w:t xml:space="preserve">rease </w:t>
      </w:r>
      <w:r w:rsidR="19A7FEE7" w:rsidRPr="59587566">
        <w:rPr>
          <w:rFonts w:asciiTheme="majorHAnsi" w:eastAsiaTheme="majorEastAsia" w:hAnsiTheme="majorHAnsi" w:cstheme="majorBidi"/>
          <w:sz w:val="22"/>
          <w:szCs w:val="22"/>
          <w:lang w:val="en-GB"/>
        </w:rPr>
        <w:t xml:space="preserve">with time as a consequence </w:t>
      </w:r>
      <w:r w:rsidR="2912F4EF" w:rsidRPr="59587566">
        <w:rPr>
          <w:rFonts w:asciiTheme="majorHAnsi" w:eastAsiaTheme="majorEastAsia" w:hAnsiTheme="majorHAnsi" w:cstheme="majorBidi"/>
          <w:sz w:val="22"/>
          <w:szCs w:val="22"/>
          <w:lang w:val="en-GB"/>
        </w:rPr>
        <w:t>of technology development and economy of scale</w:t>
      </w:r>
      <w:r w:rsidR="008F4F1A">
        <w:rPr>
          <w:rFonts w:asciiTheme="majorHAnsi" w:eastAsiaTheme="majorEastAsia" w:hAnsiTheme="majorHAnsi" w:cstheme="majorBidi"/>
          <w:sz w:val="22"/>
          <w:szCs w:val="22"/>
          <w:lang w:val="en-GB"/>
        </w:rPr>
        <w:t xml:space="preserve"> </w:t>
      </w:r>
      <w:r w:rsidR="00943179" w:rsidRPr="59587566">
        <w:rPr>
          <w:rFonts w:asciiTheme="majorHAnsi" w:eastAsiaTheme="majorEastAsia" w:hAnsiTheme="majorHAnsi" w:cstheme="majorBidi"/>
          <w:sz w:val="22"/>
          <w:szCs w:val="22"/>
          <w:lang w:val="en-GB"/>
        </w:rPr>
        <w:t>(Brown et al., 2020).</w:t>
      </w:r>
      <w:r w:rsidR="1DB5C4B7" w:rsidRPr="59587566">
        <w:rPr>
          <w:rFonts w:asciiTheme="majorHAnsi" w:eastAsiaTheme="majorEastAsia" w:hAnsiTheme="majorHAnsi" w:cstheme="majorBidi"/>
          <w:sz w:val="22"/>
          <w:szCs w:val="22"/>
          <w:lang w:val="en-GB"/>
        </w:rPr>
        <w:t xml:space="preserve"> </w:t>
      </w:r>
      <w:r w:rsidR="1920A23E" w:rsidRPr="59587566">
        <w:rPr>
          <w:rFonts w:asciiTheme="majorHAnsi" w:eastAsiaTheme="majorEastAsia" w:hAnsiTheme="majorHAnsi" w:cstheme="majorBidi"/>
          <w:sz w:val="22"/>
          <w:szCs w:val="22"/>
          <w:lang w:val="en-GB"/>
        </w:rPr>
        <w:t xml:space="preserve"> </w:t>
      </w:r>
      <w:r w:rsidR="56D28CA3" w:rsidRPr="59587566">
        <w:rPr>
          <w:rFonts w:asciiTheme="majorHAnsi" w:eastAsiaTheme="majorEastAsia" w:hAnsiTheme="majorHAnsi" w:cstheme="majorBidi"/>
          <w:sz w:val="22"/>
          <w:szCs w:val="22"/>
          <w:lang w:val="en-GB"/>
        </w:rPr>
        <w:t xml:space="preserve"> </w:t>
      </w:r>
    </w:p>
    <w:p w14:paraId="14305A17" w14:textId="718A81FB" w:rsidR="00C53804" w:rsidRPr="00650B23" w:rsidRDefault="3056F505" w:rsidP="59587566">
      <w:pPr>
        <w:spacing w:after="120" w:line="360" w:lineRule="auto"/>
        <w:ind w:firstLine="720"/>
        <w:rPr>
          <w:rFonts w:asciiTheme="majorHAnsi" w:eastAsiaTheme="majorEastAsia" w:hAnsiTheme="majorHAnsi" w:cstheme="majorBidi"/>
          <w:sz w:val="22"/>
          <w:szCs w:val="22"/>
          <w:lang w:val="en-GB"/>
        </w:rPr>
      </w:pPr>
      <w:r w:rsidRPr="59587566">
        <w:rPr>
          <w:rFonts w:asciiTheme="majorHAnsi" w:eastAsiaTheme="majorEastAsia" w:hAnsiTheme="majorHAnsi" w:cstheme="majorBidi"/>
          <w:sz w:val="22"/>
          <w:szCs w:val="22"/>
          <w:lang w:val="en-GB"/>
        </w:rPr>
        <w:t xml:space="preserve">Feedstock </w:t>
      </w:r>
      <w:r w:rsidR="1A899612" w:rsidRPr="59587566">
        <w:rPr>
          <w:rFonts w:asciiTheme="majorHAnsi" w:eastAsiaTheme="majorEastAsia" w:hAnsiTheme="majorHAnsi" w:cstheme="majorBidi"/>
          <w:sz w:val="22"/>
          <w:szCs w:val="22"/>
          <w:lang w:val="en-GB"/>
        </w:rPr>
        <w:t xml:space="preserve">availability </w:t>
      </w:r>
      <w:r w:rsidRPr="59587566">
        <w:rPr>
          <w:rFonts w:asciiTheme="majorHAnsi" w:eastAsiaTheme="majorEastAsia" w:hAnsiTheme="majorHAnsi" w:cstheme="majorBidi"/>
          <w:sz w:val="22"/>
          <w:szCs w:val="22"/>
          <w:lang w:val="en-GB"/>
        </w:rPr>
        <w:t xml:space="preserve">is </w:t>
      </w:r>
      <w:r w:rsidR="3461C46B" w:rsidRPr="59587566">
        <w:rPr>
          <w:rFonts w:asciiTheme="majorHAnsi" w:eastAsiaTheme="majorEastAsia" w:hAnsiTheme="majorHAnsi" w:cstheme="majorBidi"/>
          <w:sz w:val="22"/>
          <w:szCs w:val="22"/>
          <w:lang w:val="en-GB"/>
        </w:rPr>
        <w:t xml:space="preserve">a </w:t>
      </w:r>
      <w:r w:rsidR="3D7E906C" w:rsidRPr="59587566">
        <w:rPr>
          <w:rFonts w:asciiTheme="majorHAnsi" w:eastAsiaTheme="majorEastAsia" w:hAnsiTheme="majorHAnsi" w:cstheme="majorBidi"/>
          <w:sz w:val="22"/>
          <w:szCs w:val="22"/>
          <w:lang w:val="en-GB"/>
        </w:rPr>
        <w:t xml:space="preserve">crucial variable </w:t>
      </w:r>
      <w:r w:rsidR="3D018EA8" w:rsidRPr="59587566">
        <w:rPr>
          <w:rFonts w:asciiTheme="majorHAnsi" w:eastAsiaTheme="majorEastAsia" w:hAnsiTheme="majorHAnsi" w:cstheme="majorBidi"/>
          <w:sz w:val="22"/>
          <w:szCs w:val="22"/>
          <w:lang w:val="en-GB"/>
        </w:rPr>
        <w:t>affecting</w:t>
      </w:r>
      <w:r w:rsidR="142F60AE" w:rsidRPr="59587566">
        <w:rPr>
          <w:rFonts w:asciiTheme="majorHAnsi" w:eastAsiaTheme="majorEastAsia" w:hAnsiTheme="majorHAnsi" w:cstheme="majorBidi"/>
          <w:sz w:val="22"/>
          <w:szCs w:val="22"/>
          <w:lang w:val="en-GB"/>
        </w:rPr>
        <w:t xml:space="preserve"> biofuel </w:t>
      </w:r>
      <w:r w:rsidR="30026651" w:rsidRPr="59587566">
        <w:rPr>
          <w:rFonts w:asciiTheme="majorHAnsi" w:eastAsiaTheme="majorEastAsia" w:hAnsiTheme="majorHAnsi" w:cstheme="majorBidi"/>
          <w:sz w:val="22"/>
          <w:szCs w:val="22"/>
          <w:lang w:val="en-GB"/>
        </w:rPr>
        <w:t xml:space="preserve">production </w:t>
      </w:r>
      <w:r w:rsidR="142F60AE" w:rsidRPr="59587566">
        <w:rPr>
          <w:rFonts w:asciiTheme="majorHAnsi" w:eastAsiaTheme="majorEastAsia" w:hAnsiTheme="majorHAnsi" w:cstheme="majorBidi"/>
          <w:sz w:val="22"/>
          <w:szCs w:val="22"/>
          <w:lang w:val="en-GB"/>
        </w:rPr>
        <w:t>cost</w:t>
      </w:r>
      <w:r w:rsidR="05F3196D" w:rsidRPr="59587566">
        <w:rPr>
          <w:rFonts w:asciiTheme="majorHAnsi" w:eastAsiaTheme="majorEastAsia" w:hAnsiTheme="majorHAnsi" w:cstheme="majorBidi"/>
          <w:sz w:val="22"/>
          <w:szCs w:val="22"/>
          <w:lang w:val="en-GB"/>
        </w:rPr>
        <w:t xml:space="preserve">. </w:t>
      </w:r>
      <w:r w:rsidR="4121BA56" w:rsidRPr="59587566">
        <w:rPr>
          <w:rFonts w:asciiTheme="majorHAnsi" w:eastAsiaTheme="majorEastAsia" w:hAnsiTheme="majorHAnsi" w:cstheme="majorBidi"/>
          <w:sz w:val="22"/>
          <w:szCs w:val="22"/>
          <w:lang w:val="en-GB"/>
        </w:rPr>
        <w:t>For processes based on lignocellulosic residues, feedstock price</w:t>
      </w:r>
      <w:r w:rsidR="184490E0" w:rsidRPr="59587566">
        <w:rPr>
          <w:rFonts w:asciiTheme="majorHAnsi" w:eastAsiaTheme="majorEastAsia" w:hAnsiTheme="majorHAnsi" w:cstheme="majorBidi"/>
          <w:sz w:val="22"/>
          <w:szCs w:val="22"/>
          <w:lang w:val="en-GB"/>
        </w:rPr>
        <w:t xml:space="preserve"> </w:t>
      </w:r>
      <w:r w:rsidR="379625AB" w:rsidRPr="59587566">
        <w:rPr>
          <w:rFonts w:asciiTheme="majorHAnsi" w:eastAsiaTheme="majorEastAsia" w:hAnsiTheme="majorHAnsi" w:cstheme="majorBidi"/>
          <w:sz w:val="22"/>
          <w:szCs w:val="22"/>
          <w:lang w:val="en-GB"/>
        </w:rPr>
        <w:t>accounts for</w:t>
      </w:r>
      <w:r w:rsidR="184490E0" w:rsidRPr="59587566">
        <w:rPr>
          <w:rFonts w:asciiTheme="majorHAnsi" w:eastAsiaTheme="majorEastAsia" w:hAnsiTheme="majorHAnsi" w:cstheme="majorBidi"/>
          <w:sz w:val="22"/>
          <w:szCs w:val="22"/>
          <w:lang w:val="en-GB"/>
        </w:rPr>
        <w:t xml:space="preserve"> 10 % to 20% of the production cost (</w:t>
      </w:r>
      <w:proofErr w:type="spellStart"/>
      <w:r w:rsidR="184490E0" w:rsidRPr="59587566">
        <w:rPr>
          <w:rFonts w:asciiTheme="majorHAnsi" w:eastAsiaTheme="majorEastAsia" w:hAnsiTheme="majorHAnsi" w:cstheme="majorBidi"/>
          <w:sz w:val="22"/>
          <w:szCs w:val="22"/>
          <w:lang w:val="en-GB"/>
        </w:rPr>
        <w:t>Tanzer</w:t>
      </w:r>
      <w:proofErr w:type="spellEnd"/>
      <w:r w:rsidR="184490E0" w:rsidRPr="59587566">
        <w:rPr>
          <w:rFonts w:asciiTheme="majorHAnsi" w:eastAsiaTheme="majorEastAsia" w:hAnsiTheme="majorHAnsi" w:cstheme="majorBidi"/>
          <w:sz w:val="22"/>
          <w:szCs w:val="22"/>
          <w:lang w:val="en-GB"/>
        </w:rPr>
        <w:t xml:space="preserve"> </w:t>
      </w:r>
      <w:r w:rsidR="166B9680" w:rsidRPr="59587566">
        <w:rPr>
          <w:rFonts w:asciiTheme="majorHAnsi" w:eastAsiaTheme="majorEastAsia" w:hAnsiTheme="majorHAnsi" w:cstheme="majorBidi"/>
          <w:sz w:val="22"/>
          <w:szCs w:val="22"/>
          <w:lang w:val="en-GB"/>
        </w:rPr>
        <w:t xml:space="preserve">et al., </w:t>
      </w:r>
      <w:r w:rsidR="184490E0" w:rsidRPr="59587566">
        <w:rPr>
          <w:rFonts w:asciiTheme="majorHAnsi" w:eastAsiaTheme="majorEastAsia" w:hAnsiTheme="majorHAnsi" w:cstheme="majorBidi"/>
          <w:sz w:val="22"/>
          <w:szCs w:val="22"/>
          <w:lang w:val="en-GB"/>
        </w:rPr>
        <w:t>2019)</w:t>
      </w:r>
      <w:r w:rsidR="3938723C" w:rsidRPr="59587566">
        <w:rPr>
          <w:rFonts w:asciiTheme="majorHAnsi" w:eastAsiaTheme="majorEastAsia" w:hAnsiTheme="majorHAnsi" w:cstheme="majorBidi"/>
          <w:sz w:val="22"/>
          <w:szCs w:val="22"/>
          <w:lang w:val="en-GB"/>
        </w:rPr>
        <w:t xml:space="preserve">, whereas it </w:t>
      </w:r>
      <w:r w:rsidR="2E1CCC31" w:rsidRPr="59587566">
        <w:rPr>
          <w:rFonts w:asciiTheme="majorHAnsi" w:eastAsiaTheme="majorEastAsia" w:hAnsiTheme="majorHAnsi" w:cstheme="majorBidi"/>
          <w:sz w:val="22"/>
          <w:szCs w:val="22"/>
          <w:lang w:val="en-GB"/>
        </w:rPr>
        <w:t>might</w:t>
      </w:r>
      <w:r w:rsidR="3938723C" w:rsidRPr="59587566">
        <w:rPr>
          <w:rFonts w:asciiTheme="majorHAnsi" w:eastAsiaTheme="majorEastAsia" w:hAnsiTheme="majorHAnsi" w:cstheme="majorBidi"/>
          <w:sz w:val="22"/>
          <w:szCs w:val="22"/>
          <w:lang w:val="en-GB"/>
        </w:rPr>
        <w:t xml:space="preserve"> represent </w:t>
      </w:r>
      <w:r w:rsidR="09A37D19" w:rsidRPr="59587566">
        <w:rPr>
          <w:rFonts w:asciiTheme="majorHAnsi" w:eastAsiaTheme="majorEastAsia" w:hAnsiTheme="majorHAnsi" w:cstheme="majorBidi"/>
          <w:sz w:val="22"/>
          <w:szCs w:val="22"/>
          <w:lang w:val="en-GB"/>
        </w:rPr>
        <w:t>up to</w:t>
      </w:r>
      <w:r w:rsidR="3938723C" w:rsidRPr="59587566">
        <w:rPr>
          <w:rFonts w:asciiTheme="majorHAnsi" w:eastAsiaTheme="majorEastAsia" w:hAnsiTheme="majorHAnsi" w:cstheme="majorBidi"/>
          <w:sz w:val="22"/>
          <w:szCs w:val="22"/>
          <w:lang w:val="en-GB"/>
        </w:rPr>
        <w:t xml:space="preserve"> 60 % </w:t>
      </w:r>
      <w:r w:rsidR="4FAB1933" w:rsidRPr="59587566">
        <w:rPr>
          <w:rFonts w:asciiTheme="majorHAnsi" w:eastAsiaTheme="majorEastAsia" w:hAnsiTheme="majorHAnsi" w:cstheme="majorBidi"/>
          <w:sz w:val="22"/>
          <w:szCs w:val="22"/>
          <w:lang w:val="en-GB"/>
        </w:rPr>
        <w:t xml:space="preserve">for other processes </w:t>
      </w:r>
      <w:r w:rsidR="6CF99591" w:rsidRPr="59587566">
        <w:rPr>
          <w:rFonts w:asciiTheme="majorHAnsi" w:eastAsiaTheme="majorEastAsia" w:hAnsiTheme="majorHAnsi" w:cstheme="majorBidi"/>
          <w:sz w:val="22"/>
          <w:szCs w:val="22"/>
          <w:lang w:val="en-GB"/>
        </w:rPr>
        <w:t>(Brown et al., 2020).</w:t>
      </w:r>
      <w:r w:rsidR="6D7F0BF2" w:rsidRPr="59587566">
        <w:rPr>
          <w:rFonts w:asciiTheme="majorHAnsi" w:eastAsiaTheme="majorEastAsia" w:hAnsiTheme="majorHAnsi" w:cstheme="majorBidi"/>
          <w:sz w:val="22"/>
          <w:szCs w:val="22"/>
          <w:lang w:val="en-GB"/>
        </w:rPr>
        <w:t xml:space="preserve"> </w:t>
      </w:r>
    </w:p>
    <w:p w14:paraId="3C34CEBD" w14:textId="3C1BCCD5" w:rsidR="0F8FE80C" w:rsidRDefault="0F8FE80C" w:rsidP="59587566">
      <w:pPr>
        <w:spacing w:after="120" w:line="360" w:lineRule="auto"/>
        <w:ind w:firstLine="720"/>
        <w:rPr>
          <w:rFonts w:asciiTheme="minorHAnsi" w:eastAsiaTheme="minorEastAsia" w:hAnsiTheme="minorHAnsi" w:cstheme="minorBidi"/>
          <w:sz w:val="22"/>
          <w:szCs w:val="22"/>
        </w:rPr>
      </w:pPr>
      <w:r w:rsidRPr="59587566">
        <w:rPr>
          <w:rFonts w:asciiTheme="minorHAnsi" w:eastAsiaTheme="minorEastAsia" w:hAnsiTheme="minorHAnsi" w:cstheme="minorBidi"/>
          <w:sz w:val="22"/>
          <w:szCs w:val="22"/>
        </w:rPr>
        <w:t>While predicting the price of future biofuels can represent a challenging task</w:t>
      </w:r>
      <w:r w:rsidR="03C4A1AD" w:rsidRPr="59587566">
        <w:rPr>
          <w:rFonts w:asciiTheme="minorHAnsi" w:eastAsiaTheme="minorEastAsia" w:hAnsiTheme="minorHAnsi" w:cstheme="minorBidi"/>
          <w:sz w:val="22"/>
          <w:szCs w:val="22"/>
        </w:rPr>
        <w:t xml:space="preserve">, </w:t>
      </w:r>
      <w:r w:rsidR="0610DF70" w:rsidRPr="59587566">
        <w:rPr>
          <w:rFonts w:asciiTheme="minorHAnsi" w:eastAsiaTheme="minorEastAsia" w:hAnsiTheme="minorHAnsi" w:cstheme="minorBidi"/>
          <w:sz w:val="22"/>
          <w:szCs w:val="22"/>
        </w:rPr>
        <w:t>especially</w:t>
      </w:r>
      <w:r w:rsidR="03C4A1AD" w:rsidRPr="59587566">
        <w:rPr>
          <w:rFonts w:asciiTheme="minorHAnsi" w:eastAsiaTheme="minorEastAsia" w:hAnsiTheme="minorHAnsi" w:cstheme="minorBidi"/>
          <w:sz w:val="22"/>
          <w:szCs w:val="22"/>
        </w:rPr>
        <w:t xml:space="preserve"> </w:t>
      </w:r>
      <w:r w:rsidR="65635208" w:rsidRPr="59587566">
        <w:rPr>
          <w:rFonts w:asciiTheme="minorHAnsi" w:eastAsiaTheme="minorEastAsia" w:hAnsiTheme="minorHAnsi" w:cstheme="minorBidi"/>
          <w:sz w:val="22"/>
          <w:szCs w:val="22"/>
        </w:rPr>
        <w:t xml:space="preserve">for </w:t>
      </w:r>
      <w:r w:rsidR="03C4A1AD" w:rsidRPr="59587566">
        <w:rPr>
          <w:rFonts w:asciiTheme="minorHAnsi" w:eastAsiaTheme="minorEastAsia" w:hAnsiTheme="minorHAnsi" w:cstheme="minorBidi"/>
          <w:sz w:val="22"/>
          <w:szCs w:val="22"/>
        </w:rPr>
        <w:t>post-COVID time</w:t>
      </w:r>
      <w:r w:rsidRPr="59587566">
        <w:rPr>
          <w:rFonts w:asciiTheme="minorHAnsi" w:eastAsiaTheme="minorEastAsia" w:hAnsiTheme="minorHAnsi" w:cstheme="minorBidi"/>
          <w:sz w:val="22"/>
          <w:szCs w:val="22"/>
        </w:rPr>
        <w:t xml:space="preserve">, </w:t>
      </w:r>
      <w:r w:rsidR="0191EBAF" w:rsidRPr="59587566">
        <w:rPr>
          <w:rFonts w:asciiTheme="minorHAnsi" w:eastAsiaTheme="minorEastAsia" w:hAnsiTheme="minorHAnsi" w:cstheme="minorBidi"/>
          <w:sz w:val="22"/>
          <w:szCs w:val="22"/>
        </w:rPr>
        <w:t xml:space="preserve">the currently </w:t>
      </w:r>
      <w:r w:rsidR="256BA7BB" w:rsidRPr="59587566">
        <w:rPr>
          <w:rFonts w:asciiTheme="minorHAnsi" w:eastAsiaTheme="minorEastAsia" w:hAnsiTheme="minorHAnsi" w:cstheme="minorBidi"/>
          <w:sz w:val="22"/>
          <w:szCs w:val="22"/>
        </w:rPr>
        <w:t>scenario</w:t>
      </w:r>
      <w:r w:rsidR="0191EBAF" w:rsidRPr="59587566">
        <w:rPr>
          <w:rFonts w:asciiTheme="minorHAnsi" w:eastAsiaTheme="minorEastAsia" w:hAnsiTheme="minorHAnsi" w:cstheme="minorBidi"/>
          <w:sz w:val="22"/>
          <w:szCs w:val="22"/>
        </w:rPr>
        <w:t xml:space="preserve"> can provide valuable insight</w:t>
      </w:r>
      <w:r w:rsidR="511EF2C1" w:rsidRPr="59587566">
        <w:rPr>
          <w:rFonts w:asciiTheme="minorHAnsi" w:eastAsiaTheme="minorEastAsia" w:hAnsiTheme="minorHAnsi" w:cstheme="minorBidi"/>
          <w:sz w:val="22"/>
          <w:szCs w:val="22"/>
        </w:rPr>
        <w:t>s</w:t>
      </w:r>
      <w:r w:rsidR="0191EBAF" w:rsidRPr="59587566">
        <w:rPr>
          <w:rFonts w:asciiTheme="minorHAnsi" w:eastAsiaTheme="minorEastAsia" w:hAnsiTheme="minorHAnsi" w:cstheme="minorBidi"/>
          <w:sz w:val="22"/>
          <w:szCs w:val="22"/>
        </w:rPr>
        <w:t xml:space="preserve"> about </w:t>
      </w:r>
      <w:r w:rsidR="25EBAE96" w:rsidRPr="59587566">
        <w:rPr>
          <w:rFonts w:asciiTheme="minorHAnsi" w:eastAsiaTheme="minorEastAsia" w:hAnsiTheme="minorHAnsi" w:cstheme="minorBidi"/>
          <w:sz w:val="22"/>
          <w:szCs w:val="22"/>
        </w:rPr>
        <w:t xml:space="preserve">product positioning.  In figure </w:t>
      </w:r>
      <w:r w:rsidR="00945B67">
        <w:rPr>
          <w:rFonts w:asciiTheme="minorHAnsi" w:eastAsiaTheme="minorEastAsia" w:hAnsiTheme="minorHAnsi" w:cstheme="minorBidi"/>
          <w:sz w:val="22"/>
          <w:szCs w:val="22"/>
        </w:rPr>
        <w:t>8</w:t>
      </w:r>
      <w:r w:rsidR="25EBAE96" w:rsidRPr="59587566">
        <w:rPr>
          <w:rFonts w:asciiTheme="minorHAnsi" w:eastAsiaTheme="minorEastAsia" w:hAnsiTheme="minorHAnsi" w:cstheme="minorBidi"/>
          <w:sz w:val="22"/>
          <w:szCs w:val="22"/>
        </w:rPr>
        <w:t xml:space="preserve">, the price record for </w:t>
      </w:r>
      <w:r w:rsidR="00DA2AEF">
        <w:rPr>
          <w:rFonts w:asciiTheme="minorHAnsi" w:eastAsiaTheme="minorEastAsia" w:hAnsiTheme="minorHAnsi" w:cstheme="minorBidi"/>
          <w:sz w:val="22"/>
          <w:szCs w:val="22"/>
        </w:rPr>
        <w:t>RMG</w:t>
      </w:r>
      <w:r w:rsidR="25EBAE96" w:rsidRPr="59587566">
        <w:rPr>
          <w:rFonts w:asciiTheme="minorHAnsi" w:eastAsiaTheme="minorEastAsia" w:hAnsiTheme="minorHAnsi" w:cstheme="minorBidi"/>
          <w:sz w:val="22"/>
          <w:szCs w:val="22"/>
        </w:rPr>
        <w:t xml:space="preserve"> 380, ULSFO, MGO and FAME</w:t>
      </w:r>
      <w:r w:rsidR="0114E9EB" w:rsidRPr="59587566">
        <w:rPr>
          <w:rFonts w:asciiTheme="minorHAnsi" w:eastAsiaTheme="minorEastAsia" w:hAnsiTheme="minorHAnsi" w:cstheme="minorBidi"/>
          <w:sz w:val="22"/>
          <w:szCs w:val="22"/>
        </w:rPr>
        <w:t xml:space="preserve"> are presented</w:t>
      </w:r>
      <w:r w:rsidR="00D65D44">
        <w:rPr>
          <w:rFonts w:asciiTheme="minorHAnsi" w:eastAsiaTheme="minorEastAsia" w:hAnsiTheme="minorHAnsi" w:cstheme="minorBidi"/>
          <w:sz w:val="22"/>
          <w:szCs w:val="22"/>
        </w:rPr>
        <w:t>. As can be observed no clear tendenc</w:t>
      </w:r>
      <w:r w:rsidR="0019547B">
        <w:rPr>
          <w:rFonts w:asciiTheme="minorHAnsi" w:eastAsiaTheme="minorEastAsia" w:hAnsiTheme="minorHAnsi" w:cstheme="minorBidi"/>
          <w:sz w:val="22"/>
          <w:szCs w:val="22"/>
        </w:rPr>
        <w:t>es</w:t>
      </w:r>
      <w:r w:rsidR="00D65D44">
        <w:rPr>
          <w:rFonts w:asciiTheme="minorHAnsi" w:eastAsiaTheme="minorEastAsia" w:hAnsiTheme="minorHAnsi" w:cstheme="minorBidi"/>
          <w:sz w:val="22"/>
          <w:szCs w:val="22"/>
        </w:rPr>
        <w:t xml:space="preserve"> can be </w:t>
      </w:r>
      <w:r w:rsidR="0019547B">
        <w:rPr>
          <w:rFonts w:asciiTheme="minorHAnsi" w:eastAsiaTheme="minorEastAsia" w:hAnsiTheme="minorHAnsi" w:cstheme="minorBidi"/>
          <w:sz w:val="22"/>
          <w:szCs w:val="22"/>
        </w:rPr>
        <w:t>concluded.</w:t>
      </w:r>
    </w:p>
    <w:p w14:paraId="34709A15" w14:textId="118DD89B" w:rsidR="3370D476" w:rsidRDefault="3370D476" w:rsidP="59587566">
      <w:pPr>
        <w:spacing w:after="120" w:line="360" w:lineRule="auto"/>
        <w:ind w:firstLine="720"/>
        <w:rPr>
          <w:rFonts w:asciiTheme="minorHAnsi" w:eastAsiaTheme="minorEastAsia" w:hAnsiTheme="minorHAnsi" w:cstheme="minorBidi"/>
          <w:sz w:val="22"/>
          <w:szCs w:val="22"/>
        </w:rPr>
      </w:pPr>
      <w:r w:rsidRPr="59587566">
        <w:rPr>
          <w:rFonts w:asciiTheme="minorHAnsi" w:eastAsiaTheme="minorEastAsia" w:hAnsiTheme="minorHAnsi" w:cstheme="minorBidi"/>
          <w:sz w:val="22"/>
          <w:szCs w:val="22"/>
        </w:rPr>
        <w:t>As mentioned before, fossil-based fuels ha</w:t>
      </w:r>
      <w:r w:rsidR="2132E446" w:rsidRPr="59587566">
        <w:rPr>
          <w:rFonts w:asciiTheme="minorHAnsi" w:eastAsiaTheme="minorEastAsia" w:hAnsiTheme="minorHAnsi" w:cstheme="minorBidi"/>
          <w:sz w:val="22"/>
          <w:szCs w:val="22"/>
        </w:rPr>
        <w:t>ve a substantial lower price than bio-based alternatives</w:t>
      </w:r>
      <w:r w:rsidR="27997AAA" w:rsidRPr="59587566">
        <w:rPr>
          <w:rFonts w:asciiTheme="minorHAnsi" w:eastAsiaTheme="minorEastAsia" w:hAnsiTheme="minorHAnsi" w:cstheme="minorBidi"/>
          <w:sz w:val="22"/>
          <w:szCs w:val="22"/>
        </w:rPr>
        <w:t xml:space="preserve">. On the other hand, bio-based fuel can benefit from the premium related to </w:t>
      </w:r>
      <w:r w:rsidR="6EC8C0A0" w:rsidRPr="59587566">
        <w:rPr>
          <w:rFonts w:asciiTheme="minorHAnsi" w:eastAsiaTheme="minorEastAsia" w:hAnsiTheme="minorHAnsi" w:cstheme="minorBidi"/>
          <w:sz w:val="22"/>
          <w:szCs w:val="22"/>
        </w:rPr>
        <w:t>emissions reduction, whether GHG or sulfur.</w:t>
      </w:r>
      <w:r w:rsidR="3C71E799" w:rsidRPr="59587566">
        <w:rPr>
          <w:rFonts w:asciiTheme="minorHAnsi" w:eastAsiaTheme="minorEastAsia" w:hAnsiTheme="minorHAnsi" w:cstheme="minorBidi"/>
          <w:sz w:val="22"/>
          <w:szCs w:val="22"/>
        </w:rPr>
        <w:t xml:space="preserve"> From the data is possible to infer the market premium for sulfur content</w:t>
      </w:r>
      <w:r w:rsidR="410E12CE" w:rsidRPr="59587566">
        <w:rPr>
          <w:rFonts w:asciiTheme="minorHAnsi" w:eastAsiaTheme="minorEastAsia" w:hAnsiTheme="minorHAnsi" w:cstheme="minorBidi"/>
          <w:sz w:val="22"/>
          <w:szCs w:val="22"/>
        </w:rPr>
        <w:t xml:space="preserve"> by taking the spread between </w:t>
      </w:r>
      <w:r w:rsidR="00DA2AEF">
        <w:rPr>
          <w:rFonts w:asciiTheme="minorHAnsi" w:eastAsiaTheme="minorEastAsia" w:hAnsiTheme="minorHAnsi" w:cstheme="minorBidi"/>
          <w:sz w:val="22"/>
          <w:szCs w:val="22"/>
        </w:rPr>
        <w:t>RMG</w:t>
      </w:r>
      <w:r w:rsidR="410E12CE" w:rsidRPr="59587566">
        <w:rPr>
          <w:rFonts w:asciiTheme="minorHAnsi" w:eastAsiaTheme="minorEastAsia" w:hAnsiTheme="minorHAnsi" w:cstheme="minorBidi"/>
          <w:sz w:val="22"/>
          <w:szCs w:val="22"/>
        </w:rPr>
        <w:t xml:space="preserve"> 380 and ULSFO</w:t>
      </w:r>
      <w:r w:rsidR="03039D07" w:rsidRPr="59587566">
        <w:rPr>
          <w:rFonts w:asciiTheme="minorHAnsi" w:eastAsiaTheme="minorEastAsia" w:hAnsiTheme="minorHAnsi" w:cstheme="minorBidi"/>
          <w:sz w:val="22"/>
          <w:szCs w:val="22"/>
        </w:rPr>
        <w:t>.</w:t>
      </w:r>
      <w:r w:rsidR="410E12CE" w:rsidRPr="59587566">
        <w:rPr>
          <w:rFonts w:asciiTheme="minorHAnsi" w:eastAsiaTheme="minorEastAsia" w:hAnsiTheme="minorHAnsi" w:cstheme="minorBidi"/>
          <w:sz w:val="22"/>
          <w:szCs w:val="22"/>
        </w:rPr>
        <w:t xml:space="preserve"> </w:t>
      </w:r>
      <w:r w:rsidR="2FC82EEE" w:rsidRPr="59587566">
        <w:rPr>
          <w:rFonts w:asciiTheme="minorHAnsi" w:eastAsiaTheme="minorEastAsia" w:hAnsiTheme="minorHAnsi" w:cstheme="minorBidi"/>
          <w:sz w:val="22"/>
          <w:szCs w:val="22"/>
        </w:rPr>
        <w:t>The average price of HFO i</w:t>
      </w:r>
      <w:r w:rsidR="17BA6BC4" w:rsidRPr="59587566">
        <w:rPr>
          <w:rFonts w:asciiTheme="minorHAnsi" w:eastAsiaTheme="minorEastAsia" w:hAnsiTheme="minorHAnsi" w:cstheme="minorBidi"/>
          <w:sz w:val="22"/>
          <w:szCs w:val="22"/>
        </w:rPr>
        <w:t xml:space="preserve">n the past 20 months is $ 330/ ton, while an </w:t>
      </w:r>
      <w:r w:rsidR="5D6A4523" w:rsidRPr="59587566">
        <w:rPr>
          <w:rFonts w:asciiTheme="minorHAnsi" w:eastAsiaTheme="minorEastAsia" w:hAnsiTheme="minorHAnsi" w:cstheme="minorBidi"/>
          <w:sz w:val="22"/>
          <w:szCs w:val="22"/>
        </w:rPr>
        <w:t>average</w:t>
      </w:r>
      <w:r w:rsidR="17BA6BC4" w:rsidRPr="59587566">
        <w:rPr>
          <w:rFonts w:asciiTheme="minorHAnsi" w:eastAsiaTheme="minorEastAsia" w:hAnsiTheme="minorHAnsi" w:cstheme="minorBidi"/>
          <w:sz w:val="22"/>
          <w:szCs w:val="22"/>
        </w:rPr>
        <w:t xml:space="preserve"> of </w:t>
      </w:r>
      <w:r w:rsidR="43AFBFEB" w:rsidRPr="59587566">
        <w:rPr>
          <w:rFonts w:asciiTheme="minorHAnsi" w:eastAsiaTheme="minorEastAsia" w:hAnsiTheme="minorHAnsi" w:cstheme="minorBidi"/>
          <w:sz w:val="22"/>
          <w:szCs w:val="22"/>
        </w:rPr>
        <w:t xml:space="preserve">$ </w:t>
      </w:r>
      <w:r w:rsidR="17BA6BC4" w:rsidRPr="59587566">
        <w:rPr>
          <w:rFonts w:asciiTheme="minorHAnsi" w:eastAsiaTheme="minorEastAsia" w:hAnsiTheme="minorHAnsi" w:cstheme="minorBidi"/>
          <w:sz w:val="22"/>
          <w:szCs w:val="22"/>
        </w:rPr>
        <w:t>57</w:t>
      </w:r>
      <w:r w:rsidR="15043627" w:rsidRPr="59587566">
        <w:rPr>
          <w:rFonts w:asciiTheme="minorHAnsi" w:eastAsiaTheme="minorEastAsia" w:hAnsiTheme="minorHAnsi" w:cstheme="minorBidi"/>
          <w:sz w:val="22"/>
          <w:szCs w:val="22"/>
        </w:rPr>
        <w:t>0</w:t>
      </w:r>
      <w:r w:rsidR="49F862F9" w:rsidRPr="59587566">
        <w:rPr>
          <w:rFonts w:asciiTheme="minorHAnsi" w:eastAsiaTheme="minorEastAsia" w:hAnsiTheme="minorHAnsi" w:cstheme="minorBidi"/>
          <w:sz w:val="22"/>
          <w:szCs w:val="22"/>
        </w:rPr>
        <w:t xml:space="preserve"> in found for ULSFO in the past 2 months</w:t>
      </w:r>
      <w:r w:rsidR="53A91B58" w:rsidRPr="59587566">
        <w:rPr>
          <w:rFonts w:asciiTheme="minorHAnsi" w:eastAsiaTheme="minorEastAsia" w:hAnsiTheme="minorHAnsi" w:cstheme="minorBidi"/>
          <w:sz w:val="22"/>
          <w:szCs w:val="22"/>
        </w:rPr>
        <w:t>, which</w:t>
      </w:r>
      <w:r w:rsidR="0254A51D" w:rsidRPr="59587566">
        <w:rPr>
          <w:rFonts w:asciiTheme="minorHAnsi" w:eastAsiaTheme="minorEastAsia" w:hAnsiTheme="minorHAnsi" w:cstheme="minorBidi"/>
          <w:sz w:val="22"/>
          <w:szCs w:val="22"/>
        </w:rPr>
        <w:t xml:space="preserve"> it gives</w:t>
      </w:r>
      <w:r w:rsidR="1F8E8139" w:rsidRPr="59587566">
        <w:rPr>
          <w:rFonts w:asciiTheme="minorHAnsi" w:eastAsiaTheme="minorEastAsia" w:hAnsiTheme="minorHAnsi" w:cstheme="minorBidi"/>
          <w:sz w:val="22"/>
          <w:szCs w:val="22"/>
        </w:rPr>
        <w:t xml:space="preserve"> a spread of</w:t>
      </w:r>
      <w:r w:rsidR="0254A51D" w:rsidRPr="59587566">
        <w:rPr>
          <w:rFonts w:asciiTheme="minorHAnsi" w:eastAsiaTheme="minorEastAsia" w:hAnsiTheme="minorHAnsi" w:cstheme="minorBidi"/>
          <w:sz w:val="22"/>
          <w:szCs w:val="22"/>
        </w:rPr>
        <w:t xml:space="preserve"> </w:t>
      </w:r>
      <w:r w:rsidR="375B0991" w:rsidRPr="59587566">
        <w:rPr>
          <w:rFonts w:asciiTheme="minorHAnsi" w:eastAsiaTheme="minorEastAsia" w:hAnsiTheme="minorHAnsi" w:cstheme="minorBidi"/>
          <w:sz w:val="22"/>
          <w:szCs w:val="22"/>
        </w:rPr>
        <w:t>$ 240/ ton</w:t>
      </w:r>
      <w:r w:rsidR="4E841BDB" w:rsidRPr="59587566">
        <w:rPr>
          <w:rFonts w:asciiTheme="minorHAnsi" w:eastAsiaTheme="minorEastAsia" w:hAnsiTheme="minorHAnsi" w:cstheme="minorBidi"/>
          <w:sz w:val="22"/>
          <w:szCs w:val="22"/>
        </w:rPr>
        <w:t>. Considering the difference of 3.4 %</w:t>
      </w:r>
      <w:r w:rsidR="07D82ACD" w:rsidRPr="59587566">
        <w:rPr>
          <w:rFonts w:asciiTheme="minorHAnsi" w:eastAsiaTheme="minorEastAsia" w:hAnsiTheme="minorHAnsi" w:cstheme="minorBidi"/>
          <w:sz w:val="22"/>
          <w:szCs w:val="22"/>
        </w:rPr>
        <w:t xml:space="preserve"> in the sulfur content, linearly it suggests a premium of $ 70</w:t>
      </w:r>
      <w:r w:rsidR="0A5C5C45" w:rsidRPr="59587566">
        <w:rPr>
          <w:rFonts w:asciiTheme="minorHAnsi" w:eastAsiaTheme="minorEastAsia" w:hAnsiTheme="minorHAnsi" w:cstheme="minorBidi"/>
          <w:sz w:val="22"/>
          <w:szCs w:val="22"/>
        </w:rPr>
        <w:t xml:space="preserve">/ ton for each percentage reduced in the </w:t>
      </w:r>
      <w:r w:rsidR="000B40B6">
        <w:rPr>
          <w:rFonts w:asciiTheme="minorHAnsi" w:eastAsiaTheme="minorEastAsia" w:hAnsiTheme="minorHAnsi" w:cstheme="minorBidi"/>
          <w:sz w:val="22"/>
          <w:szCs w:val="22"/>
        </w:rPr>
        <w:t>s</w:t>
      </w:r>
      <w:r w:rsidR="2E361851" w:rsidRPr="59587566">
        <w:rPr>
          <w:rFonts w:asciiTheme="minorHAnsi" w:eastAsiaTheme="minorEastAsia" w:hAnsiTheme="minorHAnsi" w:cstheme="minorBidi"/>
          <w:sz w:val="22"/>
          <w:szCs w:val="22"/>
        </w:rPr>
        <w:t>ul</w:t>
      </w:r>
      <w:r w:rsidR="000B40B6">
        <w:rPr>
          <w:rFonts w:asciiTheme="minorHAnsi" w:eastAsiaTheme="minorEastAsia" w:hAnsiTheme="minorHAnsi" w:cstheme="minorBidi"/>
          <w:sz w:val="22"/>
          <w:szCs w:val="22"/>
        </w:rPr>
        <w:t>f</w:t>
      </w:r>
      <w:r w:rsidR="2E361851" w:rsidRPr="59587566">
        <w:rPr>
          <w:rFonts w:asciiTheme="minorHAnsi" w:eastAsiaTheme="minorEastAsia" w:hAnsiTheme="minorHAnsi" w:cstheme="minorBidi"/>
          <w:sz w:val="22"/>
          <w:szCs w:val="22"/>
        </w:rPr>
        <w:t>ur</w:t>
      </w:r>
      <w:r w:rsidR="0A5C5C45" w:rsidRPr="59587566">
        <w:rPr>
          <w:rFonts w:asciiTheme="minorHAnsi" w:eastAsiaTheme="minorEastAsia" w:hAnsiTheme="minorHAnsi" w:cstheme="minorBidi"/>
          <w:sz w:val="22"/>
          <w:szCs w:val="22"/>
        </w:rPr>
        <w:t xml:space="preserve"> concentration.</w:t>
      </w:r>
      <w:r w:rsidR="597C5579" w:rsidRPr="59587566">
        <w:rPr>
          <w:rFonts w:asciiTheme="minorHAnsi" w:eastAsiaTheme="minorEastAsia" w:hAnsiTheme="minorHAnsi" w:cstheme="minorBidi"/>
          <w:sz w:val="22"/>
          <w:szCs w:val="22"/>
        </w:rPr>
        <w:t xml:space="preserve"> </w:t>
      </w:r>
    </w:p>
    <w:p w14:paraId="12EA4724" w14:textId="259B8C25" w:rsidR="2946AEDB" w:rsidRPr="007A56EA" w:rsidRDefault="2946AEDB" w:rsidP="59587566">
      <w:pPr>
        <w:spacing w:after="120" w:line="360" w:lineRule="auto"/>
        <w:ind w:firstLine="720"/>
        <w:rPr>
          <w:rFonts w:asciiTheme="minorHAnsi" w:eastAsiaTheme="minorEastAsia" w:hAnsiTheme="minorHAnsi" w:cstheme="minorBidi"/>
          <w:sz w:val="22"/>
          <w:szCs w:val="22"/>
        </w:rPr>
      </w:pPr>
      <w:r w:rsidRPr="007A56EA">
        <w:rPr>
          <w:rFonts w:asciiTheme="minorHAnsi" w:eastAsiaTheme="minorEastAsia" w:hAnsiTheme="minorHAnsi" w:cstheme="minorBidi"/>
          <w:sz w:val="22"/>
          <w:szCs w:val="22"/>
        </w:rPr>
        <w:t>The B</w:t>
      </w:r>
      <w:r w:rsidR="67EB940C" w:rsidRPr="007A56EA">
        <w:rPr>
          <w:rFonts w:asciiTheme="minorHAnsi" w:eastAsiaTheme="minorEastAsia" w:hAnsiTheme="minorHAnsi" w:cstheme="minorBidi"/>
          <w:sz w:val="22"/>
          <w:szCs w:val="22"/>
        </w:rPr>
        <w:t>i</w:t>
      </w:r>
      <w:r w:rsidRPr="007A56EA">
        <w:rPr>
          <w:rFonts w:asciiTheme="minorHAnsi" w:eastAsiaTheme="minorEastAsia" w:hAnsiTheme="minorHAnsi" w:cstheme="minorBidi"/>
          <w:sz w:val="22"/>
          <w:szCs w:val="22"/>
        </w:rPr>
        <w:t xml:space="preserve">o-HFO can also benefit from GHG mitigation. According to a </w:t>
      </w:r>
      <w:r w:rsidR="7F7C5572" w:rsidRPr="007A56EA">
        <w:rPr>
          <w:rFonts w:asciiTheme="minorHAnsi" w:eastAsiaTheme="minorEastAsia" w:hAnsiTheme="minorHAnsi" w:cstheme="minorBidi"/>
          <w:sz w:val="22"/>
          <w:szCs w:val="22"/>
        </w:rPr>
        <w:t>survey</w:t>
      </w:r>
      <w:r w:rsidRPr="007A56EA">
        <w:rPr>
          <w:rFonts w:asciiTheme="minorHAnsi" w:eastAsiaTheme="minorEastAsia" w:hAnsiTheme="minorHAnsi" w:cstheme="minorBidi"/>
          <w:sz w:val="22"/>
          <w:szCs w:val="22"/>
        </w:rPr>
        <w:t xml:space="preserve"> conducted by the Emission Trade Association (IETA</w:t>
      </w:r>
      <w:r w:rsidR="00D56666" w:rsidRPr="007A56EA">
        <w:rPr>
          <w:rFonts w:asciiTheme="minorHAnsi" w:eastAsiaTheme="minorEastAsia" w:hAnsiTheme="minorHAnsi" w:cstheme="minorBidi"/>
          <w:sz w:val="22"/>
          <w:szCs w:val="22"/>
        </w:rPr>
        <w:t>)</w:t>
      </w:r>
      <w:r w:rsidR="1D622C50" w:rsidRPr="007A56EA">
        <w:rPr>
          <w:rFonts w:asciiTheme="minorHAnsi" w:eastAsiaTheme="minorEastAsia" w:hAnsiTheme="minorHAnsi" w:cstheme="minorBidi"/>
          <w:sz w:val="22"/>
          <w:szCs w:val="22"/>
        </w:rPr>
        <w:t>, the carbon price in the European market is expected to be around $ 57</w:t>
      </w:r>
      <w:r w:rsidR="39AED2F2" w:rsidRPr="007A56EA">
        <w:rPr>
          <w:rFonts w:asciiTheme="minorHAnsi" w:eastAsiaTheme="minorEastAsia" w:hAnsiTheme="minorHAnsi" w:cstheme="minorBidi"/>
          <w:sz w:val="22"/>
          <w:szCs w:val="22"/>
        </w:rPr>
        <w:t>/ ton</w:t>
      </w:r>
      <w:r w:rsidR="1D622C50" w:rsidRPr="007A56EA">
        <w:rPr>
          <w:rFonts w:asciiTheme="minorHAnsi" w:eastAsiaTheme="minorEastAsia" w:hAnsiTheme="minorHAnsi" w:cstheme="minorBidi"/>
          <w:sz w:val="22"/>
          <w:szCs w:val="22"/>
        </w:rPr>
        <w:t xml:space="preserve"> </w:t>
      </w:r>
      <w:r w:rsidR="1D622C50" w:rsidRPr="007A56EA">
        <w:rPr>
          <w:rFonts w:asciiTheme="minorHAnsi" w:eastAsiaTheme="minorEastAsia" w:hAnsiTheme="minorHAnsi" w:cstheme="minorBidi"/>
          <w:sz w:val="22"/>
          <w:szCs w:val="22"/>
        </w:rPr>
        <w:lastRenderedPageBreak/>
        <w:t>between 2021 and 2025, and $ 58.60</w:t>
      </w:r>
      <w:r w:rsidR="52F7847D" w:rsidRPr="007A56EA">
        <w:rPr>
          <w:rFonts w:asciiTheme="minorHAnsi" w:eastAsiaTheme="minorEastAsia" w:hAnsiTheme="minorHAnsi" w:cstheme="minorBidi"/>
          <w:sz w:val="22"/>
          <w:szCs w:val="22"/>
        </w:rPr>
        <w:t>/ ton</w:t>
      </w:r>
      <w:r w:rsidR="1D622C50" w:rsidRPr="007A56EA">
        <w:rPr>
          <w:rFonts w:asciiTheme="minorHAnsi" w:eastAsiaTheme="minorEastAsia" w:hAnsiTheme="minorHAnsi" w:cstheme="minorBidi"/>
          <w:sz w:val="22"/>
          <w:szCs w:val="22"/>
        </w:rPr>
        <w:t xml:space="preserve"> betw</w:t>
      </w:r>
      <w:r w:rsidR="081C1FB0" w:rsidRPr="007A56EA">
        <w:rPr>
          <w:rFonts w:asciiTheme="minorHAnsi" w:eastAsiaTheme="minorEastAsia" w:hAnsiTheme="minorHAnsi" w:cstheme="minorBidi"/>
          <w:sz w:val="22"/>
          <w:szCs w:val="22"/>
        </w:rPr>
        <w:t xml:space="preserve">een 2026 and 2030. </w:t>
      </w:r>
      <w:r w:rsidR="2A46C621" w:rsidRPr="007A56EA">
        <w:rPr>
          <w:rFonts w:asciiTheme="minorHAnsi" w:eastAsiaTheme="minorEastAsia" w:hAnsiTheme="minorHAnsi" w:cstheme="minorBidi"/>
          <w:sz w:val="22"/>
          <w:szCs w:val="22"/>
        </w:rPr>
        <w:t xml:space="preserve"> </w:t>
      </w:r>
      <w:r w:rsidR="726F3507" w:rsidRPr="007A56EA">
        <w:rPr>
          <w:rFonts w:asciiTheme="minorHAnsi" w:eastAsiaTheme="minorEastAsia" w:hAnsiTheme="minorHAnsi" w:cstheme="minorBidi"/>
          <w:sz w:val="22"/>
          <w:szCs w:val="22"/>
        </w:rPr>
        <w:t xml:space="preserve">In </w:t>
      </w:r>
      <w:r w:rsidR="6AEE7932" w:rsidRPr="007A56EA">
        <w:rPr>
          <w:rFonts w:asciiTheme="minorHAnsi" w:eastAsiaTheme="minorEastAsia" w:hAnsiTheme="minorHAnsi" w:cstheme="minorBidi"/>
          <w:sz w:val="22"/>
          <w:szCs w:val="22"/>
        </w:rPr>
        <w:t>T</w:t>
      </w:r>
      <w:r w:rsidR="726F3507" w:rsidRPr="007A56EA">
        <w:rPr>
          <w:rFonts w:asciiTheme="minorHAnsi" w:eastAsiaTheme="minorEastAsia" w:hAnsiTheme="minorHAnsi" w:cstheme="minorBidi"/>
          <w:sz w:val="22"/>
          <w:szCs w:val="22"/>
        </w:rPr>
        <w:t xml:space="preserve">able </w:t>
      </w:r>
      <w:r w:rsidR="008E3076" w:rsidRPr="007A56EA">
        <w:rPr>
          <w:rFonts w:asciiTheme="minorHAnsi" w:eastAsiaTheme="minorEastAsia" w:hAnsiTheme="minorHAnsi" w:cstheme="minorBidi"/>
          <w:sz w:val="22"/>
          <w:szCs w:val="22"/>
        </w:rPr>
        <w:t>4</w:t>
      </w:r>
      <w:r w:rsidR="726F3507" w:rsidRPr="007A56EA">
        <w:rPr>
          <w:rFonts w:asciiTheme="minorHAnsi" w:eastAsiaTheme="minorEastAsia" w:hAnsiTheme="minorHAnsi" w:cstheme="minorBidi"/>
          <w:sz w:val="22"/>
          <w:szCs w:val="22"/>
        </w:rPr>
        <w:t>,</w:t>
      </w:r>
      <w:r w:rsidR="00A52BD1" w:rsidRPr="007A56EA">
        <w:rPr>
          <w:rFonts w:asciiTheme="minorHAnsi" w:eastAsiaTheme="minorEastAsia" w:hAnsiTheme="minorHAnsi" w:cstheme="minorBidi"/>
          <w:sz w:val="22"/>
          <w:szCs w:val="22"/>
        </w:rPr>
        <w:t xml:space="preserve"> </w:t>
      </w:r>
      <w:r w:rsidR="00A52BD1" w:rsidRPr="00B55ADC">
        <w:rPr>
          <w:sz w:val="22"/>
          <w:szCs w:val="22"/>
        </w:rPr>
        <w:t>the estimated benefit due to decarbonization is presented in relation to one ton of HFO, assuming $ 58/ ton</w:t>
      </w:r>
      <w:r w:rsidR="007A6596" w:rsidRPr="00B55ADC">
        <w:rPr>
          <w:sz w:val="22"/>
          <w:szCs w:val="22"/>
        </w:rPr>
        <w:t xml:space="preserve"> and following </w:t>
      </w:r>
      <w:r w:rsidR="008E6C0F" w:rsidRPr="00B55ADC">
        <w:rPr>
          <w:sz w:val="22"/>
          <w:szCs w:val="22"/>
        </w:rPr>
        <w:t>RED II annex V, part C3</w:t>
      </w:r>
      <w:r w:rsidR="006B6F0D" w:rsidRPr="00B55ADC">
        <w:rPr>
          <w:sz w:val="22"/>
          <w:szCs w:val="22"/>
        </w:rPr>
        <w:t>.</w:t>
      </w:r>
    </w:p>
    <w:p w14:paraId="0D787321" w14:textId="60E57E5F" w:rsidR="00945B67" w:rsidRDefault="00945B67" w:rsidP="59587566">
      <w:pPr>
        <w:spacing w:after="120" w:line="360" w:lineRule="auto"/>
        <w:ind w:firstLine="720"/>
        <w:rPr>
          <w:rFonts w:asciiTheme="minorHAnsi" w:eastAsiaTheme="minorEastAsia" w:hAnsiTheme="minorHAnsi" w:cstheme="minorBidi"/>
          <w:sz w:val="22"/>
          <w:szCs w:val="22"/>
        </w:rPr>
      </w:pPr>
    </w:p>
    <w:p w14:paraId="5D49C621" w14:textId="77777777" w:rsidR="00945B67" w:rsidRDefault="00945B67" w:rsidP="00945B67">
      <w:pPr>
        <w:keepNext/>
        <w:spacing w:after="120" w:line="360" w:lineRule="auto"/>
        <w:ind w:firstLine="720"/>
        <w:jc w:val="center"/>
      </w:pPr>
      <w:r>
        <w:rPr>
          <w:noProof/>
        </w:rPr>
        <w:drawing>
          <wp:inline distT="0" distB="0" distL="0" distR="0" wp14:anchorId="126B086F" wp14:editId="3FDA07BE">
            <wp:extent cx="4972050" cy="2941796"/>
            <wp:effectExtent l="0" t="0" r="0" b="0"/>
            <wp:docPr id="1654391681" name="Picture 165439168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91681" name="Picture 1654391681" descr="Chart, lin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972050" cy="2941796"/>
                    </a:xfrm>
                    <a:prstGeom prst="rect">
                      <a:avLst/>
                    </a:prstGeom>
                  </pic:spPr>
                </pic:pic>
              </a:graphicData>
            </a:graphic>
          </wp:inline>
        </w:drawing>
      </w:r>
    </w:p>
    <w:p w14:paraId="7AADE3DE" w14:textId="2321A88A" w:rsidR="00C53804" w:rsidRDefault="00945B67" w:rsidP="00945B67">
      <w:pPr>
        <w:pStyle w:val="Caption"/>
        <w:jc w:val="center"/>
        <w:rPr>
          <w:rFonts w:ascii="Times New Roman" w:hAnsi="Times New Roman"/>
          <w:sz w:val="20"/>
        </w:rPr>
      </w:pPr>
      <w:bookmarkStart w:id="34" w:name="_Toc84018243"/>
      <w:r>
        <w:t xml:space="preserve">Figure </w:t>
      </w:r>
      <w:fldSimple w:instr=" SEQ Figure \* ARABIC ">
        <w:r>
          <w:rPr>
            <w:noProof/>
          </w:rPr>
          <w:t>8</w:t>
        </w:r>
      </w:fldSimple>
      <w:r>
        <w:t xml:space="preserve">. </w:t>
      </w:r>
      <w:r w:rsidRPr="0049299F">
        <w:t xml:space="preserve"> Price record of FAME, </w:t>
      </w:r>
      <w:r w:rsidR="000966E5">
        <w:t>RMG (</w:t>
      </w:r>
      <w:r w:rsidRPr="0049299F">
        <w:t>IFO</w:t>
      </w:r>
      <w:r w:rsidR="000966E5">
        <w:t>)</w:t>
      </w:r>
      <w:r w:rsidRPr="0049299F">
        <w:t xml:space="preserve"> 380, ULSFO and MGO (source: Platts, Ship and Bunker)</w:t>
      </w:r>
      <w:r>
        <w:t>.</w:t>
      </w:r>
      <w:bookmarkEnd w:id="34"/>
    </w:p>
    <w:p w14:paraId="36AF972A" w14:textId="0946F11D" w:rsidR="00945B67" w:rsidRDefault="00945B67" w:rsidP="00945B67">
      <w:pPr>
        <w:spacing w:after="120" w:line="360" w:lineRule="auto"/>
        <w:ind w:firstLine="720"/>
        <w:rPr>
          <w:rFonts w:ascii="Times New Roman" w:hAnsi="Times New Roman"/>
          <w:sz w:val="20"/>
          <w:lang w:val="en-GB"/>
        </w:rPr>
      </w:pPr>
    </w:p>
    <w:p w14:paraId="70719425" w14:textId="4A0D77AA" w:rsidR="002E78F9" w:rsidRDefault="002E78F9" w:rsidP="002E78F9">
      <w:pPr>
        <w:pStyle w:val="Caption"/>
        <w:keepNext/>
      </w:pPr>
      <w:bookmarkStart w:id="35" w:name="_Toc83296287"/>
      <w:r>
        <w:t xml:space="preserve">Table </w:t>
      </w:r>
      <w:fldSimple w:instr=" SEQ Table \* ARABIC ">
        <w:r w:rsidR="002E4890">
          <w:rPr>
            <w:noProof/>
          </w:rPr>
          <w:t>4</w:t>
        </w:r>
      </w:fldSimple>
      <w:r>
        <w:t xml:space="preserve">. </w:t>
      </w:r>
      <w:r w:rsidRPr="00700230">
        <w:t>Decarbonization premium per ton of product in comparison to HFO, assuming equivalent densities and heat value</w:t>
      </w:r>
      <w:r w:rsidR="006B6F0D">
        <w:t xml:space="preserve"> and a carbon price </w:t>
      </w:r>
      <w:r w:rsidR="00971909">
        <w:t xml:space="preserve">of </w:t>
      </w:r>
      <w:r w:rsidR="00971909" w:rsidRPr="00971909">
        <w:t>$58/ton CO</w:t>
      </w:r>
      <w:r w:rsidR="00971909" w:rsidRPr="00A939A0">
        <w:rPr>
          <w:vertAlign w:val="subscript"/>
        </w:rPr>
        <w:t>2eq</w:t>
      </w:r>
      <w:r>
        <w:t>.</w:t>
      </w:r>
      <w:bookmarkEnd w:id="35"/>
    </w:p>
    <w:tbl>
      <w:tblPr>
        <w:tblStyle w:val="TableGrid"/>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A0" w:firstRow="1" w:lastRow="0" w:firstColumn="1" w:lastColumn="0" w:noHBand="1" w:noVBand="1"/>
      </w:tblPr>
      <w:tblGrid>
        <w:gridCol w:w="2490"/>
        <w:gridCol w:w="2025"/>
      </w:tblGrid>
      <w:tr w:rsidR="5937A937" w14:paraId="3241AB94" w14:textId="77777777" w:rsidTr="5937A937">
        <w:trPr>
          <w:jc w:val="center"/>
        </w:trPr>
        <w:tc>
          <w:tcPr>
            <w:tcW w:w="2490" w:type="dxa"/>
            <w:tcBorders>
              <w:top w:val="single" w:sz="4" w:space="0" w:color="000000"/>
              <w:bottom w:val="single" w:sz="4" w:space="0" w:color="000000"/>
            </w:tcBorders>
            <w:vAlign w:val="center"/>
          </w:tcPr>
          <w:p w14:paraId="426E0876" w14:textId="2C5D0C93" w:rsidR="6462FF90" w:rsidRPr="00AD1ED7" w:rsidRDefault="6462FF90" w:rsidP="00111D02">
            <w:pPr>
              <w:spacing w:before="120" w:after="120"/>
              <w:jc w:val="center"/>
              <w:rPr>
                <w:rFonts w:asciiTheme="minorHAnsi" w:hAnsiTheme="minorHAnsi" w:cstheme="minorHAnsi"/>
                <w:b/>
                <w:bCs/>
                <w:color w:val="auto"/>
                <w:sz w:val="18"/>
                <w:szCs w:val="18"/>
              </w:rPr>
            </w:pPr>
            <w:r w:rsidRPr="00AD1ED7">
              <w:rPr>
                <w:rFonts w:asciiTheme="minorHAnsi" w:hAnsiTheme="minorHAnsi" w:cstheme="minorHAnsi"/>
                <w:b/>
                <w:bCs/>
                <w:color w:val="auto"/>
                <w:sz w:val="18"/>
                <w:szCs w:val="18"/>
              </w:rPr>
              <w:t>Life Cycle GHG Reduction</w:t>
            </w:r>
          </w:p>
        </w:tc>
        <w:tc>
          <w:tcPr>
            <w:tcW w:w="2025" w:type="dxa"/>
            <w:tcBorders>
              <w:top w:val="single" w:sz="4" w:space="0" w:color="000000"/>
              <w:bottom w:val="single" w:sz="4" w:space="0" w:color="000000"/>
            </w:tcBorders>
            <w:vAlign w:val="center"/>
          </w:tcPr>
          <w:p w14:paraId="76719692" w14:textId="1ECB541C" w:rsidR="6462FF90" w:rsidRPr="00AD1ED7" w:rsidRDefault="006C794C" w:rsidP="00111D02">
            <w:pPr>
              <w:spacing w:before="120" w:after="120"/>
              <w:jc w:val="center"/>
              <w:rPr>
                <w:rFonts w:asciiTheme="minorHAnsi" w:hAnsiTheme="minorHAnsi" w:cstheme="minorHAnsi"/>
                <w:b/>
                <w:bCs/>
                <w:color w:val="auto"/>
                <w:sz w:val="18"/>
                <w:szCs w:val="18"/>
              </w:rPr>
            </w:pPr>
            <w:r w:rsidRPr="00AD1ED7">
              <w:rPr>
                <w:rFonts w:asciiTheme="minorHAnsi" w:hAnsiTheme="minorHAnsi" w:cstheme="minorHAnsi"/>
                <w:b/>
                <w:bCs/>
                <w:color w:val="auto"/>
                <w:sz w:val="18"/>
                <w:szCs w:val="18"/>
              </w:rPr>
              <w:t>Value of CO</w:t>
            </w:r>
            <w:r w:rsidRPr="00AD1ED7">
              <w:rPr>
                <w:rFonts w:asciiTheme="minorHAnsi" w:hAnsiTheme="minorHAnsi" w:cstheme="minorHAnsi"/>
                <w:b/>
                <w:bCs/>
                <w:color w:val="auto"/>
                <w:sz w:val="18"/>
                <w:szCs w:val="18"/>
                <w:vertAlign w:val="subscript"/>
              </w:rPr>
              <w:t>2eq</w:t>
            </w:r>
            <w:r w:rsidRPr="00AD1ED7">
              <w:rPr>
                <w:rFonts w:asciiTheme="minorHAnsi" w:hAnsiTheme="minorHAnsi" w:cstheme="minorHAnsi"/>
                <w:b/>
                <w:bCs/>
                <w:color w:val="auto"/>
                <w:sz w:val="18"/>
                <w:szCs w:val="18"/>
              </w:rPr>
              <w:t xml:space="preserve"> reduction per ton of Bio-HFO</w:t>
            </w:r>
          </w:p>
        </w:tc>
      </w:tr>
      <w:tr w:rsidR="5937A937" w14:paraId="4DE3641F" w14:textId="77777777" w:rsidTr="5937A937">
        <w:trPr>
          <w:trHeight w:val="300"/>
          <w:jc w:val="center"/>
        </w:trPr>
        <w:tc>
          <w:tcPr>
            <w:tcW w:w="2490" w:type="dxa"/>
            <w:tcBorders>
              <w:top w:val="single" w:sz="4" w:space="0" w:color="000000"/>
            </w:tcBorders>
            <w:vAlign w:val="center"/>
          </w:tcPr>
          <w:p w14:paraId="3EF42C76" w14:textId="38726574"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90 %</w:t>
            </w:r>
          </w:p>
        </w:tc>
        <w:tc>
          <w:tcPr>
            <w:tcW w:w="2025" w:type="dxa"/>
            <w:tcBorders>
              <w:top w:val="single" w:sz="4" w:space="0" w:color="000000"/>
            </w:tcBorders>
            <w:vAlign w:val="center"/>
          </w:tcPr>
          <w:p w14:paraId="472DF21C" w14:textId="19FD914E"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$ 160</w:t>
            </w:r>
          </w:p>
        </w:tc>
      </w:tr>
      <w:tr w:rsidR="5937A937" w14:paraId="10DFF6DF" w14:textId="77777777" w:rsidTr="5937A937">
        <w:trPr>
          <w:jc w:val="center"/>
        </w:trPr>
        <w:tc>
          <w:tcPr>
            <w:tcW w:w="2490" w:type="dxa"/>
            <w:vAlign w:val="center"/>
          </w:tcPr>
          <w:p w14:paraId="6D33CA29" w14:textId="5A90511F"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80 %</w:t>
            </w:r>
          </w:p>
        </w:tc>
        <w:tc>
          <w:tcPr>
            <w:tcW w:w="2025" w:type="dxa"/>
            <w:vAlign w:val="center"/>
          </w:tcPr>
          <w:p w14:paraId="7D3868AE" w14:textId="612C119E"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$ 142</w:t>
            </w:r>
          </w:p>
        </w:tc>
      </w:tr>
      <w:tr w:rsidR="5937A937" w14:paraId="2F7B8BE5" w14:textId="77777777" w:rsidTr="5937A937">
        <w:trPr>
          <w:jc w:val="center"/>
        </w:trPr>
        <w:tc>
          <w:tcPr>
            <w:tcW w:w="2490" w:type="dxa"/>
            <w:vAlign w:val="center"/>
          </w:tcPr>
          <w:p w14:paraId="6D6E2DFA" w14:textId="1BBE7E03"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70 %</w:t>
            </w:r>
          </w:p>
        </w:tc>
        <w:tc>
          <w:tcPr>
            <w:tcW w:w="2025" w:type="dxa"/>
            <w:vAlign w:val="center"/>
          </w:tcPr>
          <w:p w14:paraId="16D8F30D" w14:textId="1166A917"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$ 124</w:t>
            </w:r>
          </w:p>
        </w:tc>
      </w:tr>
      <w:tr w:rsidR="5937A937" w14:paraId="1700BA52" w14:textId="77777777" w:rsidTr="5937A937">
        <w:trPr>
          <w:jc w:val="center"/>
        </w:trPr>
        <w:tc>
          <w:tcPr>
            <w:tcW w:w="2490" w:type="dxa"/>
            <w:vAlign w:val="center"/>
          </w:tcPr>
          <w:p w14:paraId="7AC32E02" w14:textId="13CCCF0E"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60 %</w:t>
            </w:r>
          </w:p>
        </w:tc>
        <w:tc>
          <w:tcPr>
            <w:tcW w:w="2025" w:type="dxa"/>
            <w:vAlign w:val="center"/>
          </w:tcPr>
          <w:p w14:paraId="35163AB2" w14:textId="5D8F0C28"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$ 106</w:t>
            </w:r>
          </w:p>
        </w:tc>
      </w:tr>
      <w:tr w:rsidR="5937A937" w14:paraId="6F8696B0" w14:textId="77777777" w:rsidTr="5937A937">
        <w:trPr>
          <w:jc w:val="center"/>
        </w:trPr>
        <w:tc>
          <w:tcPr>
            <w:tcW w:w="2490" w:type="dxa"/>
            <w:vAlign w:val="center"/>
          </w:tcPr>
          <w:p w14:paraId="68483D4F" w14:textId="4FB6FFEA"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50 %</w:t>
            </w:r>
          </w:p>
        </w:tc>
        <w:tc>
          <w:tcPr>
            <w:tcW w:w="2025" w:type="dxa"/>
            <w:vAlign w:val="center"/>
          </w:tcPr>
          <w:p w14:paraId="7203835E" w14:textId="7CE7C3CB"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$ 88</w:t>
            </w:r>
          </w:p>
        </w:tc>
      </w:tr>
      <w:tr w:rsidR="5937A937" w14:paraId="56F4CC12" w14:textId="77777777" w:rsidTr="5937A937">
        <w:trPr>
          <w:jc w:val="center"/>
        </w:trPr>
        <w:tc>
          <w:tcPr>
            <w:tcW w:w="2490" w:type="dxa"/>
            <w:tcBorders>
              <w:bottom w:val="single" w:sz="4" w:space="0" w:color="000000"/>
            </w:tcBorders>
            <w:vAlign w:val="center"/>
          </w:tcPr>
          <w:p w14:paraId="46AD5BD9" w14:textId="12CD8DB5"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40 %</w:t>
            </w:r>
          </w:p>
        </w:tc>
        <w:tc>
          <w:tcPr>
            <w:tcW w:w="2025" w:type="dxa"/>
            <w:tcBorders>
              <w:bottom w:val="single" w:sz="4" w:space="0" w:color="000000"/>
            </w:tcBorders>
            <w:vAlign w:val="center"/>
          </w:tcPr>
          <w:p w14:paraId="48564D5E" w14:textId="4436E45D" w:rsidR="6462FF90" w:rsidRPr="00111D02" w:rsidRDefault="6462FF90" w:rsidP="00111D02">
            <w:pPr>
              <w:spacing w:before="120" w:after="120"/>
              <w:jc w:val="center"/>
              <w:rPr>
                <w:rFonts w:asciiTheme="minorHAnsi" w:hAnsiTheme="minorHAnsi" w:cstheme="minorHAnsi"/>
                <w:sz w:val="18"/>
                <w:szCs w:val="18"/>
              </w:rPr>
            </w:pPr>
            <w:r w:rsidRPr="00111D02">
              <w:rPr>
                <w:rFonts w:asciiTheme="minorHAnsi" w:hAnsiTheme="minorHAnsi" w:cstheme="minorHAnsi"/>
                <w:sz w:val="18"/>
                <w:szCs w:val="18"/>
              </w:rPr>
              <w:t>$ 71</w:t>
            </w:r>
          </w:p>
        </w:tc>
      </w:tr>
    </w:tbl>
    <w:p w14:paraId="72167F7F" w14:textId="3A2079AD" w:rsidR="00C53804" w:rsidRPr="00650B23" w:rsidRDefault="00C53804" w:rsidP="65215FB1"/>
    <w:p w14:paraId="416D1277" w14:textId="0F3AD57F" w:rsidR="00C53804" w:rsidRPr="00650B23" w:rsidRDefault="4BDE0E20" w:rsidP="59587566">
      <w:pPr>
        <w:spacing w:after="120" w:line="360" w:lineRule="auto"/>
        <w:ind w:firstLine="720"/>
        <w:rPr>
          <w:rFonts w:asciiTheme="majorHAnsi" w:eastAsiaTheme="majorEastAsia" w:hAnsiTheme="majorHAnsi" w:cstheme="majorBidi"/>
          <w:sz w:val="22"/>
          <w:szCs w:val="22"/>
        </w:rPr>
      </w:pPr>
      <w:r w:rsidRPr="59587566">
        <w:rPr>
          <w:rFonts w:asciiTheme="majorHAnsi" w:eastAsiaTheme="majorEastAsia" w:hAnsiTheme="majorHAnsi" w:cstheme="majorBidi"/>
          <w:sz w:val="22"/>
          <w:szCs w:val="22"/>
        </w:rPr>
        <w:t>T</w:t>
      </w:r>
      <w:r w:rsidR="77293ABE" w:rsidRPr="59587566">
        <w:rPr>
          <w:rFonts w:asciiTheme="majorHAnsi" w:eastAsiaTheme="majorEastAsia" w:hAnsiTheme="majorHAnsi" w:cstheme="majorBidi"/>
          <w:sz w:val="22"/>
          <w:szCs w:val="22"/>
        </w:rPr>
        <w:t>he</w:t>
      </w:r>
      <w:r w:rsidR="274BF171" w:rsidRPr="59587566">
        <w:rPr>
          <w:rFonts w:asciiTheme="majorHAnsi" w:eastAsiaTheme="majorEastAsia" w:hAnsiTheme="majorHAnsi" w:cstheme="majorBidi"/>
          <w:sz w:val="22"/>
          <w:szCs w:val="22"/>
        </w:rPr>
        <w:t xml:space="preserve">se </w:t>
      </w:r>
      <w:r w:rsidR="15209289" w:rsidRPr="59587566">
        <w:rPr>
          <w:rFonts w:asciiTheme="majorHAnsi" w:eastAsiaTheme="majorEastAsia" w:hAnsiTheme="majorHAnsi" w:cstheme="majorBidi"/>
          <w:sz w:val="22"/>
          <w:szCs w:val="22"/>
        </w:rPr>
        <w:t>assumptions</w:t>
      </w:r>
      <w:r w:rsidRPr="59587566">
        <w:rPr>
          <w:rFonts w:asciiTheme="majorHAnsi" w:eastAsiaTheme="majorEastAsia" w:hAnsiTheme="majorHAnsi" w:cstheme="majorBidi"/>
          <w:sz w:val="22"/>
          <w:szCs w:val="22"/>
        </w:rPr>
        <w:t xml:space="preserve"> however, </w:t>
      </w:r>
      <w:r w:rsidR="13960378" w:rsidRPr="59587566">
        <w:rPr>
          <w:rFonts w:asciiTheme="majorHAnsi" w:eastAsiaTheme="majorEastAsia" w:hAnsiTheme="majorHAnsi" w:cstheme="majorBidi"/>
          <w:sz w:val="22"/>
          <w:szCs w:val="22"/>
        </w:rPr>
        <w:t xml:space="preserve">might be </w:t>
      </w:r>
      <w:r w:rsidR="5535C38E" w:rsidRPr="59587566">
        <w:rPr>
          <w:rFonts w:asciiTheme="majorHAnsi" w:eastAsiaTheme="majorEastAsia" w:hAnsiTheme="majorHAnsi" w:cstheme="majorBidi"/>
          <w:sz w:val="22"/>
          <w:szCs w:val="22"/>
        </w:rPr>
        <w:t>considered</w:t>
      </w:r>
      <w:r w:rsidR="0A8B5337" w:rsidRPr="59587566">
        <w:rPr>
          <w:rFonts w:asciiTheme="majorHAnsi" w:eastAsiaTheme="majorEastAsia" w:hAnsiTheme="majorHAnsi" w:cstheme="majorBidi"/>
          <w:sz w:val="22"/>
          <w:szCs w:val="22"/>
        </w:rPr>
        <w:t xml:space="preserve"> for alternative fuels competing </w:t>
      </w:r>
      <w:r w:rsidR="19B5B502" w:rsidRPr="59587566">
        <w:rPr>
          <w:rFonts w:asciiTheme="majorHAnsi" w:eastAsiaTheme="majorEastAsia" w:hAnsiTheme="majorHAnsi" w:cstheme="majorBidi"/>
          <w:sz w:val="22"/>
          <w:szCs w:val="22"/>
        </w:rPr>
        <w:t xml:space="preserve">in the same segment </w:t>
      </w:r>
      <w:r w:rsidR="7777B571" w:rsidRPr="59587566">
        <w:rPr>
          <w:rFonts w:asciiTheme="majorHAnsi" w:eastAsiaTheme="majorEastAsia" w:hAnsiTheme="majorHAnsi" w:cstheme="majorBidi"/>
          <w:sz w:val="22"/>
          <w:szCs w:val="22"/>
        </w:rPr>
        <w:t>of</w:t>
      </w:r>
      <w:r w:rsidR="0A8B5337" w:rsidRPr="59587566">
        <w:rPr>
          <w:rFonts w:asciiTheme="majorHAnsi" w:eastAsiaTheme="majorEastAsia" w:hAnsiTheme="majorHAnsi" w:cstheme="majorBidi"/>
          <w:sz w:val="22"/>
          <w:szCs w:val="22"/>
        </w:rPr>
        <w:t xml:space="preserve"> Bio-HFO</w:t>
      </w:r>
      <w:r w:rsidR="5243488E" w:rsidRPr="59587566">
        <w:rPr>
          <w:rFonts w:asciiTheme="majorHAnsi" w:eastAsiaTheme="majorEastAsia" w:hAnsiTheme="majorHAnsi" w:cstheme="majorBidi"/>
          <w:sz w:val="22"/>
          <w:szCs w:val="22"/>
        </w:rPr>
        <w:t>.</w:t>
      </w:r>
      <w:r w:rsidR="3F92B411" w:rsidRPr="59587566">
        <w:rPr>
          <w:rFonts w:asciiTheme="majorHAnsi" w:eastAsiaTheme="majorEastAsia" w:hAnsiTheme="majorHAnsi" w:cstheme="majorBidi"/>
          <w:sz w:val="22"/>
          <w:szCs w:val="22"/>
        </w:rPr>
        <w:t xml:space="preserve"> </w:t>
      </w:r>
      <w:r w:rsidR="275321CF" w:rsidRPr="59587566">
        <w:rPr>
          <w:rFonts w:asciiTheme="majorHAnsi" w:eastAsiaTheme="majorEastAsia" w:hAnsiTheme="majorHAnsi" w:cstheme="majorBidi"/>
          <w:sz w:val="22"/>
          <w:szCs w:val="22"/>
        </w:rPr>
        <w:t xml:space="preserve">It is essential, therefore, to obtain a product </w:t>
      </w:r>
      <w:r w:rsidR="0015719B">
        <w:rPr>
          <w:rStyle w:val="normaltextrun"/>
          <w:rFonts w:cs="Calibri"/>
          <w:color w:val="1F1F1F"/>
          <w:sz w:val="22"/>
          <w:szCs w:val="22"/>
          <w:bdr w:val="none" w:sz="0" w:space="0" w:color="auto" w:frame="1"/>
        </w:rPr>
        <w:t>which is compatible with fossil blending</w:t>
      </w:r>
      <w:r w:rsidR="37EE770F" w:rsidRPr="59587566">
        <w:rPr>
          <w:rFonts w:asciiTheme="majorHAnsi" w:eastAsiaTheme="majorEastAsia" w:hAnsiTheme="majorHAnsi" w:cstheme="majorBidi"/>
          <w:sz w:val="22"/>
          <w:szCs w:val="22"/>
        </w:rPr>
        <w:t xml:space="preserve">, </w:t>
      </w:r>
      <w:r w:rsidR="0015719B">
        <w:rPr>
          <w:rFonts w:asciiTheme="majorHAnsi" w:eastAsiaTheme="majorEastAsia" w:hAnsiTheme="majorHAnsi" w:cstheme="majorBidi"/>
          <w:sz w:val="22"/>
          <w:szCs w:val="22"/>
        </w:rPr>
        <w:t>making</w:t>
      </w:r>
      <w:r w:rsidR="37EE770F" w:rsidRPr="59587566">
        <w:rPr>
          <w:rFonts w:asciiTheme="majorHAnsi" w:eastAsiaTheme="majorEastAsia" w:hAnsiTheme="majorHAnsi" w:cstheme="majorBidi"/>
          <w:sz w:val="22"/>
          <w:szCs w:val="22"/>
        </w:rPr>
        <w:t xml:space="preserve"> it even more attractive to end users.</w:t>
      </w:r>
      <w:r w:rsidR="4B69B05F" w:rsidRPr="59587566">
        <w:rPr>
          <w:rFonts w:asciiTheme="majorHAnsi" w:eastAsiaTheme="majorEastAsia" w:hAnsiTheme="majorHAnsi" w:cstheme="majorBidi"/>
          <w:sz w:val="22"/>
          <w:szCs w:val="22"/>
        </w:rPr>
        <w:t xml:space="preserve"> Another relevant aspect </w:t>
      </w:r>
      <w:r w:rsidR="2B75E480" w:rsidRPr="59587566">
        <w:rPr>
          <w:rFonts w:asciiTheme="majorHAnsi" w:eastAsiaTheme="majorEastAsia" w:hAnsiTheme="majorHAnsi" w:cstheme="majorBidi"/>
          <w:sz w:val="22"/>
          <w:szCs w:val="22"/>
        </w:rPr>
        <w:t>relates</w:t>
      </w:r>
      <w:r w:rsidR="4B69B05F" w:rsidRPr="59587566">
        <w:rPr>
          <w:rFonts w:asciiTheme="majorHAnsi" w:eastAsiaTheme="majorEastAsia" w:hAnsiTheme="majorHAnsi" w:cstheme="majorBidi"/>
          <w:sz w:val="22"/>
          <w:szCs w:val="22"/>
        </w:rPr>
        <w:t xml:space="preserve"> to the production costs, which can outnumber the premi</w:t>
      </w:r>
      <w:r w:rsidR="34CBE9C5" w:rsidRPr="59587566">
        <w:rPr>
          <w:rFonts w:asciiTheme="majorHAnsi" w:eastAsiaTheme="majorEastAsia" w:hAnsiTheme="majorHAnsi" w:cstheme="majorBidi"/>
          <w:sz w:val="22"/>
          <w:szCs w:val="22"/>
        </w:rPr>
        <w:t>um benefit, for example, FAME</w:t>
      </w:r>
      <w:r w:rsidR="0015719B">
        <w:rPr>
          <w:rFonts w:asciiTheme="majorHAnsi" w:eastAsiaTheme="majorEastAsia" w:hAnsiTheme="majorHAnsi" w:cstheme="majorBidi"/>
          <w:sz w:val="22"/>
          <w:szCs w:val="22"/>
        </w:rPr>
        <w:t xml:space="preserve"> (Figure 8)</w:t>
      </w:r>
      <w:r w:rsidR="31918206" w:rsidRPr="59587566">
        <w:rPr>
          <w:rFonts w:asciiTheme="majorHAnsi" w:eastAsiaTheme="majorEastAsia" w:hAnsiTheme="majorHAnsi" w:cstheme="majorBidi"/>
          <w:sz w:val="22"/>
          <w:szCs w:val="22"/>
        </w:rPr>
        <w:t xml:space="preserve">. </w:t>
      </w:r>
      <w:r w:rsidR="287BE663" w:rsidRPr="59587566">
        <w:rPr>
          <w:rFonts w:asciiTheme="majorHAnsi" w:eastAsiaTheme="majorEastAsia" w:hAnsiTheme="majorHAnsi" w:cstheme="majorBidi"/>
          <w:sz w:val="22"/>
          <w:szCs w:val="22"/>
        </w:rPr>
        <w:t xml:space="preserve">Based on the </w:t>
      </w:r>
      <w:r w:rsidR="051F2C1B" w:rsidRPr="59587566">
        <w:rPr>
          <w:rFonts w:asciiTheme="majorHAnsi" w:eastAsiaTheme="majorEastAsia" w:hAnsiTheme="majorHAnsi" w:cstheme="majorBidi"/>
          <w:sz w:val="22"/>
          <w:szCs w:val="22"/>
        </w:rPr>
        <w:t xml:space="preserve">report of Oak Ridge </w:t>
      </w:r>
      <w:r w:rsidR="051F2C1B" w:rsidRPr="59587566">
        <w:rPr>
          <w:rFonts w:asciiTheme="majorHAnsi" w:eastAsiaTheme="majorEastAsia" w:hAnsiTheme="majorHAnsi" w:cstheme="majorBidi"/>
          <w:sz w:val="22"/>
          <w:szCs w:val="22"/>
        </w:rPr>
        <w:lastRenderedPageBreak/>
        <w:t>National Laboratory</w:t>
      </w:r>
      <w:r w:rsidR="713CACA1" w:rsidRPr="59587566">
        <w:rPr>
          <w:rFonts w:asciiTheme="majorHAnsi" w:eastAsiaTheme="majorEastAsia" w:hAnsiTheme="majorHAnsi" w:cstheme="majorBidi"/>
          <w:sz w:val="22"/>
          <w:szCs w:val="22"/>
        </w:rPr>
        <w:t xml:space="preserve"> (2018) funded by the US Department of Energy, a </w:t>
      </w:r>
      <w:r w:rsidR="4CD2A433" w:rsidRPr="59587566">
        <w:rPr>
          <w:rFonts w:asciiTheme="majorHAnsi" w:eastAsiaTheme="majorEastAsia" w:hAnsiTheme="majorHAnsi" w:cstheme="majorBidi"/>
          <w:sz w:val="22"/>
          <w:szCs w:val="22"/>
        </w:rPr>
        <w:t xml:space="preserve">preliminary price for </w:t>
      </w:r>
      <w:r w:rsidR="46531605" w:rsidRPr="59587566">
        <w:rPr>
          <w:rFonts w:asciiTheme="majorHAnsi" w:eastAsiaTheme="majorEastAsia" w:hAnsiTheme="majorHAnsi" w:cstheme="majorBidi"/>
          <w:sz w:val="22"/>
          <w:szCs w:val="22"/>
        </w:rPr>
        <w:t xml:space="preserve">a </w:t>
      </w:r>
      <w:r w:rsidR="4CD2A433" w:rsidRPr="59587566">
        <w:rPr>
          <w:rFonts w:asciiTheme="majorHAnsi" w:eastAsiaTheme="majorEastAsia" w:hAnsiTheme="majorHAnsi" w:cstheme="majorBidi"/>
          <w:sz w:val="22"/>
          <w:szCs w:val="22"/>
        </w:rPr>
        <w:t>marine fuel produced from lignocellulosic material</w:t>
      </w:r>
      <w:r w:rsidR="4D1A2B73" w:rsidRPr="59587566">
        <w:rPr>
          <w:rFonts w:asciiTheme="majorHAnsi" w:eastAsiaTheme="majorEastAsia" w:hAnsiTheme="majorHAnsi" w:cstheme="majorBidi"/>
          <w:sz w:val="22"/>
          <w:szCs w:val="22"/>
        </w:rPr>
        <w:t>,</w:t>
      </w:r>
      <w:r w:rsidR="4CD2A433" w:rsidRPr="59587566">
        <w:rPr>
          <w:rFonts w:asciiTheme="majorHAnsi" w:eastAsiaTheme="majorEastAsia" w:hAnsiTheme="majorHAnsi" w:cstheme="majorBidi"/>
          <w:sz w:val="22"/>
          <w:szCs w:val="22"/>
        </w:rPr>
        <w:t xml:space="preserve"> by means of hydrothermal </w:t>
      </w:r>
      <w:r w:rsidR="2EE27CC7" w:rsidRPr="59587566">
        <w:rPr>
          <w:rFonts w:asciiTheme="majorHAnsi" w:eastAsiaTheme="majorEastAsia" w:hAnsiTheme="majorHAnsi" w:cstheme="majorBidi"/>
          <w:sz w:val="22"/>
          <w:szCs w:val="22"/>
        </w:rPr>
        <w:t>liquefaction</w:t>
      </w:r>
      <w:r w:rsidR="6525C5D6" w:rsidRPr="59587566">
        <w:rPr>
          <w:rFonts w:asciiTheme="majorHAnsi" w:eastAsiaTheme="majorEastAsia" w:hAnsiTheme="majorHAnsi" w:cstheme="majorBidi"/>
          <w:sz w:val="22"/>
          <w:szCs w:val="22"/>
        </w:rPr>
        <w:t>,</w:t>
      </w:r>
      <w:r w:rsidR="4CD2A433" w:rsidRPr="59587566">
        <w:rPr>
          <w:rFonts w:asciiTheme="majorHAnsi" w:eastAsiaTheme="majorEastAsia" w:hAnsiTheme="majorHAnsi" w:cstheme="majorBidi"/>
          <w:sz w:val="22"/>
          <w:szCs w:val="22"/>
        </w:rPr>
        <w:t xml:space="preserve"> </w:t>
      </w:r>
      <w:r w:rsidR="36DDCAB4" w:rsidRPr="59587566">
        <w:rPr>
          <w:rFonts w:asciiTheme="majorHAnsi" w:eastAsiaTheme="majorEastAsia" w:hAnsiTheme="majorHAnsi" w:cstheme="majorBidi"/>
          <w:sz w:val="22"/>
          <w:szCs w:val="22"/>
        </w:rPr>
        <w:t>would be around $ 650/ ton.</w:t>
      </w:r>
      <w:r w:rsidR="713CACA1" w:rsidRPr="59587566">
        <w:rPr>
          <w:rFonts w:asciiTheme="majorHAnsi" w:eastAsiaTheme="majorEastAsia" w:hAnsiTheme="majorHAnsi" w:cstheme="majorBidi"/>
          <w:sz w:val="22"/>
          <w:szCs w:val="22"/>
        </w:rPr>
        <w:t xml:space="preserve"> </w:t>
      </w:r>
    </w:p>
    <w:p w14:paraId="2C7601C6" w14:textId="2D527151" w:rsidR="00C53804" w:rsidRPr="00650B23" w:rsidRDefault="00C53804" w:rsidP="65215FB1"/>
    <w:p w14:paraId="68F3CC17" w14:textId="4227BB5B" w:rsidR="00C53804" w:rsidRPr="00650B23" w:rsidRDefault="00C53804" w:rsidP="65215FB1"/>
    <w:p w14:paraId="7424A055" w14:textId="78EF8839" w:rsidR="00C53804" w:rsidRPr="00650B23" w:rsidRDefault="654CA926" w:rsidP="005D6854">
      <w:pPr>
        <w:pStyle w:val="Heading2"/>
      </w:pPr>
      <w:bookmarkStart w:id="36" w:name="_Toc84019458"/>
      <w:r>
        <w:t>Technology Maturity</w:t>
      </w:r>
      <w:bookmarkEnd w:id="36"/>
    </w:p>
    <w:p w14:paraId="460C5D9F" w14:textId="29C54D45" w:rsidR="00C53804" w:rsidRPr="00650B23" w:rsidRDefault="00C53804" w:rsidP="65215FB1"/>
    <w:p w14:paraId="68EB2081" w14:textId="7475D617" w:rsidR="00A11736" w:rsidRDefault="00A11736" w:rsidP="5937A937">
      <w:pPr>
        <w:spacing w:line="360" w:lineRule="auto"/>
        <w:ind w:firstLine="444"/>
        <w:rPr>
          <w:rFonts w:eastAsia="Calibri" w:cs="Calibri"/>
          <w:sz w:val="22"/>
          <w:szCs w:val="22"/>
          <w:lang w:val="en-GB"/>
        </w:rPr>
      </w:pPr>
      <w:r>
        <w:rPr>
          <w:rStyle w:val="normaltextrun"/>
          <w:rFonts w:cs="Calibri"/>
          <w:color w:val="1F1F1F"/>
          <w:sz w:val="22"/>
          <w:szCs w:val="22"/>
          <w:shd w:val="clear" w:color="auto" w:fill="FFFFFF"/>
          <w:lang w:val="en-GB"/>
        </w:rPr>
        <w:t>Today, a few biofuels have a large production capacity to meet the volumes required in marine market. The</w:t>
      </w:r>
      <w:r w:rsidR="0015719B">
        <w:rPr>
          <w:rStyle w:val="normaltextrun"/>
          <w:rFonts w:cs="Calibri"/>
          <w:color w:val="1F1F1F"/>
          <w:sz w:val="22"/>
          <w:szCs w:val="22"/>
          <w:shd w:val="clear" w:color="auto" w:fill="FFFFFF"/>
          <w:lang w:val="en-GB"/>
        </w:rPr>
        <w:t>ir</w:t>
      </w:r>
      <w:r>
        <w:rPr>
          <w:rStyle w:val="normaltextrun"/>
          <w:rFonts w:cs="Calibri"/>
          <w:color w:val="1F1F1F"/>
          <w:sz w:val="22"/>
          <w:szCs w:val="22"/>
          <w:shd w:val="clear" w:color="auto" w:fill="FFFFFF"/>
          <w:lang w:val="en-GB"/>
        </w:rPr>
        <w:t xml:space="preserve"> availability at large scale is one of the main factors that affect competitiveness</w:t>
      </w:r>
      <w:r w:rsidR="0015719B">
        <w:rPr>
          <w:rStyle w:val="normaltextrun"/>
          <w:rFonts w:cs="Calibri"/>
          <w:color w:val="1F1F1F"/>
          <w:sz w:val="22"/>
          <w:szCs w:val="22"/>
          <w:shd w:val="clear" w:color="auto" w:fill="FFFFFF"/>
          <w:lang w:val="en-GB"/>
        </w:rPr>
        <w:t>, a</w:t>
      </w:r>
      <w:r>
        <w:rPr>
          <w:rStyle w:val="normaltextrun"/>
          <w:rFonts w:cs="Calibri"/>
          <w:color w:val="1F1F1F"/>
          <w:sz w:val="22"/>
          <w:szCs w:val="22"/>
          <w:shd w:val="clear" w:color="auto" w:fill="FFFFFF"/>
          <w:lang w:val="en-GB"/>
        </w:rPr>
        <w:t xml:space="preserve">t the same time </w:t>
      </w:r>
      <w:r w:rsidR="0015719B">
        <w:rPr>
          <w:rStyle w:val="normaltextrun"/>
          <w:rFonts w:cs="Calibri"/>
          <w:color w:val="1F1F1F"/>
          <w:sz w:val="22"/>
          <w:szCs w:val="22"/>
          <w:shd w:val="clear" w:color="auto" w:fill="FFFFFF"/>
          <w:lang w:val="en-GB"/>
        </w:rPr>
        <w:t>that it is dependent</w:t>
      </w:r>
      <w:r>
        <w:rPr>
          <w:rStyle w:val="normaltextrun"/>
          <w:rFonts w:cs="Calibri"/>
          <w:color w:val="1F1F1F"/>
          <w:sz w:val="22"/>
          <w:szCs w:val="22"/>
          <w:shd w:val="clear" w:color="auto" w:fill="FFFFFF"/>
          <w:lang w:val="en-GB"/>
        </w:rPr>
        <w:t xml:space="preserve"> on the demand. Technological and market maturity is measure according to its readiness level (technology-TRL &amp; commercial CRL) </w:t>
      </w:r>
      <w:r w:rsidR="00D63679">
        <w:rPr>
          <w:rStyle w:val="normaltextrun"/>
          <w:rFonts w:cs="Calibri"/>
          <w:color w:val="1F1F1F"/>
          <w:sz w:val="22"/>
          <w:szCs w:val="22"/>
          <w:shd w:val="clear" w:color="auto" w:fill="FFFFFF"/>
          <w:lang w:val="en-GB"/>
        </w:rPr>
        <w:fldChar w:fldCharType="begin" w:fldLock="1"/>
      </w:r>
      <w:r w:rsidR="00EA4AC9">
        <w:rPr>
          <w:rStyle w:val="normaltextrun"/>
          <w:rFonts w:cs="Calibri"/>
          <w:color w:val="1F1F1F"/>
          <w:sz w:val="22"/>
          <w:szCs w:val="22"/>
          <w:shd w:val="clear" w:color="auto" w:fill="FFFFFF"/>
          <w:lang w:val="en-GB"/>
        </w:rPr>
        <w:instrText>ADDIN CSL_CITATION {"citationItems":[{"id":"ITEM-1","itemData":{"DOI":"10.1016/j.jclepro.2021.125849","ISSN":"09596526","abstract":"The maritime sector is a key asset for the world economy, but its environmental impact represents a major concern. The sector is primarily supplied with Heavy Fuel Oil, which results in high pollutant emissions. The sector has set targets for deacrbonisation, and alternative fuels have been identified as a short-to medium-term option. The paper addresses the complexity related to the activities of the maritime industry, and discusses the possible contribution of alternative fuels. A sector segmentation is proposed to define the consumption of each sub-segment, so to compare it with the current alternative fuel availability at European level. The paper shows that costs and GHG savings are fundamental enablers for the uptake of alternative fuels, but other aspects are also crucial: technical maturity, safety regulation, expertise needed, etc. The demand for alternative fuels has to be supported by an existing, reliable infrastructure, and this is not yet the case for many solutions (i.e. electricity, hydrogen or methanol). Various options are already available for maritime sector, but the future mix of fuels used will depend on technology improvements, availability, costs and the real potential for GHG emissions reduction.","author":[{"dropping-particle":"","family":"Prussi","given":"M.","non-dropping-particle":"","parse-names":false,"suffix":""},{"dropping-particle":"","family":"Scarlat","given":"N.","non-dropping-particle":"","parse-names":false,"suffix":""},{"dropping-particle":"","family":"Acciaro","given":"M.","non-dropping-particle":"","parse-names":false,"suffix":""},{"dropping-particle":"","family":"Kosmas","given":"V.","non-dropping-particle":"","parse-names":false,"suffix":""}],"container-title":"Journal of Cleaner Production","id":"ITEM-1","issued":{"date-parts":[["2021"]]},"page":"125849","publisher":"Elsevier Ltd","title":"Potential and limiting factors in the use of alternative fuels in the European maritime sector","type":"article-journal","volume":"291"},"uris":["http://www.mendeley.com/documents/?uuid=d5e5321a-a42e-42c8-9aad-3f35cc92c536"]},{"id":"ITEM-2","itemData":{"DOI":"10.1016/j.rser.2021.110715","ISSN":"13640321","abstract":"The European New Green Deal and the REDII set ambitious targets, aiming to achieve a climate-neutral Europe by 2050. The transport sector is the most critical area to decarbonize, given the rigidity of both infrastructure and end-use technologies, as well as the challenge of reaching cost-effective production of sustainable advanced renewable fuels. Several researchers, stakeholders and groups of interest, such as international and governmental organisations, NGOs, business analysists, scientists and other actors elaborated scenarios on biofuels market penetration by 2050. These studies are largely used by policy makers, even if not necessarily were subject to a rigid peer review and verification process. This work presents an extensive literature review of the main published investigations, to assess and quantify the authors' different visions. These forecasts intend to evaluate the possible future development of the sector based on current and foreseeable policies, as well as industry and investors' business plans; at the same time, these estimates should also provide policy makers with a sound base for policy development towards achieving climate goals. Through preliminary screening, based on a methodology of a set of ex-ante conditions, this work identified the most relevant publications and structured the analysis of the collected data. A total of 18 publications were selected from the literature review, resulting in 56 scenarios to be examined. This work allowed to achieve a comprehensive summary and quantification of the selected scenarios, all of which focus on biofuel contribution to transport decarbonisation in the period 2030–2050. Given the occurrence of several factors, as the ongoing and future technological development, the adoption of more efficient mobility models, the hybridization and electrification of transports, the Total Fuel Consumption for the transport sector is expected to reduce in Europe: averaged projections from the analyzed scenarios account for 312.8 Mtoe in 2030 and 274.2 Mtoe in 2050. Biofuels are expected to significantly contribute to achieve the EU targets, with a progressive shift towards advanced feedstock: on average, their total contribution is expected to account for 24.5 Mtoe in 2030, and for 48.3 Mtoe in 2050, while advanced biofuels are projected for an average contribution of 8.7 Mtoe in 2030 and 36.5 Mtoe in 2050. This work analysed pre-pandemic published scenarios: the effects that the COVID-19 pandemic i…","author":[{"dropping-particle":"","family":"Chiaramonti","given":"David","non-dropping-particle":"","parse-names":false,"suffix":""},{"dropping-particle":"","family":"Talluri","given":"Giacomo","non-dropping-particle":"","parse-names":false,"suffix":""},{"dropping-particle":"","family":"Scarlat","given":"Nicolae","non-dropping-particle":"","parse-names":false,"suffix":""},{"dropping-particle":"","family":"Prussi","given":"Matteo","non-dropping-particle":"","parse-names":false,"suffix":""}],"container-title":"Renewable and Sustainable Energy Reviews","id":"ITEM-2","issue":"January","issued":{"date-parts":[["2021"]]},"page":"110715","publisher":"Elsevier Ltd","title":"The challenge of forecasting the role of biofuel in EU transport decarbonisation at 2050: A meta-analysis review of published scenarios","type":"article-journal","volume":"139"},"uris":["http://www.mendeley.com/documents/?uuid=ad51fdf3-8721-42f9-85d1-82efd095ee6f"]}],"mendeley":{"formattedCitation":"(Chiaramonti et al., 2021; Prussi et al., 2021)","plainTextFormattedCitation":"(Chiaramonti et al., 2021; Prussi et al., 2021)","previouslyFormattedCitation":"(Chiaramonti et al., 2021; Prussi et al., 2021)"},"properties":{"noteIndex":0},"schema":"https://github.com/citation-style-language/schema/raw/master/csl-citation.json"}</w:instrText>
      </w:r>
      <w:r w:rsidR="00D63679">
        <w:rPr>
          <w:rStyle w:val="normaltextrun"/>
          <w:rFonts w:cs="Calibri"/>
          <w:color w:val="1F1F1F"/>
          <w:sz w:val="22"/>
          <w:szCs w:val="22"/>
          <w:shd w:val="clear" w:color="auto" w:fill="FFFFFF"/>
          <w:lang w:val="en-GB"/>
        </w:rPr>
        <w:fldChar w:fldCharType="separate"/>
      </w:r>
      <w:r w:rsidR="00D63679" w:rsidRPr="00D63679">
        <w:rPr>
          <w:rStyle w:val="normaltextrun"/>
          <w:rFonts w:cs="Calibri"/>
          <w:noProof/>
          <w:color w:val="1F1F1F"/>
          <w:sz w:val="22"/>
          <w:szCs w:val="22"/>
          <w:shd w:val="clear" w:color="auto" w:fill="FFFFFF"/>
          <w:lang w:val="en-GB"/>
        </w:rPr>
        <w:t>(Chiaramonti et al., 2021; Prussi et al., 2021)</w:t>
      </w:r>
      <w:r w:rsidR="00D63679">
        <w:rPr>
          <w:rStyle w:val="normaltextrun"/>
          <w:rFonts w:cs="Calibri"/>
          <w:color w:val="1F1F1F"/>
          <w:sz w:val="22"/>
          <w:szCs w:val="22"/>
          <w:shd w:val="clear" w:color="auto" w:fill="FFFFFF"/>
          <w:lang w:val="en-GB"/>
        </w:rPr>
        <w:fldChar w:fldCharType="end"/>
      </w:r>
      <w:r>
        <w:rPr>
          <w:rStyle w:val="normaltextrun"/>
          <w:rFonts w:cs="Calibri"/>
          <w:color w:val="1F1F1F"/>
          <w:sz w:val="22"/>
          <w:szCs w:val="22"/>
          <w:shd w:val="clear" w:color="auto" w:fill="FFFFFF"/>
          <w:lang w:val="en-GB"/>
        </w:rPr>
        <w:t>. Many biofuels based on lignocellulose feedstock are being developed. It is important to realize that most of these lignocellulose-based fuels have a similar TRL to IDEALFUEL’s B</w:t>
      </w:r>
      <w:r w:rsidR="00FA10D5">
        <w:rPr>
          <w:rStyle w:val="normaltextrun"/>
          <w:rFonts w:cs="Calibri"/>
          <w:color w:val="1F1F1F"/>
          <w:sz w:val="22"/>
          <w:szCs w:val="22"/>
          <w:shd w:val="clear" w:color="auto" w:fill="FFFFFF"/>
          <w:lang w:val="en-GB"/>
        </w:rPr>
        <w:t>io</w:t>
      </w:r>
      <w:r>
        <w:rPr>
          <w:rStyle w:val="normaltextrun"/>
          <w:rFonts w:cs="Calibri"/>
          <w:color w:val="1F1F1F"/>
          <w:sz w:val="22"/>
          <w:szCs w:val="22"/>
          <w:shd w:val="clear" w:color="auto" w:fill="FFFFFF"/>
          <w:lang w:val="en-GB"/>
        </w:rPr>
        <w:t>-HFO, and might represent</w:t>
      </w:r>
      <w:r w:rsidR="00FA10D5">
        <w:rPr>
          <w:rStyle w:val="normaltextrun"/>
          <w:rFonts w:cs="Calibri"/>
          <w:color w:val="1F1F1F"/>
          <w:sz w:val="22"/>
          <w:szCs w:val="22"/>
          <w:shd w:val="clear" w:color="auto" w:fill="FFFFFF"/>
          <w:lang w:val="en-GB"/>
        </w:rPr>
        <w:t xml:space="preserve"> </w:t>
      </w:r>
      <w:r>
        <w:rPr>
          <w:rStyle w:val="normaltextrun"/>
          <w:rFonts w:cs="Calibri"/>
          <w:color w:val="1F1F1F"/>
          <w:sz w:val="22"/>
          <w:szCs w:val="22"/>
          <w:shd w:val="clear" w:color="auto" w:fill="FFFFFF"/>
          <w:lang w:val="en-GB"/>
        </w:rPr>
        <w:t>potential competition. </w:t>
      </w:r>
      <w:r>
        <w:rPr>
          <w:rStyle w:val="eop"/>
          <w:rFonts w:cs="Calibri"/>
          <w:color w:val="1F1F1F"/>
          <w:sz w:val="22"/>
          <w:szCs w:val="22"/>
          <w:shd w:val="clear" w:color="auto" w:fill="FFFFFF"/>
        </w:rPr>
        <w:t> </w:t>
      </w:r>
    </w:p>
    <w:p w14:paraId="0362F933" w14:textId="4549A11B" w:rsidR="3E1FB59D" w:rsidRPr="008E3076" w:rsidRDefault="3E1FB59D" w:rsidP="5937A937">
      <w:pPr>
        <w:rPr>
          <w:b/>
          <w:bCs/>
        </w:rPr>
      </w:pPr>
    </w:p>
    <w:p w14:paraId="34174203" w14:textId="750EB429" w:rsidR="002E4890" w:rsidRDefault="002E4890" w:rsidP="002E4890">
      <w:pPr>
        <w:pStyle w:val="Caption"/>
        <w:keepNext/>
      </w:pPr>
      <w:bookmarkStart w:id="37" w:name="_Toc83296288"/>
      <w:r>
        <w:t xml:space="preserve">Table </w:t>
      </w:r>
      <w:fldSimple w:instr=" SEQ Table \* ARABIC ">
        <w:r>
          <w:rPr>
            <w:noProof/>
          </w:rPr>
          <w:t>5</w:t>
        </w:r>
      </w:fldSimple>
      <w:r>
        <w:t xml:space="preserve">. </w:t>
      </w:r>
      <w:r w:rsidRPr="00B655CF">
        <w:t>Comparative of biofuels and their development status (</w:t>
      </w:r>
      <w:r w:rsidR="006D4736">
        <w:t xml:space="preserve">source: </w:t>
      </w:r>
      <w:proofErr w:type="spellStart"/>
      <w:r w:rsidRPr="00B655CF">
        <w:t>Panoutsou</w:t>
      </w:r>
      <w:proofErr w:type="spellEnd"/>
      <w:r w:rsidRPr="00B655CF">
        <w:t xml:space="preserve"> et al., 2021; </w:t>
      </w:r>
      <w:proofErr w:type="spellStart"/>
      <w:r w:rsidRPr="00B655CF">
        <w:t>Prussi</w:t>
      </w:r>
      <w:proofErr w:type="spellEnd"/>
      <w:r w:rsidRPr="00B655CF">
        <w:t xml:space="preserve"> et al., 2021; Verbeek et al., 2020</w:t>
      </w:r>
      <w:r w:rsidR="00EE483E">
        <w:t>; Final</w:t>
      </w:r>
      <w:r w:rsidR="00452B7B">
        <w:t>, 2021</w:t>
      </w:r>
      <w:r w:rsidRPr="00B655CF">
        <w:t>)</w:t>
      </w:r>
      <w:bookmarkEnd w:id="37"/>
    </w:p>
    <w:tbl>
      <w:tblPr>
        <w:tblStyle w:val="TableGrid"/>
        <w:tblW w:w="0" w:type="auto"/>
        <w:jc w:val="center"/>
        <w:tblLayout w:type="fixed"/>
        <w:tblLook w:val="06A0" w:firstRow="1" w:lastRow="0" w:firstColumn="1" w:lastColumn="0" w:noHBand="1" w:noVBand="1"/>
      </w:tblPr>
      <w:tblGrid>
        <w:gridCol w:w="2865"/>
        <w:gridCol w:w="1950"/>
        <w:gridCol w:w="2415"/>
        <w:gridCol w:w="1320"/>
      </w:tblGrid>
      <w:tr w:rsidR="5937A937" w14:paraId="6BE39E0F" w14:textId="77777777" w:rsidTr="00A11736">
        <w:trPr>
          <w:jc w:val="center"/>
        </w:trPr>
        <w:tc>
          <w:tcPr>
            <w:tcW w:w="2865" w:type="dxa"/>
            <w:tcBorders>
              <w:top w:val="nil"/>
              <w:left w:val="nil"/>
              <w:bottom w:val="single" w:sz="8" w:space="0" w:color="auto"/>
              <w:right w:val="nil"/>
            </w:tcBorders>
            <w:vAlign w:val="center"/>
          </w:tcPr>
          <w:p w14:paraId="553B3456" w14:textId="34F19036" w:rsidR="5937A937" w:rsidRDefault="5937A937" w:rsidP="5937A937">
            <w:pPr>
              <w:jc w:val="center"/>
            </w:pPr>
            <w:r w:rsidRPr="5937A937">
              <w:rPr>
                <w:rFonts w:eastAsia="Calibri" w:cs="Calibri"/>
                <w:b/>
                <w:bCs/>
                <w:sz w:val="18"/>
                <w:szCs w:val="18"/>
                <w:lang w:val="en-GB"/>
              </w:rPr>
              <w:t>Feedstock</w:t>
            </w:r>
          </w:p>
        </w:tc>
        <w:tc>
          <w:tcPr>
            <w:tcW w:w="1950" w:type="dxa"/>
            <w:tcBorders>
              <w:top w:val="nil"/>
              <w:left w:val="nil"/>
              <w:bottom w:val="single" w:sz="8" w:space="0" w:color="auto"/>
              <w:right w:val="nil"/>
            </w:tcBorders>
            <w:vAlign w:val="center"/>
          </w:tcPr>
          <w:p w14:paraId="71C2F277" w14:textId="44522A60" w:rsidR="5937A937" w:rsidRDefault="5937A937" w:rsidP="5937A937">
            <w:pPr>
              <w:jc w:val="center"/>
            </w:pPr>
            <w:r w:rsidRPr="5937A937">
              <w:rPr>
                <w:rFonts w:eastAsia="Calibri" w:cs="Calibri"/>
                <w:b/>
                <w:bCs/>
                <w:sz w:val="18"/>
                <w:szCs w:val="18"/>
                <w:lang w:val="en-GB"/>
              </w:rPr>
              <w:t>Conversion</w:t>
            </w:r>
          </w:p>
        </w:tc>
        <w:tc>
          <w:tcPr>
            <w:tcW w:w="2415" w:type="dxa"/>
            <w:tcBorders>
              <w:top w:val="nil"/>
              <w:left w:val="nil"/>
              <w:bottom w:val="single" w:sz="8" w:space="0" w:color="auto"/>
              <w:right w:val="nil"/>
            </w:tcBorders>
            <w:vAlign w:val="center"/>
          </w:tcPr>
          <w:p w14:paraId="57F411D5" w14:textId="69117F8D" w:rsidR="5937A937" w:rsidRDefault="5937A937" w:rsidP="5937A937">
            <w:pPr>
              <w:jc w:val="center"/>
            </w:pPr>
            <w:r w:rsidRPr="5937A937">
              <w:rPr>
                <w:rFonts w:eastAsia="Calibri" w:cs="Calibri"/>
                <w:b/>
                <w:bCs/>
                <w:sz w:val="18"/>
                <w:szCs w:val="18"/>
                <w:lang w:val="en-GB"/>
              </w:rPr>
              <w:t>Biofuel</w:t>
            </w:r>
          </w:p>
        </w:tc>
        <w:tc>
          <w:tcPr>
            <w:tcW w:w="1320" w:type="dxa"/>
            <w:tcBorders>
              <w:top w:val="nil"/>
              <w:left w:val="nil"/>
              <w:bottom w:val="single" w:sz="8" w:space="0" w:color="auto"/>
              <w:right w:val="nil"/>
            </w:tcBorders>
            <w:vAlign w:val="center"/>
          </w:tcPr>
          <w:p w14:paraId="68E287B1" w14:textId="5C79E4EA" w:rsidR="5937A937" w:rsidRDefault="5937A937" w:rsidP="5937A937">
            <w:pPr>
              <w:jc w:val="center"/>
            </w:pPr>
            <w:r w:rsidRPr="5937A937">
              <w:rPr>
                <w:rFonts w:eastAsia="Calibri" w:cs="Calibri"/>
                <w:b/>
                <w:bCs/>
                <w:sz w:val="18"/>
                <w:szCs w:val="18"/>
                <w:lang w:val="en-GB"/>
              </w:rPr>
              <w:t>Status</w:t>
            </w:r>
          </w:p>
        </w:tc>
      </w:tr>
      <w:tr w:rsidR="5937A937" w14:paraId="0AD6CF6B" w14:textId="77777777" w:rsidTr="00A11736">
        <w:trPr>
          <w:jc w:val="center"/>
        </w:trPr>
        <w:tc>
          <w:tcPr>
            <w:tcW w:w="2865" w:type="dxa"/>
            <w:tcBorders>
              <w:top w:val="single" w:sz="8" w:space="0" w:color="auto"/>
              <w:left w:val="nil"/>
              <w:bottom w:val="none" w:sz="4" w:space="0" w:color="000000"/>
              <w:right w:val="nil"/>
            </w:tcBorders>
            <w:vAlign w:val="center"/>
          </w:tcPr>
          <w:p w14:paraId="77C7FA1F" w14:textId="526D8FEB" w:rsidR="5937A937" w:rsidRDefault="5937A937" w:rsidP="5937A937">
            <w:pPr>
              <w:spacing w:after="120"/>
              <w:jc w:val="center"/>
            </w:pPr>
            <w:r w:rsidRPr="5937A937">
              <w:rPr>
                <w:rFonts w:eastAsia="Calibri" w:cs="Calibri"/>
                <w:sz w:val="18"/>
                <w:szCs w:val="18"/>
                <w:lang w:val="en-GB"/>
              </w:rPr>
              <w:t>Waste oils stream: fat, used cocking oil, vegetable oils</w:t>
            </w:r>
          </w:p>
        </w:tc>
        <w:tc>
          <w:tcPr>
            <w:tcW w:w="1950" w:type="dxa"/>
            <w:tcBorders>
              <w:top w:val="single" w:sz="8" w:space="0" w:color="auto"/>
              <w:left w:val="nil"/>
              <w:bottom w:val="none" w:sz="4" w:space="0" w:color="000000"/>
              <w:right w:val="nil"/>
            </w:tcBorders>
            <w:vAlign w:val="center"/>
          </w:tcPr>
          <w:p w14:paraId="54B1F11C" w14:textId="04B69893" w:rsidR="5937A937" w:rsidRDefault="5937A937" w:rsidP="5937A937">
            <w:pPr>
              <w:spacing w:after="120"/>
              <w:jc w:val="center"/>
            </w:pPr>
            <w:r w:rsidRPr="5937A937">
              <w:rPr>
                <w:rFonts w:eastAsia="Calibri" w:cs="Calibri"/>
                <w:sz w:val="18"/>
                <w:szCs w:val="18"/>
                <w:lang w:val="en-GB"/>
              </w:rPr>
              <w:t>Esterification / Hydrotreatment</w:t>
            </w:r>
          </w:p>
        </w:tc>
        <w:tc>
          <w:tcPr>
            <w:tcW w:w="2415" w:type="dxa"/>
            <w:tcBorders>
              <w:top w:val="single" w:sz="8" w:space="0" w:color="auto"/>
              <w:left w:val="nil"/>
              <w:bottom w:val="none" w:sz="4" w:space="0" w:color="000000"/>
              <w:right w:val="nil"/>
            </w:tcBorders>
            <w:vAlign w:val="center"/>
          </w:tcPr>
          <w:p w14:paraId="2B7B74C9" w14:textId="321D7114" w:rsidR="5937A937" w:rsidRDefault="5937A937" w:rsidP="5937A937">
            <w:pPr>
              <w:spacing w:after="120"/>
              <w:jc w:val="center"/>
            </w:pPr>
            <w:r w:rsidRPr="5937A937">
              <w:rPr>
                <w:rFonts w:eastAsia="Calibri" w:cs="Calibri"/>
                <w:sz w:val="18"/>
                <w:szCs w:val="18"/>
                <w:lang w:val="en-GB"/>
              </w:rPr>
              <w:t>FAME / HVO</w:t>
            </w:r>
          </w:p>
        </w:tc>
        <w:tc>
          <w:tcPr>
            <w:tcW w:w="1320" w:type="dxa"/>
            <w:tcBorders>
              <w:top w:val="single" w:sz="8" w:space="0" w:color="auto"/>
              <w:left w:val="nil"/>
              <w:bottom w:val="none" w:sz="4" w:space="0" w:color="000000"/>
              <w:right w:val="nil"/>
            </w:tcBorders>
            <w:vAlign w:val="center"/>
          </w:tcPr>
          <w:p w14:paraId="401F4AD7" w14:textId="6480ADF9" w:rsidR="5937A937" w:rsidRDefault="5937A937" w:rsidP="5937A937">
            <w:pPr>
              <w:spacing w:after="120"/>
              <w:jc w:val="center"/>
            </w:pPr>
            <w:r w:rsidRPr="5937A937">
              <w:rPr>
                <w:rFonts w:eastAsia="Calibri" w:cs="Calibri"/>
                <w:sz w:val="18"/>
                <w:szCs w:val="18"/>
                <w:lang w:val="en-GB"/>
              </w:rPr>
              <w:t>Commercial</w:t>
            </w:r>
          </w:p>
        </w:tc>
      </w:tr>
      <w:tr w:rsidR="5937A937" w14:paraId="0DCD25DA" w14:textId="77777777" w:rsidTr="00A11736">
        <w:trPr>
          <w:jc w:val="center"/>
        </w:trPr>
        <w:tc>
          <w:tcPr>
            <w:tcW w:w="2865" w:type="dxa"/>
            <w:tcBorders>
              <w:top w:val="none" w:sz="4" w:space="0" w:color="000000"/>
              <w:left w:val="none" w:sz="4" w:space="0" w:color="000000"/>
              <w:bottom w:val="nil"/>
              <w:right w:val="none" w:sz="4" w:space="0" w:color="000000"/>
            </w:tcBorders>
            <w:shd w:val="clear" w:color="auto" w:fill="FFFFFF" w:themeFill="background1"/>
            <w:vAlign w:val="center"/>
          </w:tcPr>
          <w:p w14:paraId="725278F2" w14:textId="7BFB6C73" w:rsidR="5937A937" w:rsidRDefault="5937A937" w:rsidP="5937A937">
            <w:pPr>
              <w:spacing w:after="120"/>
              <w:jc w:val="center"/>
            </w:pPr>
            <w:r w:rsidRPr="5937A937">
              <w:rPr>
                <w:rFonts w:eastAsia="Calibri" w:cs="Calibri"/>
                <w:sz w:val="18"/>
                <w:szCs w:val="18"/>
                <w:lang w:val="en-GB"/>
              </w:rPr>
              <w:t>Sewage sludge, animal manure, agricultural residues</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FEF3F8F" w14:textId="71B8E15B" w:rsidR="5937A937" w:rsidRDefault="5937A937" w:rsidP="5937A937">
            <w:pPr>
              <w:spacing w:after="120"/>
              <w:jc w:val="center"/>
            </w:pPr>
            <w:r w:rsidRPr="5937A937">
              <w:rPr>
                <w:rFonts w:eastAsia="Calibri" w:cs="Calibri"/>
                <w:sz w:val="18"/>
                <w:szCs w:val="18"/>
                <w:lang w:val="en-GB"/>
              </w:rPr>
              <w:t>Biogas, methanogenesis</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CEDC627" w14:textId="5D541F94" w:rsidR="5937A937" w:rsidRDefault="5937A937" w:rsidP="5937A937">
            <w:pPr>
              <w:spacing w:after="120"/>
              <w:jc w:val="center"/>
            </w:pPr>
            <w:r w:rsidRPr="5937A937">
              <w:rPr>
                <w:rFonts w:eastAsia="Calibri" w:cs="Calibri"/>
                <w:sz w:val="18"/>
                <w:szCs w:val="18"/>
                <w:lang w:val="en-GB"/>
              </w:rPr>
              <w:t>Biomethane, Bio-LNG</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010BE156" w14:textId="4338EB6B" w:rsidR="5937A937" w:rsidRDefault="5937A937" w:rsidP="5937A937">
            <w:pPr>
              <w:spacing w:after="120"/>
              <w:jc w:val="center"/>
            </w:pPr>
            <w:r w:rsidRPr="5937A937">
              <w:rPr>
                <w:rFonts w:eastAsia="Calibri" w:cs="Calibri"/>
                <w:sz w:val="18"/>
                <w:szCs w:val="18"/>
                <w:lang w:val="en-GB"/>
              </w:rPr>
              <w:t>Commercial</w:t>
            </w:r>
          </w:p>
        </w:tc>
      </w:tr>
      <w:tr w:rsidR="5937A937" w14:paraId="1C3E1F37" w14:textId="77777777" w:rsidTr="00A11736">
        <w:trPr>
          <w:jc w:val="center"/>
        </w:trPr>
        <w:tc>
          <w:tcPr>
            <w:tcW w:w="2865" w:type="dxa"/>
            <w:vMerge w:val="restart"/>
            <w:tcBorders>
              <w:top w:val="nil"/>
              <w:left w:val="nil"/>
              <w:bottom w:val="nil"/>
              <w:right w:val="nil"/>
            </w:tcBorders>
            <w:shd w:val="clear" w:color="auto" w:fill="FFFFFF" w:themeFill="background1"/>
            <w:vAlign w:val="center"/>
          </w:tcPr>
          <w:p w14:paraId="64630BDE" w14:textId="06FF82E9" w:rsidR="5937A937" w:rsidRDefault="5937A937" w:rsidP="5937A937">
            <w:pPr>
              <w:spacing w:after="120"/>
              <w:jc w:val="center"/>
            </w:pPr>
            <w:r w:rsidRPr="5937A937">
              <w:rPr>
                <w:rFonts w:eastAsia="Calibri" w:cs="Calibri"/>
                <w:sz w:val="18"/>
                <w:szCs w:val="18"/>
                <w:lang w:val="en-GB"/>
              </w:rPr>
              <w:t>Lignocellulose</w:t>
            </w:r>
          </w:p>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4E6FFFD0" w14:textId="3FAF9450" w:rsidR="5937A937" w:rsidRDefault="5937A937" w:rsidP="5937A937">
            <w:pPr>
              <w:spacing w:after="120"/>
              <w:jc w:val="center"/>
            </w:pPr>
            <w:r w:rsidRPr="5937A937">
              <w:rPr>
                <w:rFonts w:eastAsia="Calibri" w:cs="Calibri"/>
                <w:sz w:val="18"/>
                <w:szCs w:val="18"/>
                <w:lang w:val="en-GB"/>
              </w:rPr>
              <w:t>Enzymatic saccharification and fermentation</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EFF6A6C" w14:textId="6E181245" w:rsidR="5937A937" w:rsidRDefault="5937A937" w:rsidP="5937A937">
            <w:pPr>
              <w:spacing w:after="120"/>
              <w:jc w:val="center"/>
            </w:pPr>
            <w:r w:rsidRPr="5937A937">
              <w:rPr>
                <w:rFonts w:eastAsia="Calibri" w:cs="Calibri"/>
                <w:sz w:val="18"/>
                <w:szCs w:val="18"/>
                <w:lang w:val="en-GB"/>
              </w:rPr>
              <w:t>Ethanol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3018938" w14:textId="1EE18BEC" w:rsidR="5937A937" w:rsidRDefault="5937A937" w:rsidP="5937A937">
            <w:pPr>
              <w:spacing w:after="120"/>
              <w:jc w:val="center"/>
            </w:pPr>
            <w:r w:rsidRPr="5937A937">
              <w:rPr>
                <w:rFonts w:eastAsia="Calibri" w:cs="Calibri"/>
                <w:sz w:val="18"/>
                <w:szCs w:val="18"/>
                <w:lang w:val="en-GB"/>
              </w:rPr>
              <w:t>TRL 8- 9</w:t>
            </w:r>
          </w:p>
        </w:tc>
      </w:tr>
      <w:tr w:rsidR="5937A937" w14:paraId="584E0793" w14:textId="77777777" w:rsidTr="00A11736">
        <w:trPr>
          <w:jc w:val="center"/>
        </w:trPr>
        <w:tc>
          <w:tcPr>
            <w:tcW w:w="2865" w:type="dxa"/>
            <w:vMerge/>
            <w:tcBorders>
              <w:top w:val="nil"/>
              <w:left w:val="nil"/>
              <w:bottom w:val="nil"/>
              <w:right w:val="nil"/>
            </w:tcBorders>
            <w:vAlign w:val="center"/>
          </w:tcPr>
          <w:p w14:paraId="110063B8" w14:textId="77777777" w:rsidR="003842FD" w:rsidRDefault="003842FD"/>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40C1B864" w14:textId="595464D7" w:rsidR="5937A937" w:rsidRDefault="5937A937" w:rsidP="5937A937">
            <w:pPr>
              <w:spacing w:after="120"/>
              <w:jc w:val="center"/>
            </w:pPr>
            <w:r w:rsidRPr="5937A937">
              <w:rPr>
                <w:rFonts w:eastAsia="Calibri" w:cs="Calibri"/>
                <w:sz w:val="18"/>
                <w:szCs w:val="18"/>
                <w:lang w:val="en-GB"/>
              </w:rPr>
              <w:t>Enzymatic saccharification and fermentation</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2DE585F" w14:textId="0CFF2A15" w:rsidR="5937A937" w:rsidRDefault="5937A937" w:rsidP="5937A937">
            <w:pPr>
              <w:spacing w:after="120"/>
              <w:jc w:val="center"/>
            </w:pPr>
            <w:r w:rsidRPr="5937A937">
              <w:rPr>
                <w:rFonts w:eastAsia="Calibri" w:cs="Calibri"/>
                <w:sz w:val="18"/>
                <w:szCs w:val="18"/>
                <w:lang w:val="en-GB"/>
              </w:rPr>
              <w:t>Methanol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5243084" w14:textId="3ADD63DD" w:rsidR="5937A937" w:rsidRDefault="5937A937" w:rsidP="5937A937">
            <w:pPr>
              <w:spacing w:after="120"/>
              <w:jc w:val="center"/>
            </w:pPr>
            <w:r w:rsidRPr="5937A937">
              <w:rPr>
                <w:rFonts w:eastAsia="Calibri" w:cs="Calibri"/>
                <w:sz w:val="18"/>
                <w:szCs w:val="18"/>
                <w:lang w:val="en-GB"/>
              </w:rPr>
              <w:t>TRL 6-7</w:t>
            </w:r>
          </w:p>
        </w:tc>
      </w:tr>
      <w:tr w:rsidR="5937A937" w14:paraId="5BAEFB40" w14:textId="77777777" w:rsidTr="00A11736">
        <w:trPr>
          <w:jc w:val="center"/>
        </w:trPr>
        <w:tc>
          <w:tcPr>
            <w:tcW w:w="2865" w:type="dxa"/>
            <w:vMerge/>
            <w:tcBorders>
              <w:top w:val="nil"/>
              <w:left w:val="nil"/>
              <w:bottom w:val="nil"/>
              <w:right w:val="nil"/>
            </w:tcBorders>
            <w:vAlign w:val="center"/>
          </w:tcPr>
          <w:p w14:paraId="141B379A" w14:textId="77777777" w:rsidR="003842FD" w:rsidRDefault="003842FD"/>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0BF1B704" w14:textId="71D47458" w:rsidR="5937A937" w:rsidRDefault="5937A937" w:rsidP="5937A937">
            <w:pPr>
              <w:spacing w:after="120"/>
              <w:jc w:val="center"/>
            </w:pPr>
            <w:r w:rsidRPr="5937A937">
              <w:rPr>
                <w:rFonts w:eastAsia="Calibri" w:cs="Calibri"/>
                <w:sz w:val="18"/>
                <w:szCs w:val="18"/>
                <w:lang w:val="en-GB"/>
              </w:rPr>
              <w:t>Hydrolysis</w:t>
            </w:r>
            <w:r w:rsidR="007B1C17">
              <w:rPr>
                <w:rFonts w:eastAsia="Calibri" w:cs="Calibri"/>
                <w:sz w:val="18"/>
                <w:szCs w:val="18"/>
                <w:lang w:val="en-GB"/>
              </w:rPr>
              <w:t xml:space="preserve"> and fermentation</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12309BB6" w14:textId="71D8E2D5" w:rsidR="5937A937" w:rsidRDefault="5937A937" w:rsidP="5937A937">
            <w:pPr>
              <w:spacing w:after="120"/>
              <w:jc w:val="center"/>
            </w:pPr>
            <w:r w:rsidRPr="5937A937">
              <w:rPr>
                <w:rFonts w:eastAsia="Calibri" w:cs="Calibri"/>
                <w:sz w:val="18"/>
                <w:szCs w:val="18"/>
                <w:lang w:val="en-GB"/>
              </w:rPr>
              <w:t>Butanol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48F3BEB8" w14:textId="14B4DA6F" w:rsidR="5937A937" w:rsidRDefault="5937A937" w:rsidP="5937A937">
            <w:pPr>
              <w:spacing w:after="120"/>
              <w:jc w:val="center"/>
            </w:pPr>
            <w:r w:rsidRPr="5937A937">
              <w:rPr>
                <w:rFonts w:eastAsia="Calibri" w:cs="Calibri"/>
                <w:sz w:val="18"/>
                <w:szCs w:val="18"/>
                <w:lang w:val="en-GB"/>
              </w:rPr>
              <w:t>TRL 6-8</w:t>
            </w:r>
          </w:p>
        </w:tc>
      </w:tr>
      <w:tr w:rsidR="5937A937" w14:paraId="44068490" w14:textId="77777777" w:rsidTr="00A11736">
        <w:trPr>
          <w:jc w:val="center"/>
        </w:trPr>
        <w:tc>
          <w:tcPr>
            <w:tcW w:w="2865" w:type="dxa"/>
            <w:vMerge/>
            <w:tcBorders>
              <w:top w:val="nil"/>
              <w:left w:val="nil"/>
              <w:bottom w:val="nil"/>
              <w:right w:val="nil"/>
            </w:tcBorders>
            <w:vAlign w:val="center"/>
          </w:tcPr>
          <w:p w14:paraId="6E77A1A5" w14:textId="77777777" w:rsidR="003842FD" w:rsidRDefault="003842FD"/>
        </w:tc>
        <w:tc>
          <w:tcPr>
            <w:tcW w:w="1950" w:type="dxa"/>
            <w:tcBorders>
              <w:top w:val="none" w:sz="4" w:space="0" w:color="000000"/>
              <w:left w:val="nil"/>
              <w:bottom w:val="none" w:sz="4" w:space="0" w:color="000000"/>
              <w:right w:val="none" w:sz="4" w:space="0" w:color="000000"/>
            </w:tcBorders>
            <w:shd w:val="clear" w:color="auto" w:fill="FFFFFF" w:themeFill="background1"/>
            <w:vAlign w:val="center"/>
          </w:tcPr>
          <w:p w14:paraId="677374E4" w14:textId="7CEC3B85" w:rsidR="5937A937" w:rsidRDefault="00A934B6" w:rsidP="5937A937">
            <w:pPr>
              <w:spacing w:after="120"/>
              <w:jc w:val="center"/>
            </w:pPr>
            <w:r>
              <w:rPr>
                <w:rFonts w:eastAsia="Calibri" w:cs="Calibri"/>
                <w:sz w:val="18"/>
                <w:szCs w:val="18"/>
                <w:lang w:val="en-GB"/>
              </w:rPr>
              <w:t>S</w:t>
            </w:r>
            <w:r w:rsidR="5937A937" w:rsidRPr="5937A937">
              <w:rPr>
                <w:rFonts w:eastAsia="Calibri" w:cs="Calibri"/>
                <w:sz w:val="18"/>
                <w:szCs w:val="18"/>
                <w:lang w:val="en-GB"/>
              </w:rPr>
              <w:t>olvolysis</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148F2F76" w14:textId="48AAEE3E" w:rsidR="5937A937" w:rsidRDefault="5937A937" w:rsidP="5937A937">
            <w:pPr>
              <w:spacing w:after="120"/>
              <w:jc w:val="center"/>
            </w:pPr>
            <w:r w:rsidRPr="5937A937">
              <w:rPr>
                <w:rFonts w:eastAsia="Calibri" w:cs="Calibri"/>
                <w:sz w:val="18"/>
                <w:szCs w:val="18"/>
                <w:lang w:val="en-GB"/>
              </w:rPr>
              <w:t>Lignin diesel oil (LDO)</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34FABC8D" w14:textId="589D49DB" w:rsidR="5937A937" w:rsidRDefault="5937A937" w:rsidP="5937A937">
            <w:pPr>
              <w:spacing w:after="120"/>
              <w:jc w:val="center"/>
            </w:pPr>
            <w:r w:rsidRPr="5937A937">
              <w:rPr>
                <w:rFonts w:eastAsia="Calibri" w:cs="Calibri"/>
                <w:sz w:val="18"/>
                <w:szCs w:val="18"/>
                <w:lang w:val="en-GB"/>
              </w:rPr>
              <w:t xml:space="preserve">TRL </w:t>
            </w:r>
            <w:r w:rsidR="00A934B6">
              <w:rPr>
                <w:rFonts w:eastAsia="Calibri" w:cs="Calibri"/>
                <w:sz w:val="18"/>
                <w:szCs w:val="18"/>
                <w:lang w:val="en-GB"/>
              </w:rPr>
              <w:t>6</w:t>
            </w:r>
            <w:r w:rsidRPr="5937A937">
              <w:rPr>
                <w:rFonts w:eastAsia="Calibri" w:cs="Calibri"/>
                <w:sz w:val="18"/>
                <w:szCs w:val="18"/>
                <w:lang w:val="en-GB"/>
              </w:rPr>
              <w:t>-</w:t>
            </w:r>
            <w:r w:rsidR="009C1C87">
              <w:rPr>
                <w:rFonts w:eastAsia="Calibri" w:cs="Calibri"/>
                <w:sz w:val="18"/>
                <w:szCs w:val="18"/>
                <w:lang w:val="en-GB"/>
              </w:rPr>
              <w:t>7</w:t>
            </w:r>
          </w:p>
        </w:tc>
      </w:tr>
      <w:tr w:rsidR="5937A937" w14:paraId="7C63C5C7" w14:textId="77777777" w:rsidTr="00A11736">
        <w:trPr>
          <w:jc w:val="center"/>
        </w:trPr>
        <w:tc>
          <w:tcPr>
            <w:tcW w:w="2865" w:type="dxa"/>
            <w:tcBorders>
              <w:top w:val="nil"/>
              <w:left w:val="none" w:sz="4" w:space="0" w:color="000000"/>
              <w:bottom w:val="none" w:sz="4" w:space="0" w:color="000000"/>
              <w:right w:val="none" w:sz="4" w:space="0" w:color="000000"/>
            </w:tcBorders>
            <w:shd w:val="clear" w:color="auto" w:fill="FFFFFF" w:themeFill="background1"/>
            <w:vAlign w:val="center"/>
          </w:tcPr>
          <w:p w14:paraId="16E2D5DB" w14:textId="181F2D19" w:rsidR="5937A937" w:rsidRDefault="5937A937" w:rsidP="5937A937">
            <w:pPr>
              <w:spacing w:after="120"/>
              <w:jc w:val="center"/>
            </w:pPr>
            <w:r w:rsidRPr="5937A937">
              <w:rPr>
                <w:rFonts w:eastAsia="Calibri" w:cs="Calibri"/>
                <w:sz w:val="18"/>
                <w:szCs w:val="18"/>
                <w:lang w:val="en-GB"/>
              </w:rPr>
              <w:t xml:space="preserve">Lignocellulose, solid and liquid industrial streams </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9F41DB7" w14:textId="3783EEBF" w:rsidR="5937A937" w:rsidRDefault="5937A937" w:rsidP="5937A937">
            <w:pPr>
              <w:spacing w:after="120"/>
              <w:jc w:val="center"/>
            </w:pPr>
            <w:r w:rsidRPr="5937A937">
              <w:rPr>
                <w:rFonts w:eastAsia="Calibri" w:cs="Calibri"/>
                <w:sz w:val="18"/>
                <w:szCs w:val="18"/>
                <w:lang w:val="en-GB"/>
              </w:rPr>
              <w:t>Gasification and catalytic synthesis</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29CECDC6" w14:textId="640E2B52" w:rsidR="5937A937" w:rsidRDefault="5937A937" w:rsidP="5937A937">
            <w:pPr>
              <w:spacing w:after="120"/>
              <w:jc w:val="center"/>
            </w:pPr>
            <w:r w:rsidRPr="5937A937">
              <w:rPr>
                <w:rFonts w:eastAsia="Calibri" w:cs="Calibri"/>
                <w:sz w:val="18"/>
                <w:szCs w:val="18"/>
                <w:lang w:val="en-GB"/>
              </w:rPr>
              <w:t>Synthetic Fuel (Methanol, Ethanol, Long chain hydrocarbons)</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65DC9B23" w14:textId="1C52ED44" w:rsidR="5937A937" w:rsidRDefault="5937A937" w:rsidP="5937A937">
            <w:pPr>
              <w:spacing w:after="120"/>
              <w:jc w:val="center"/>
            </w:pPr>
            <w:r w:rsidRPr="5937A937">
              <w:rPr>
                <w:rFonts w:eastAsia="Calibri" w:cs="Calibri"/>
                <w:sz w:val="18"/>
                <w:szCs w:val="18"/>
                <w:lang w:val="en-GB"/>
              </w:rPr>
              <w:t>TRL 6-7</w:t>
            </w:r>
          </w:p>
        </w:tc>
      </w:tr>
      <w:tr w:rsidR="5937A937" w14:paraId="50F170D1" w14:textId="77777777" w:rsidTr="00A11736">
        <w:trPr>
          <w:jc w:val="center"/>
        </w:trPr>
        <w:tc>
          <w:tcPr>
            <w:tcW w:w="286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38700089" w14:textId="1ECF6C8B" w:rsidR="5937A937" w:rsidRDefault="5937A937" w:rsidP="5937A937">
            <w:pPr>
              <w:spacing w:after="120"/>
              <w:jc w:val="center"/>
            </w:pPr>
            <w:r w:rsidRPr="5937A937">
              <w:rPr>
                <w:rFonts w:eastAsia="Calibri" w:cs="Calibri"/>
                <w:sz w:val="18"/>
                <w:szCs w:val="18"/>
                <w:lang w:val="en-GB"/>
              </w:rPr>
              <w:t>Lignocellulose and</w:t>
            </w:r>
            <w:r w:rsidR="00AD1ED7">
              <w:rPr>
                <w:rFonts w:eastAsia="Calibri" w:cs="Calibri"/>
                <w:sz w:val="18"/>
                <w:szCs w:val="18"/>
                <w:lang w:val="en-GB"/>
              </w:rPr>
              <w:t xml:space="preserve"> Municipal solid waste.</w:t>
            </w:r>
            <w:r w:rsidRPr="5937A937">
              <w:rPr>
                <w:rFonts w:eastAsia="Calibri" w:cs="Calibri"/>
                <w:sz w:val="18"/>
                <w:szCs w:val="18"/>
                <w:lang w:val="en-GB"/>
              </w:rPr>
              <w:t xml:space="preserve"> </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542D76AF" w14:textId="50B9B41C" w:rsidR="5937A937" w:rsidRDefault="5937A937" w:rsidP="5937A937">
            <w:pPr>
              <w:spacing w:after="120"/>
              <w:jc w:val="center"/>
            </w:pPr>
            <w:r w:rsidRPr="5937A937">
              <w:rPr>
                <w:rFonts w:eastAsia="Calibri" w:cs="Calibri"/>
                <w:sz w:val="18"/>
                <w:szCs w:val="18"/>
                <w:lang w:val="en-GB"/>
              </w:rPr>
              <w:t>Pyrolysis, liquefaction, hydrotreatment</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7F4B0360" w14:textId="52D5C26B" w:rsidR="5937A937" w:rsidRDefault="5937A937" w:rsidP="5937A937">
            <w:pPr>
              <w:spacing w:after="120"/>
              <w:jc w:val="center"/>
            </w:pPr>
            <w:r w:rsidRPr="5937A937">
              <w:rPr>
                <w:rFonts w:eastAsia="Calibri" w:cs="Calibri"/>
                <w:sz w:val="18"/>
                <w:szCs w:val="18"/>
                <w:lang w:val="en-GB"/>
              </w:rPr>
              <w:t>Bio-oil, bio-crude</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6A4D7422" w14:textId="36A0CC08" w:rsidR="5937A937" w:rsidRDefault="5937A937" w:rsidP="5937A937">
            <w:pPr>
              <w:spacing w:after="120"/>
              <w:jc w:val="center"/>
            </w:pPr>
            <w:r w:rsidRPr="5937A937">
              <w:rPr>
                <w:rFonts w:eastAsia="Calibri" w:cs="Calibri"/>
                <w:sz w:val="18"/>
                <w:szCs w:val="18"/>
                <w:lang w:val="en-GB"/>
              </w:rPr>
              <w:t>TRL 4-5</w:t>
            </w:r>
          </w:p>
        </w:tc>
      </w:tr>
      <w:tr w:rsidR="5937A937" w14:paraId="7D3D67A3" w14:textId="77777777" w:rsidTr="00A11736">
        <w:trPr>
          <w:jc w:val="center"/>
        </w:trPr>
        <w:tc>
          <w:tcPr>
            <w:tcW w:w="286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023203EA" w14:textId="322477A9" w:rsidR="5937A937" w:rsidRDefault="5937A937" w:rsidP="5937A937">
            <w:pPr>
              <w:spacing w:after="120"/>
              <w:jc w:val="center"/>
            </w:pPr>
            <w:r w:rsidRPr="5937A937">
              <w:rPr>
                <w:rFonts w:eastAsia="Calibri" w:cs="Calibri"/>
                <w:sz w:val="18"/>
                <w:szCs w:val="18"/>
                <w:lang w:val="en-GB"/>
              </w:rPr>
              <w:t>Wood extractives pulping</w:t>
            </w:r>
          </w:p>
        </w:tc>
        <w:tc>
          <w:tcPr>
            <w:tcW w:w="195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12DB2C6F" w14:textId="3BD3D937" w:rsidR="5937A937" w:rsidRDefault="5937A937" w:rsidP="5937A937">
            <w:pPr>
              <w:spacing w:after="120"/>
              <w:jc w:val="center"/>
            </w:pPr>
            <w:r w:rsidRPr="5937A937">
              <w:rPr>
                <w:rFonts w:eastAsia="Calibri" w:cs="Calibri"/>
                <w:sz w:val="18"/>
                <w:szCs w:val="18"/>
                <w:lang w:val="en-GB"/>
              </w:rPr>
              <w:t>Catalytic upgrading</w:t>
            </w:r>
          </w:p>
        </w:tc>
        <w:tc>
          <w:tcPr>
            <w:tcW w:w="2415"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3CE6F187" w14:textId="05FF3E48" w:rsidR="5937A937" w:rsidRDefault="5937A937" w:rsidP="5937A937">
            <w:pPr>
              <w:spacing w:after="120"/>
              <w:jc w:val="center"/>
            </w:pPr>
            <w:r w:rsidRPr="5937A937">
              <w:rPr>
                <w:rFonts w:eastAsia="Calibri" w:cs="Calibri"/>
                <w:sz w:val="18"/>
                <w:szCs w:val="18"/>
                <w:lang w:val="en-GB"/>
              </w:rPr>
              <w:t>Renewable diesel</w:t>
            </w:r>
          </w:p>
        </w:tc>
        <w:tc>
          <w:tcPr>
            <w:tcW w:w="1320" w:type="dxa"/>
            <w:tcBorders>
              <w:top w:val="none" w:sz="4" w:space="0" w:color="000000"/>
              <w:left w:val="none" w:sz="4" w:space="0" w:color="000000"/>
              <w:bottom w:val="none" w:sz="4" w:space="0" w:color="000000"/>
              <w:right w:val="none" w:sz="4" w:space="0" w:color="000000"/>
            </w:tcBorders>
            <w:shd w:val="clear" w:color="auto" w:fill="FFFFFF" w:themeFill="background1"/>
            <w:vAlign w:val="center"/>
          </w:tcPr>
          <w:p w14:paraId="6CE2D364" w14:textId="78AA76CA" w:rsidR="5937A937" w:rsidRDefault="5937A937" w:rsidP="5937A937">
            <w:pPr>
              <w:spacing w:after="120"/>
              <w:jc w:val="center"/>
            </w:pPr>
            <w:r w:rsidRPr="5937A937">
              <w:rPr>
                <w:rFonts w:eastAsia="Calibri" w:cs="Calibri"/>
                <w:sz w:val="18"/>
                <w:szCs w:val="18"/>
                <w:lang w:val="en-GB"/>
              </w:rPr>
              <w:t>TRL 8-9</w:t>
            </w:r>
          </w:p>
        </w:tc>
      </w:tr>
      <w:tr w:rsidR="5937A937" w14:paraId="5B4866ED" w14:textId="77777777" w:rsidTr="00A11736">
        <w:trPr>
          <w:jc w:val="center"/>
        </w:trPr>
        <w:tc>
          <w:tcPr>
            <w:tcW w:w="2865" w:type="dxa"/>
            <w:tcBorders>
              <w:top w:val="none" w:sz="4" w:space="0" w:color="000000"/>
              <w:left w:val="nil"/>
              <w:bottom w:val="single" w:sz="8" w:space="0" w:color="auto"/>
              <w:right w:val="nil"/>
            </w:tcBorders>
            <w:vAlign w:val="center"/>
          </w:tcPr>
          <w:p w14:paraId="4190E93D" w14:textId="1180E3CD" w:rsidR="5937A937" w:rsidRDefault="5937A937" w:rsidP="5937A937">
            <w:pPr>
              <w:spacing w:after="120"/>
              <w:jc w:val="center"/>
            </w:pPr>
            <w:r w:rsidRPr="5937A937">
              <w:rPr>
                <w:rFonts w:eastAsia="Calibri" w:cs="Calibri"/>
                <w:sz w:val="18"/>
                <w:szCs w:val="18"/>
                <w:lang w:val="en-GB"/>
              </w:rPr>
              <w:t>CO</w:t>
            </w:r>
            <w:r w:rsidRPr="5937A937">
              <w:rPr>
                <w:rFonts w:eastAsia="Calibri" w:cs="Calibri"/>
                <w:sz w:val="18"/>
                <w:szCs w:val="18"/>
                <w:vertAlign w:val="subscript"/>
                <w:lang w:val="en-GB"/>
              </w:rPr>
              <w:t>2</w:t>
            </w:r>
            <w:r w:rsidRPr="5937A937">
              <w:rPr>
                <w:rFonts w:eastAsia="Calibri" w:cs="Calibri"/>
                <w:sz w:val="18"/>
                <w:szCs w:val="18"/>
                <w:lang w:val="en-GB"/>
              </w:rPr>
              <w:t xml:space="preserve"> from renewable systems</w:t>
            </w:r>
          </w:p>
        </w:tc>
        <w:tc>
          <w:tcPr>
            <w:tcW w:w="1950" w:type="dxa"/>
            <w:tcBorders>
              <w:top w:val="none" w:sz="4" w:space="0" w:color="000000"/>
              <w:left w:val="nil"/>
              <w:bottom w:val="single" w:sz="8" w:space="0" w:color="auto"/>
              <w:right w:val="nil"/>
            </w:tcBorders>
            <w:vAlign w:val="center"/>
          </w:tcPr>
          <w:p w14:paraId="699220DF" w14:textId="171E08BF" w:rsidR="5937A937" w:rsidRDefault="5937A937" w:rsidP="5937A937">
            <w:pPr>
              <w:spacing w:after="120"/>
              <w:jc w:val="center"/>
            </w:pPr>
            <w:r w:rsidRPr="5937A937">
              <w:rPr>
                <w:rFonts w:eastAsia="Calibri" w:cs="Calibri"/>
                <w:sz w:val="18"/>
                <w:szCs w:val="18"/>
                <w:lang w:val="en-GB"/>
              </w:rPr>
              <w:t>Reaction with renewable H2</w:t>
            </w:r>
          </w:p>
        </w:tc>
        <w:tc>
          <w:tcPr>
            <w:tcW w:w="2415" w:type="dxa"/>
            <w:tcBorders>
              <w:top w:val="none" w:sz="4" w:space="0" w:color="000000"/>
              <w:left w:val="nil"/>
              <w:bottom w:val="single" w:sz="8" w:space="0" w:color="auto"/>
              <w:right w:val="nil"/>
            </w:tcBorders>
            <w:vAlign w:val="center"/>
          </w:tcPr>
          <w:p w14:paraId="57E2BE34" w14:textId="3D0A129A" w:rsidR="5937A937" w:rsidRDefault="5937A937" w:rsidP="5937A937">
            <w:pPr>
              <w:spacing w:after="120"/>
              <w:jc w:val="center"/>
            </w:pPr>
            <w:r w:rsidRPr="5937A937">
              <w:rPr>
                <w:rFonts w:eastAsia="Calibri" w:cs="Calibri"/>
                <w:sz w:val="18"/>
                <w:szCs w:val="18"/>
                <w:lang w:val="en-GB"/>
              </w:rPr>
              <w:t>Synthetic fuels</w:t>
            </w:r>
          </w:p>
        </w:tc>
        <w:tc>
          <w:tcPr>
            <w:tcW w:w="1320" w:type="dxa"/>
            <w:tcBorders>
              <w:top w:val="none" w:sz="4" w:space="0" w:color="000000"/>
              <w:left w:val="nil"/>
              <w:bottom w:val="single" w:sz="8" w:space="0" w:color="auto"/>
              <w:right w:val="nil"/>
            </w:tcBorders>
            <w:vAlign w:val="center"/>
          </w:tcPr>
          <w:p w14:paraId="4F3364C5" w14:textId="2904ED36" w:rsidR="5937A937" w:rsidRDefault="5937A937" w:rsidP="5937A937">
            <w:pPr>
              <w:spacing w:after="120"/>
              <w:jc w:val="center"/>
            </w:pPr>
            <w:r w:rsidRPr="5937A937">
              <w:rPr>
                <w:rFonts w:eastAsia="Calibri" w:cs="Calibri"/>
                <w:sz w:val="18"/>
                <w:szCs w:val="18"/>
                <w:lang w:val="en-GB"/>
              </w:rPr>
              <w:t>TRL 6-7</w:t>
            </w:r>
          </w:p>
        </w:tc>
      </w:tr>
    </w:tbl>
    <w:p w14:paraId="4A674CC7" w14:textId="1C903FA3" w:rsidR="5937A937" w:rsidRDefault="5937A937" w:rsidP="5937A937">
      <w:pPr>
        <w:spacing w:line="360" w:lineRule="auto"/>
        <w:ind w:firstLine="444"/>
        <w:rPr>
          <w:rFonts w:eastAsia="Calibri" w:cs="Calibri"/>
          <w:sz w:val="22"/>
          <w:szCs w:val="22"/>
          <w:lang w:val="en-GB"/>
        </w:rPr>
      </w:pPr>
    </w:p>
    <w:p w14:paraId="708EF8B4" w14:textId="00C78AB0" w:rsidR="344048DE" w:rsidRDefault="50B1003E" w:rsidP="0015719B">
      <w:pPr>
        <w:spacing w:after="20" w:line="360" w:lineRule="auto"/>
        <w:ind w:firstLine="720"/>
        <w:rPr>
          <w:rFonts w:asciiTheme="majorHAnsi" w:eastAsiaTheme="majorEastAsia" w:hAnsiTheme="majorHAnsi" w:cstheme="majorBidi"/>
          <w:sz w:val="22"/>
          <w:szCs w:val="22"/>
          <w:lang w:val="en-GB"/>
        </w:rPr>
      </w:pPr>
      <w:r w:rsidRPr="5937A937">
        <w:rPr>
          <w:rFonts w:asciiTheme="majorHAnsi" w:eastAsiaTheme="majorEastAsia" w:hAnsiTheme="majorHAnsi" w:cstheme="majorBidi"/>
          <w:sz w:val="22"/>
          <w:szCs w:val="22"/>
          <w:lang w:val="en-GB"/>
        </w:rPr>
        <w:t>For the end user, besides pricing</w:t>
      </w:r>
      <w:r w:rsidR="0015719B">
        <w:rPr>
          <w:rFonts w:asciiTheme="majorHAnsi" w:eastAsiaTheme="majorEastAsia" w:hAnsiTheme="majorHAnsi" w:cstheme="majorBidi"/>
          <w:sz w:val="22"/>
          <w:szCs w:val="22"/>
          <w:lang w:val="en-GB"/>
        </w:rPr>
        <w:t>,</w:t>
      </w:r>
      <w:r w:rsidRPr="5937A937">
        <w:rPr>
          <w:rFonts w:asciiTheme="majorHAnsi" w:eastAsiaTheme="majorEastAsia" w:hAnsiTheme="majorHAnsi" w:cstheme="majorBidi"/>
          <w:sz w:val="22"/>
          <w:szCs w:val="22"/>
          <w:lang w:val="en-GB"/>
        </w:rPr>
        <w:t xml:space="preserve"> it is important to consider the technical </w:t>
      </w:r>
      <w:r w:rsidR="0015719B">
        <w:rPr>
          <w:rFonts w:asciiTheme="majorHAnsi" w:eastAsiaTheme="majorEastAsia" w:hAnsiTheme="majorHAnsi" w:cstheme="majorBidi"/>
          <w:sz w:val="22"/>
          <w:szCs w:val="22"/>
          <w:lang w:val="en-GB"/>
        </w:rPr>
        <w:t>aspects of the solution</w:t>
      </w:r>
      <w:r w:rsidRPr="5937A937">
        <w:rPr>
          <w:rFonts w:asciiTheme="majorHAnsi" w:eastAsiaTheme="majorEastAsia" w:hAnsiTheme="majorHAnsi" w:cstheme="majorBidi"/>
          <w:sz w:val="22"/>
          <w:szCs w:val="22"/>
          <w:lang w:val="en-GB"/>
        </w:rPr>
        <w:t>. The use of advanced fuels will depend on the fuel quality, compatibility with the engine, GHG emission reduction and the infrastructure required (</w:t>
      </w:r>
      <w:proofErr w:type="spellStart"/>
      <w:r w:rsidRPr="5937A937">
        <w:rPr>
          <w:rFonts w:asciiTheme="majorHAnsi" w:eastAsiaTheme="majorEastAsia" w:hAnsiTheme="majorHAnsi" w:cstheme="majorBidi"/>
          <w:sz w:val="22"/>
          <w:szCs w:val="22"/>
          <w:lang w:val="en-GB"/>
        </w:rPr>
        <w:t>Panoutsou</w:t>
      </w:r>
      <w:proofErr w:type="spellEnd"/>
      <w:r w:rsidRPr="5937A937">
        <w:rPr>
          <w:rFonts w:asciiTheme="majorHAnsi" w:eastAsiaTheme="majorEastAsia" w:hAnsiTheme="majorHAnsi" w:cstheme="majorBidi"/>
          <w:sz w:val="22"/>
          <w:szCs w:val="22"/>
          <w:lang w:val="en-GB"/>
        </w:rPr>
        <w:t xml:space="preserve"> et al., 2021).  </w:t>
      </w:r>
      <w:r w:rsidR="0E523C37" w:rsidRPr="5937A937">
        <w:rPr>
          <w:rFonts w:asciiTheme="majorHAnsi" w:eastAsiaTheme="majorEastAsia" w:hAnsiTheme="majorHAnsi" w:cstheme="majorBidi"/>
          <w:sz w:val="22"/>
          <w:szCs w:val="22"/>
          <w:lang w:val="en-GB"/>
        </w:rPr>
        <w:t>Competition in this area include fuels like Pure Plant Oil (PPO) or Straight Vegetable Oil (SVO), Hydrotreated Vegetable Oil (HVO), Upgraded Pyrolysis Oil (UPO), biodiesel (FAME), and FT diesel.</w:t>
      </w:r>
    </w:p>
    <w:p w14:paraId="590F6165" w14:textId="77777777" w:rsidR="0015719B" w:rsidRPr="00650B23" w:rsidRDefault="654CA926" w:rsidP="0015719B">
      <w:pPr>
        <w:spacing w:line="360" w:lineRule="auto"/>
        <w:ind w:firstLine="720"/>
      </w:pPr>
      <w:r w:rsidRPr="5937A937">
        <w:rPr>
          <w:rFonts w:asciiTheme="majorHAnsi" w:eastAsiaTheme="majorEastAsia" w:hAnsiTheme="majorHAnsi" w:cstheme="majorBidi"/>
          <w:sz w:val="22"/>
          <w:szCs w:val="22"/>
          <w:lang w:val="en-GB"/>
        </w:rPr>
        <w:lastRenderedPageBreak/>
        <w:t xml:space="preserve">The infrastructure needs to be considered, as some </w:t>
      </w:r>
      <w:r w:rsidR="0015719B">
        <w:rPr>
          <w:rFonts w:asciiTheme="majorHAnsi" w:eastAsiaTheme="majorEastAsia" w:hAnsiTheme="majorHAnsi" w:cstheme="majorBidi"/>
          <w:sz w:val="22"/>
          <w:szCs w:val="22"/>
          <w:lang w:val="en-GB"/>
        </w:rPr>
        <w:t>alternative fuels</w:t>
      </w:r>
      <w:r w:rsidRPr="5937A937">
        <w:rPr>
          <w:rFonts w:asciiTheme="majorHAnsi" w:eastAsiaTheme="majorEastAsia" w:hAnsiTheme="majorHAnsi" w:cstheme="majorBidi"/>
          <w:sz w:val="22"/>
          <w:szCs w:val="22"/>
          <w:lang w:val="en-GB"/>
        </w:rPr>
        <w:t xml:space="preserve"> </w:t>
      </w:r>
      <w:r w:rsidR="0015719B">
        <w:rPr>
          <w:rFonts w:asciiTheme="majorHAnsi" w:eastAsiaTheme="majorEastAsia" w:hAnsiTheme="majorHAnsi" w:cstheme="majorBidi"/>
          <w:sz w:val="22"/>
          <w:szCs w:val="22"/>
          <w:lang w:val="en-GB"/>
        </w:rPr>
        <w:t>will require extra investment for infrastructure and retrofitting</w:t>
      </w:r>
      <w:r w:rsidRPr="5937A937">
        <w:rPr>
          <w:rFonts w:asciiTheme="majorHAnsi" w:eastAsiaTheme="majorEastAsia" w:hAnsiTheme="majorHAnsi" w:cstheme="majorBidi"/>
          <w:sz w:val="22"/>
          <w:szCs w:val="22"/>
          <w:lang w:val="en-GB"/>
        </w:rPr>
        <w:t xml:space="preserve">. </w:t>
      </w:r>
      <w:r w:rsidR="494DF0FF" w:rsidRPr="5937A937">
        <w:rPr>
          <w:rFonts w:asciiTheme="majorHAnsi" w:eastAsiaTheme="majorEastAsia" w:hAnsiTheme="majorHAnsi" w:cstheme="majorBidi"/>
          <w:sz w:val="22"/>
          <w:szCs w:val="22"/>
          <w:lang w:val="en-GB"/>
        </w:rPr>
        <w:t>F</w:t>
      </w:r>
      <w:r w:rsidRPr="5937A937">
        <w:rPr>
          <w:rFonts w:asciiTheme="majorHAnsi" w:eastAsiaTheme="majorEastAsia" w:hAnsiTheme="majorHAnsi" w:cstheme="majorBidi"/>
          <w:sz w:val="22"/>
          <w:szCs w:val="22"/>
          <w:lang w:val="en-GB"/>
        </w:rPr>
        <w:t>ig</w:t>
      </w:r>
      <w:r w:rsidR="0015719B">
        <w:rPr>
          <w:rFonts w:asciiTheme="majorHAnsi" w:eastAsiaTheme="majorEastAsia" w:hAnsiTheme="majorHAnsi" w:cstheme="majorBidi"/>
          <w:sz w:val="22"/>
          <w:szCs w:val="22"/>
          <w:lang w:val="en-GB"/>
        </w:rPr>
        <w:t xml:space="preserve">ure </w:t>
      </w:r>
      <w:r w:rsidRPr="5937A937">
        <w:rPr>
          <w:rFonts w:asciiTheme="majorHAnsi" w:eastAsiaTheme="majorEastAsia" w:hAnsiTheme="majorHAnsi" w:cstheme="majorBidi"/>
          <w:sz w:val="22"/>
          <w:szCs w:val="22"/>
          <w:lang w:val="en-GB"/>
        </w:rPr>
        <w:t xml:space="preserve"> </w:t>
      </w:r>
      <w:r w:rsidR="59401C0E" w:rsidRPr="5937A937">
        <w:rPr>
          <w:rFonts w:asciiTheme="majorHAnsi" w:eastAsiaTheme="majorEastAsia" w:hAnsiTheme="majorHAnsi" w:cstheme="majorBidi"/>
          <w:sz w:val="22"/>
          <w:szCs w:val="22"/>
          <w:lang w:val="en-GB"/>
        </w:rPr>
        <w:t>9</w:t>
      </w:r>
      <w:r w:rsidRPr="5937A937">
        <w:rPr>
          <w:rFonts w:asciiTheme="majorHAnsi" w:eastAsiaTheme="majorEastAsia" w:hAnsiTheme="majorHAnsi" w:cstheme="majorBidi"/>
          <w:sz w:val="22"/>
          <w:szCs w:val="22"/>
          <w:lang w:val="en-GB"/>
        </w:rPr>
        <w:t xml:space="preserve">, </w:t>
      </w:r>
      <w:r w:rsidR="0015719B">
        <w:rPr>
          <w:rFonts w:asciiTheme="majorHAnsi" w:eastAsiaTheme="majorEastAsia" w:hAnsiTheme="majorHAnsi" w:cstheme="majorBidi"/>
          <w:sz w:val="22"/>
          <w:szCs w:val="22"/>
          <w:lang w:val="en-GB"/>
        </w:rPr>
        <w:t>illustrates the relationship of some alternative fuels with regard to infrastructure and compatibility with current fleet.</w:t>
      </w:r>
      <w:r w:rsidRPr="5937A937">
        <w:rPr>
          <w:rFonts w:asciiTheme="majorHAnsi" w:eastAsiaTheme="majorEastAsia" w:hAnsiTheme="majorHAnsi" w:cstheme="majorBidi"/>
          <w:sz w:val="22"/>
          <w:szCs w:val="22"/>
          <w:lang w:val="en-GB"/>
        </w:rPr>
        <w:t xml:space="preserve"> </w:t>
      </w:r>
      <w:r w:rsidR="0015719B" w:rsidRPr="0015719B">
        <w:rPr>
          <w:rFonts w:asciiTheme="majorHAnsi" w:eastAsiaTheme="majorEastAsia" w:hAnsiTheme="majorHAnsi" w:cstheme="majorBidi"/>
          <w:sz w:val="22"/>
          <w:szCs w:val="22"/>
          <w:lang w:val="en-GB"/>
        </w:rPr>
        <w:t>There is the tendency of fleet operators to work with multiple-fuels, in order to cope with new legislatives requirements and minimize the future uncertainties.</w:t>
      </w:r>
      <w:r w:rsidR="0015719B" w:rsidRPr="59587566">
        <w:rPr>
          <w:rFonts w:eastAsia="Calibri" w:cs="Calibri"/>
          <w:lang w:val="en-GB"/>
        </w:rPr>
        <w:t xml:space="preserve">  </w:t>
      </w:r>
    </w:p>
    <w:p w14:paraId="51A6664B" w14:textId="416200D4" w:rsidR="00C53804" w:rsidRPr="00650B23" w:rsidRDefault="654CA926" w:rsidP="65215FB1">
      <w:pPr>
        <w:spacing w:line="360" w:lineRule="auto"/>
      </w:pPr>
      <w:r w:rsidRPr="5937A937">
        <w:rPr>
          <w:rFonts w:eastAsia="Calibri" w:cs="Calibri"/>
          <w:lang w:val="en-GB"/>
        </w:rPr>
        <w:t xml:space="preserve"> </w:t>
      </w:r>
    </w:p>
    <w:p w14:paraId="0394C0C4" w14:textId="67909D96" w:rsidR="00C53804" w:rsidRPr="00650B23" w:rsidRDefault="5B6287BF" w:rsidP="65215FB1">
      <w:pPr>
        <w:spacing w:line="360" w:lineRule="auto"/>
        <w:jc w:val="center"/>
      </w:pPr>
      <w:r>
        <w:rPr>
          <w:noProof/>
        </w:rPr>
        <w:drawing>
          <wp:inline distT="0" distB="0" distL="0" distR="0" wp14:anchorId="28017527" wp14:editId="214EFE89">
            <wp:extent cx="5704885" cy="1343025"/>
            <wp:effectExtent l="0" t="0" r="0" b="0"/>
            <wp:docPr id="680010453" name="Picture 68001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10971" cy="1344458"/>
                    </a:xfrm>
                    <a:prstGeom prst="rect">
                      <a:avLst/>
                    </a:prstGeom>
                  </pic:spPr>
                </pic:pic>
              </a:graphicData>
            </a:graphic>
          </wp:inline>
        </w:drawing>
      </w:r>
    </w:p>
    <w:p w14:paraId="665AAF29" w14:textId="3CAA3109" w:rsidR="00C53804" w:rsidRPr="00650B23" w:rsidRDefault="654CA926" w:rsidP="65215FB1">
      <w:pPr>
        <w:spacing w:line="360" w:lineRule="auto"/>
      </w:pPr>
      <w:r w:rsidRPr="5937A937">
        <w:rPr>
          <w:rFonts w:eastAsia="Calibri" w:cs="Calibri"/>
          <w:b/>
          <w:bCs/>
          <w:color w:val="4C565C"/>
          <w:sz w:val="18"/>
          <w:szCs w:val="18"/>
          <w:lang w:val="en-GB"/>
        </w:rPr>
        <w:t xml:space="preserve">Figure </w:t>
      </w:r>
      <w:r w:rsidR="6C3CF28B" w:rsidRPr="5937A937">
        <w:rPr>
          <w:rFonts w:eastAsia="Calibri" w:cs="Calibri"/>
          <w:b/>
          <w:bCs/>
          <w:color w:val="4C565C"/>
          <w:sz w:val="18"/>
          <w:szCs w:val="18"/>
          <w:lang w:val="en-GB"/>
        </w:rPr>
        <w:t>9</w:t>
      </w:r>
      <w:r w:rsidRPr="5937A937">
        <w:rPr>
          <w:rFonts w:eastAsia="Calibri" w:cs="Calibri"/>
          <w:b/>
          <w:bCs/>
          <w:color w:val="4C565C"/>
          <w:sz w:val="18"/>
          <w:szCs w:val="18"/>
          <w:lang w:val="en-GB"/>
        </w:rPr>
        <w:t xml:space="preserve">. Infrastructure indicators for renewable fuels in EU. (Left) Indicates the availability according to </w:t>
      </w:r>
      <w:r w:rsidR="00642C02">
        <w:rPr>
          <w:rFonts w:eastAsia="Calibri" w:cs="Calibri"/>
          <w:b/>
          <w:bCs/>
          <w:color w:val="4C565C"/>
          <w:sz w:val="18"/>
          <w:szCs w:val="18"/>
          <w:lang w:val="en-GB"/>
        </w:rPr>
        <w:t>the</w:t>
      </w:r>
      <w:r w:rsidRPr="5937A937">
        <w:rPr>
          <w:rFonts w:eastAsia="Calibri" w:cs="Calibri"/>
          <w:b/>
          <w:bCs/>
          <w:color w:val="4C565C"/>
          <w:sz w:val="18"/>
          <w:szCs w:val="18"/>
          <w:lang w:val="en-GB"/>
        </w:rPr>
        <w:t xml:space="preserve"> fuel, (right) indicates the </w:t>
      </w:r>
      <w:r w:rsidR="00E50E06">
        <w:rPr>
          <w:rFonts w:eastAsia="Calibri" w:cs="Calibri"/>
          <w:b/>
          <w:bCs/>
          <w:color w:val="4C565C"/>
          <w:sz w:val="18"/>
          <w:szCs w:val="18"/>
          <w:lang w:val="en-GB"/>
        </w:rPr>
        <w:t xml:space="preserve"> compatibility </w:t>
      </w:r>
      <w:r w:rsidR="008B3EEE">
        <w:rPr>
          <w:rFonts w:eastAsia="Calibri" w:cs="Calibri"/>
          <w:b/>
          <w:bCs/>
          <w:color w:val="4C565C"/>
          <w:sz w:val="18"/>
          <w:szCs w:val="18"/>
          <w:lang w:val="en-GB"/>
        </w:rPr>
        <w:t xml:space="preserve">with the current </w:t>
      </w:r>
      <w:r w:rsidRPr="5937A937">
        <w:rPr>
          <w:rFonts w:eastAsia="Calibri" w:cs="Calibri"/>
          <w:b/>
          <w:bCs/>
          <w:color w:val="4C565C"/>
          <w:sz w:val="18"/>
          <w:szCs w:val="18"/>
          <w:lang w:val="en-GB"/>
        </w:rPr>
        <w:t xml:space="preserve"> infrastructure according to the fuel (</w:t>
      </w:r>
      <w:r w:rsidR="00DE4E35">
        <w:rPr>
          <w:rFonts w:eastAsia="Calibri" w:cs="Calibri"/>
          <w:b/>
          <w:bCs/>
          <w:color w:val="4C565C"/>
          <w:sz w:val="18"/>
          <w:szCs w:val="18"/>
          <w:lang w:val="en-GB"/>
        </w:rPr>
        <w:t xml:space="preserve">adapted from: </w:t>
      </w:r>
      <w:proofErr w:type="spellStart"/>
      <w:r w:rsidRPr="5937A937">
        <w:rPr>
          <w:rFonts w:eastAsia="Calibri" w:cs="Calibri"/>
          <w:b/>
          <w:bCs/>
          <w:color w:val="4C565C"/>
          <w:sz w:val="18"/>
          <w:szCs w:val="18"/>
          <w:lang w:val="en-GB"/>
        </w:rPr>
        <w:t>Panoutsou</w:t>
      </w:r>
      <w:proofErr w:type="spellEnd"/>
      <w:r w:rsidRPr="5937A937">
        <w:rPr>
          <w:rFonts w:eastAsia="Calibri" w:cs="Calibri"/>
          <w:b/>
          <w:bCs/>
          <w:color w:val="4C565C"/>
          <w:sz w:val="18"/>
          <w:szCs w:val="18"/>
          <w:lang w:val="en-GB"/>
        </w:rPr>
        <w:t xml:space="preserve"> et al., 2021). </w:t>
      </w:r>
    </w:p>
    <w:p w14:paraId="2AAFA9A1" w14:textId="1078AD09" w:rsidR="00C53804" w:rsidRPr="00650B23" w:rsidRDefault="2B36C867" w:rsidP="65215FB1">
      <w:pPr>
        <w:spacing w:line="360" w:lineRule="auto"/>
      </w:pPr>
      <w:r w:rsidRPr="65215FB1">
        <w:rPr>
          <w:rFonts w:eastAsia="Calibri" w:cs="Calibri"/>
          <w:szCs w:val="21"/>
          <w:lang w:val="en-GB"/>
        </w:rPr>
        <w:t xml:space="preserve"> </w:t>
      </w:r>
    </w:p>
    <w:p w14:paraId="1394CD63" w14:textId="1621349D" w:rsidR="00D8002E" w:rsidRPr="00C33899" w:rsidRDefault="00C44342" w:rsidP="59587566">
      <w:pPr>
        <w:spacing w:line="360" w:lineRule="auto"/>
        <w:rPr>
          <w:rFonts w:ascii="Times New Roman" w:hAnsi="Times New Roman"/>
          <w:lang w:val="en-GB"/>
        </w:rPr>
      </w:pPr>
      <w:r>
        <w:rPr>
          <w:rFonts w:ascii="Times New Roman" w:hAnsi="Times New Roman"/>
          <w:lang w:val="en-GB"/>
        </w:rPr>
        <w:tab/>
      </w:r>
    </w:p>
    <w:p w14:paraId="5E04C6BD" w14:textId="05E152CA" w:rsidR="00DD5C73" w:rsidRDefault="306F3BE5" w:rsidP="005D6854">
      <w:pPr>
        <w:pStyle w:val="Heading2"/>
        <w:numPr>
          <w:ilvl w:val="1"/>
          <w:numId w:val="16"/>
        </w:numPr>
      </w:pPr>
      <w:bookmarkStart w:id="38" w:name="_Toc84019459"/>
      <w:r>
        <w:t>Stakeholder mapping</w:t>
      </w:r>
      <w:bookmarkEnd w:id="38"/>
    </w:p>
    <w:p w14:paraId="78491E51" w14:textId="77777777" w:rsidR="00DD5C73" w:rsidRDefault="00DD5C73" w:rsidP="00DD5C73">
      <w:pPr>
        <w:rPr>
          <w:lang w:val="en-GB"/>
        </w:rPr>
      </w:pPr>
    </w:p>
    <w:p w14:paraId="135BC8F4" w14:textId="0D1FDBB9" w:rsidR="00E34495" w:rsidRPr="000205AF" w:rsidRDefault="306F3BE5" w:rsidP="59587566">
      <w:pPr>
        <w:spacing w:after="120" w:line="360" w:lineRule="auto"/>
        <w:ind w:firstLine="720"/>
        <w:rPr>
          <w:sz w:val="22"/>
          <w:szCs w:val="22"/>
        </w:rPr>
      </w:pPr>
      <w:r w:rsidRPr="000205AF">
        <w:rPr>
          <w:rFonts w:eastAsia="Calibri" w:cs="Calibri"/>
          <w:sz w:val="22"/>
          <w:szCs w:val="22"/>
          <w:lang w:val="en-GB"/>
        </w:rPr>
        <w:t>A</w:t>
      </w:r>
      <w:r w:rsidR="00E34495" w:rsidRPr="000205AF">
        <w:rPr>
          <w:rFonts w:eastAsia="Calibri" w:cs="Calibri"/>
          <w:sz w:val="22"/>
          <w:szCs w:val="22"/>
          <w:lang w:val="en-GB"/>
        </w:rPr>
        <w:t xml:space="preserve"> key task when assessing the market uptake of the Bio-HFO is to map out the key stakeholders, understanding motivations and plants. At this moment the potential stakeholders identified are feedstock providers, cellulose users and shipping owners (end users).</w:t>
      </w:r>
    </w:p>
    <w:p w14:paraId="4C059A50" w14:textId="77777777" w:rsidR="00DD5C73" w:rsidRDefault="306F3BE5" w:rsidP="00357301">
      <w:pPr>
        <w:pStyle w:val="Heading3"/>
      </w:pPr>
      <w:bookmarkStart w:id="39" w:name="_Toc84019460"/>
      <w:r w:rsidRPr="59587566">
        <w:rPr>
          <w:rFonts w:eastAsia="Calibri"/>
        </w:rPr>
        <w:t>Feedstock Providers</w:t>
      </w:r>
      <w:bookmarkEnd w:id="39"/>
    </w:p>
    <w:p w14:paraId="0DFDC2E9" w14:textId="4804635D" w:rsidR="00DD5C73" w:rsidRDefault="306F3BE5" w:rsidP="5937A937">
      <w:pPr>
        <w:spacing w:after="120" w:line="360" w:lineRule="auto"/>
        <w:ind w:firstLine="720"/>
      </w:pPr>
      <w:r w:rsidRPr="5937A937">
        <w:rPr>
          <w:rFonts w:eastAsia="Calibri" w:cs="Calibri"/>
          <w:lang w:val="en-GB"/>
        </w:rPr>
        <w:t xml:space="preserve">Two types of feedstocks are being used for the production of the Bio-HFO, namely beach (hardwood) and </w:t>
      </w:r>
      <w:r w:rsidR="000F2BDB">
        <w:rPr>
          <w:rFonts w:eastAsia="Calibri" w:cs="Calibri"/>
          <w:lang w:val="en-GB"/>
        </w:rPr>
        <w:t xml:space="preserve">residual </w:t>
      </w:r>
      <w:r w:rsidRPr="5937A937">
        <w:rPr>
          <w:rFonts w:eastAsia="Calibri" w:cs="Calibri"/>
          <w:lang w:val="en-GB"/>
        </w:rPr>
        <w:t>pine (softwood).</w:t>
      </w:r>
    </w:p>
    <w:p w14:paraId="20C1BDFE" w14:textId="17F8A203" w:rsidR="00DD5C73" w:rsidRPr="000205AF" w:rsidRDefault="306F3BE5" w:rsidP="5937A937">
      <w:pPr>
        <w:spacing w:after="120" w:line="360" w:lineRule="auto"/>
        <w:ind w:firstLine="720"/>
        <w:rPr>
          <w:sz w:val="22"/>
          <w:szCs w:val="22"/>
        </w:rPr>
      </w:pPr>
      <w:r w:rsidRPr="000205AF">
        <w:rPr>
          <w:rFonts w:eastAsia="Calibri" w:cs="Calibri"/>
          <w:sz w:val="22"/>
          <w:szCs w:val="22"/>
          <w:lang w:val="en-GB"/>
        </w:rPr>
        <w:t>Beech trees are important timber sources in Europe, as well the most prevalent type in Central Europe. Therefore, increase attention should be paid to the market conditions and forecasting. Studies show that there will be a continuous expansion in the volumes of beech trees</w:t>
      </w:r>
      <w:r w:rsidR="000205AF" w:rsidRPr="000205AF">
        <w:rPr>
          <w:rFonts w:eastAsia="Calibri" w:cs="Calibri"/>
          <w:sz w:val="22"/>
          <w:szCs w:val="22"/>
          <w:lang w:val="en-GB"/>
        </w:rPr>
        <w:t xml:space="preserve"> production</w:t>
      </w:r>
      <w:r w:rsidRPr="000205AF">
        <w:rPr>
          <w:rFonts w:eastAsia="Calibri" w:cs="Calibri"/>
          <w:sz w:val="22"/>
          <w:szCs w:val="22"/>
          <w:lang w:val="en-GB"/>
        </w:rPr>
        <w:t xml:space="preserve"> favoured by higher temperatures and low precipitation. However, it is expected a decay in the southern European region due draughts caused by climate change. Among the competition, chines market is the principal consumer followed by European countries. Their application is mainly for the furniture and woodworking industries (</w:t>
      </w:r>
      <w:proofErr w:type="spellStart"/>
      <w:r w:rsidRPr="000205AF">
        <w:rPr>
          <w:rFonts w:eastAsia="Calibri" w:cs="Calibri"/>
          <w:sz w:val="22"/>
          <w:szCs w:val="22"/>
          <w:lang w:val="en-GB"/>
        </w:rPr>
        <w:t>Kozuch</w:t>
      </w:r>
      <w:proofErr w:type="spellEnd"/>
      <w:r w:rsidRPr="000205AF">
        <w:rPr>
          <w:rFonts w:eastAsia="Calibri" w:cs="Calibri"/>
          <w:sz w:val="22"/>
          <w:szCs w:val="22"/>
          <w:lang w:val="en-GB"/>
        </w:rPr>
        <w:t xml:space="preserve"> &amp; </w:t>
      </w:r>
      <w:proofErr w:type="spellStart"/>
      <w:r w:rsidRPr="000205AF">
        <w:rPr>
          <w:rFonts w:eastAsia="Calibri" w:cs="Calibri"/>
          <w:sz w:val="22"/>
          <w:szCs w:val="22"/>
          <w:lang w:val="en-GB"/>
        </w:rPr>
        <w:t>Banaś</w:t>
      </w:r>
      <w:proofErr w:type="spellEnd"/>
      <w:r w:rsidRPr="000205AF">
        <w:rPr>
          <w:rFonts w:eastAsia="Calibri" w:cs="Calibri"/>
          <w:sz w:val="22"/>
          <w:szCs w:val="22"/>
          <w:lang w:val="en-GB"/>
        </w:rPr>
        <w:t xml:space="preserve">, 2020). </w:t>
      </w:r>
    </w:p>
    <w:p w14:paraId="4E76F6C4" w14:textId="2B654366" w:rsidR="00DD5C73" w:rsidRPr="000205AF" w:rsidRDefault="306F3BE5" w:rsidP="5937A937">
      <w:pPr>
        <w:spacing w:after="120" w:line="360" w:lineRule="auto"/>
        <w:rPr>
          <w:sz w:val="22"/>
          <w:szCs w:val="22"/>
        </w:rPr>
      </w:pPr>
      <w:r w:rsidRPr="000205AF">
        <w:rPr>
          <w:rFonts w:eastAsia="Calibri" w:cs="Calibri"/>
          <w:sz w:val="22"/>
          <w:szCs w:val="22"/>
          <w:lang w:val="en-GB"/>
        </w:rPr>
        <w:t xml:space="preserve"> </w:t>
      </w:r>
      <w:r w:rsidR="00DD5C73" w:rsidRPr="000205AF">
        <w:rPr>
          <w:sz w:val="22"/>
          <w:szCs w:val="22"/>
        </w:rPr>
        <w:tab/>
      </w:r>
      <w:r w:rsidR="000205AF" w:rsidRPr="000205AF">
        <w:rPr>
          <w:rFonts w:eastAsia="Calibri" w:cs="Calibri"/>
          <w:sz w:val="22"/>
          <w:szCs w:val="22"/>
          <w:lang w:val="en-GB"/>
        </w:rPr>
        <w:t xml:space="preserve">Analysis of the market reveals seasonal fluctuations, which can affect the operation cost. Nevertheless, the seasonal variations can be considered of non-statistical significance, as the prices tend to stabilized in the long term (see fig </w:t>
      </w:r>
      <w:r w:rsidR="00841EE8">
        <w:rPr>
          <w:rFonts w:eastAsia="Calibri" w:cs="Calibri"/>
          <w:sz w:val="22"/>
          <w:szCs w:val="22"/>
          <w:lang w:val="en-GB"/>
        </w:rPr>
        <w:t>9</w:t>
      </w:r>
      <w:r w:rsidR="000205AF" w:rsidRPr="000205AF">
        <w:rPr>
          <w:rFonts w:eastAsia="Calibri" w:cs="Calibri"/>
          <w:sz w:val="22"/>
          <w:szCs w:val="22"/>
          <w:lang w:val="en-GB"/>
        </w:rPr>
        <w:t>) (</w:t>
      </w:r>
      <w:proofErr w:type="spellStart"/>
      <w:r w:rsidR="000205AF" w:rsidRPr="000205AF">
        <w:rPr>
          <w:rFonts w:eastAsia="Calibri" w:cs="Calibri"/>
          <w:sz w:val="22"/>
          <w:szCs w:val="22"/>
          <w:lang w:val="en-GB"/>
        </w:rPr>
        <w:t>Kozuch</w:t>
      </w:r>
      <w:proofErr w:type="spellEnd"/>
      <w:r w:rsidR="000205AF" w:rsidRPr="000205AF">
        <w:rPr>
          <w:rFonts w:eastAsia="Calibri" w:cs="Calibri"/>
          <w:sz w:val="22"/>
          <w:szCs w:val="22"/>
          <w:lang w:val="en-GB"/>
        </w:rPr>
        <w:t xml:space="preserve"> &amp; </w:t>
      </w:r>
      <w:proofErr w:type="spellStart"/>
      <w:r w:rsidR="000205AF" w:rsidRPr="000205AF">
        <w:rPr>
          <w:rFonts w:eastAsia="Calibri" w:cs="Calibri"/>
          <w:sz w:val="22"/>
          <w:szCs w:val="22"/>
          <w:lang w:val="en-GB"/>
        </w:rPr>
        <w:t>Banaś</w:t>
      </w:r>
      <w:proofErr w:type="spellEnd"/>
      <w:r w:rsidR="000205AF" w:rsidRPr="000205AF">
        <w:rPr>
          <w:rFonts w:eastAsia="Calibri" w:cs="Calibri"/>
          <w:sz w:val="22"/>
          <w:szCs w:val="22"/>
          <w:lang w:val="en-GB"/>
        </w:rPr>
        <w:t>, 2020). Long- and medium-term contracts are preferred rather spot negotiations to avoid seasonal variations or shortage, reflecting in more stable prices and liability on feedstock offer, especially considering the growing demand.</w:t>
      </w:r>
    </w:p>
    <w:p w14:paraId="3A5E4A73" w14:textId="7BAB0BF3" w:rsidR="00DD5C73" w:rsidRDefault="00DD5C73" w:rsidP="5937A937">
      <w:pPr>
        <w:rPr>
          <w:rFonts w:eastAsia="Calibri" w:cs="Calibri"/>
          <w:lang w:val="en-GB"/>
        </w:rPr>
      </w:pPr>
    </w:p>
    <w:p w14:paraId="5E40529C" w14:textId="77777777" w:rsidR="00DD5C73" w:rsidRDefault="00DD5C73" w:rsidP="5937A937">
      <w:pPr>
        <w:jc w:val="center"/>
        <w:rPr>
          <w:rFonts w:eastAsia="Calibri" w:cs="Calibri"/>
          <w:lang w:val="en-GB"/>
        </w:rPr>
      </w:pPr>
    </w:p>
    <w:p w14:paraId="64AE1452" w14:textId="77777777" w:rsidR="00DD5C73" w:rsidRDefault="306F3BE5" w:rsidP="5937A937">
      <w:pPr>
        <w:jc w:val="center"/>
      </w:pPr>
      <w:r w:rsidRPr="5937A937">
        <w:rPr>
          <w:rFonts w:eastAsia="Calibri" w:cs="Calibri"/>
          <w:lang w:val="en-GB"/>
        </w:rPr>
        <w:t xml:space="preserve"> </w:t>
      </w:r>
      <w:r>
        <w:rPr>
          <w:noProof/>
        </w:rPr>
        <w:drawing>
          <wp:inline distT="0" distB="0" distL="0" distR="0" wp14:anchorId="73E66F3D" wp14:editId="379F4658">
            <wp:extent cx="4572000" cy="2543175"/>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054E6BFA" w14:textId="0753694E" w:rsidR="00DD5C73" w:rsidRPr="00BF2D47" w:rsidRDefault="306F3BE5" w:rsidP="00DD5C73">
      <w:r w:rsidRPr="5937A937">
        <w:rPr>
          <w:rFonts w:eastAsia="Calibri" w:cs="Calibri"/>
          <w:b/>
          <w:bCs/>
          <w:color w:val="4C565C"/>
          <w:sz w:val="18"/>
          <w:szCs w:val="18"/>
          <w:lang w:val="en-GB"/>
        </w:rPr>
        <w:t xml:space="preserve">Figure </w:t>
      </w:r>
      <w:r w:rsidR="7841D259" w:rsidRPr="5937A937">
        <w:rPr>
          <w:rFonts w:eastAsia="Calibri" w:cs="Calibri"/>
          <w:b/>
          <w:bCs/>
          <w:color w:val="4C565C"/>
          <w:sz w:val="18"/>
          <w:szCs w:val="18"/>
          <w:lang w:val="en-GB"/>
        </w:rPr>
        <w:t>9</w:t>
      </w:r>
      <w:r w:rsidRPr="5937A937">
        <w:rPr>
          <w:rFonts w:eastAsia="Calibri" w:cs="Calibri"/>
          <w:b/>
          <w:bCs/>
          <w:color w:val="4C565C"/>
          <w:sz w:val="18"/>
          <w:szCs w:val="18"/>
          <w:lang w:val="en-GB"/>
        </w:rPr>
        <w:t>. Nominal prices of beech roundwood in mayor European producer countries from 2005-</w:t>
      </w:r>
      <w:r w:rsidR="34FCA6EB" w:rsidRPr="5937A937">
        <w:rPr>
          <w:rFonts w:eastAsia="Calibri" w:cs="Calibri"/>
          <w:b/>
          <w:bCs/>
          <w:color w:val="4C565C"/>
          <w:sz w:val="18"/>
          <w:szCs w:val="18"/>
          <w:lang w:val="en-GB"/>
        </w:rPr>
        <w:t>2008</w:t>
      </w:r>
      <w:r w:rsidR="00BF2D47">
        <w:rPr>
          <w:rFonts w:eastAsia="Calibri" w:cs="Calibri"/>
          <w:b/>
          <w:bCs/>
          <w:color w:val="4C565C"/>
          <w:sz w:val="18"/>
          <w:szCs w:val="18"/>
          <w:lang w:val="en-GB"/>
        </w:rPr>
        <w:t xml:space="preserve"> </w:t>
      </w:r>
      <w:r w:rsidR="00BF2D47" w:rsidRPr="00BF2D47">
        <w:rPr>
          <w:rFonts w:eastAsia="Calibri" w:cs="Calibri"/>
          <w:b/>
          <w:bCs/>
          <w:color w:val="4C565C"/>
          <w:sz w:val="18"/>
          <w:szCs w:val="18"/>
          <w:lang w:val="en-GB"/>
        </w:rPr>
        <w:t xml:space="preserve">(source: </w:t>
      </w:r>
      <w:proofErr w:type="spellStart"/>
      <w:r w:rsidR="00BF2D47" w:rsidRPr="00BF2D47">
        <w:rPr>
          <w:rFonts w:eastAsia="Calibri" w:cs="Calibri"/>
          <w:b/>
          <w:bCs/>
          <w:color w:val="4C565C"/>
          <w:sz w:val="18"/>
          <w:szCs w:val="18"/>
          <w:lang w:val="en-GB"/>
        </w:rPr>
        <w:t>Kozuch</w:t>
      </w:r>
      <w:proofErr w:type="spellEnd"/>
      <w:r w:rsidR="00BF2D47" w:rsidRPr="00BF2D47">
        <w:rPr>
          <w:rFonts w:eastAsia="Calibri" w:cs="Calibri"/>
          <w:b/>
          <w:bCs/>
          <w:color w:val="4C565C"/>
          <w:sz w:val="18"/>
          <w:szCs w:val="18"/>
          <w:lang w:val="en-GB"/>
        </w:rPr>
        <w:t xml:space="preserve"> &amp; </w:t>
      </w:r>
      <w:proofErr w:type="spellStart"/>
      <w:r w:rsidR="00BF2D47" w:rsidRPr="00BF2D47">
        <w:rPr>
          <w:rFonts w:eastAsia="Calibri" w:cs="Calibri"/>
          <w:b/>
          <w:bCs/>
          <w:color w:val="4C565C"/>
          <w:sz w:val="18"/>
          <w:szCs w:val="18"/>
          <w:lang w:val="en-GB"/>
        </w:rPr>
        <w:t>Banaś</w:t>
      </w:r>
      <w:proofErr w:type="spellEnd"/>
      <w:r w:rsidR="00BF2D47" w:rsidRPr="00BF2D47">
        <w:rPr>
          <w:rFonts w:eastAsia="Calibri" w:cs="Calibri"/>
          <w:b/>
          <w:bCs/>
          <w:color w:val="4C565C"/>
          <w:sz w:val="18"/>
          <w:szCs w:val="18"/>
          <w:lang w:val="en-GB"/>
        </w:rPr>
        <w:t>, 2020)</w:t>
      </w:r>
      <w:r w:rsidR="34FCA6EB" w:rsidRPr="5937A937">
        <w:rPr>
          <w:rFonts w:eastAsia="Calibri" w:cs="Calibri"/>
          <w:b/>
          <w:bCs/>
          <w:color w:val="4C565C"/>
          <w:sz w:val="18"/>
          <w:szCs w:val="18"/>
          <w:lang w:val="en-GB"/>
        </w:rPr>
        <w:t xml:space="preserve"> </w:t>
      </w:r>
    </w:p>
    <w:p w14:paraId="2C9115A9" w14:textId="77777777" w:rsidR="00DD5C73" w:rsidRPr="00BF2D47" w:rsidRDefault="00DD5C73" w:rsidP="00DD5C73">
      <w:pPr>
        <w:rPr>
          <w:rFonts w:eastAsia="Calibri" w:cs="Calibri"/>
          <w:color w:val="4C565C"/>
          <w:sz w:val="18"/>
          <w:szCs w:val="18"/>
          <w:lang w:val="en-GB"/>
        </w:rPr>
      </w:pPr>
    </w:p>
    <w:p w14:paraId="40385017" w14:textId="77777777" w:rsidR="00FE4215" w:rsidRDefault="00FE4215" w:rsidP="5937A937">
      <w:pPr>
        <w:spacing w:after="120" w:line="360" w:lineRule="auto"/>
        <w:rPr>
          <w:rFonts w:eastAsia="Calibri" w:cs="Calibri"/>
          <w:lang w:val="en-GB"/>
        </w:rPr>
      </w:pPr>
    </w:p>
    <w:p w14:paraId="68B24ABC" w14:textId="3D790E74" w:rsidR="00C12A08" w:rsidRDefault="000205AF" w:rsidP="000205AF">
      <w:pPr>
        <w:spacing w:after="120" w:line="360" w:lineRule="auto"/>
        <w:ind w:firstLine="720"/>
        <w:rPr>
          <w:rStyle w:val="normaltextrun"/>
          <w:rFonts w:cs="Calibri"/>
          <w:color w:val="1F1F1F"/>
          <w:sz w:val="22"/>
          <w:szCs w:val="22"/>
          <w:shd w:val="clear" w:color="auto" w:fill="FFFFFF"/>
        </w:rPr>
      </w:pPr>
      <w:r w:rsidRPr="000205AF">
        <w:rPr>
          <w:rStyle w:val="normaltextrun"/>
          <w:rFonts w:cs="Calibri"/>
          <w:color w:val="1F1F1F"/>
          <w:sz w:val="22"/>
          <w:szCs w:val="22"/>
          <w:shd w:val="clear" w:color="auto" w:fill="FFFFFF"/>
        </w:rPr>
        <w:t xml:space="preserve">Softwood production, particularly in central Europe and Sweden, is in continuous increase. The increased offer leads to lower price, as depicted in </w:t>
      </w:r>
      <w:r w:rsidR="00860423" w:rsidRPr="000205AF">
        <w:rPr>
          <w:rStyle w:val="normaltextrun"/>
          <w:rFonts w:cs="Calibri"/>
          <w:color w:val="1F1F1F"/>
          <w:sz w:val="22"/>
          <w:szCs w:val="22"/>
          <w:shd w:val="clear" w:color="auto" w:fill="FFFFFF"/>
        </w:rPr>
        <w:t>Figure</w:t>
      </w:r>
      <w:r w:rsidRPr="000205AF">
        <w:rPr>
          <w:rStyle w:val="normaltextrun"/>
          <w:rFonts w:cs="Calibri"/>
          <w:color w:val="1F1F1F"/>
          <w:sz w:val="22"/>
          <w:szCs w:val="22"/>
          <w:shd w:val="clear" w:color="auto" w:fill="FFFFFF"/>
        </w:rPr>
        <w:t xml:space="preserve"> </w:t>
      </w:r>
      <w:r>
        <w:rPr>
          <w:rStyle w:val="normaltextrun"/>
          <w:rFonts w:cs="Calibri"/>
          <w:color w:val="1F1F1F"/>
          <w:sz w:val="22"/>
          <w:szCs w:val="22"/>
          <w:shd w:val="clear" w:color="auto" w:fill="FFFFFF"/>
        </w:rPr>
        <w:t>10</w:t>
      </w:r>
      <w:r w:rsidRPr="000205AF">
        <w:rPr>
          <w:rStyle w:val="normaltextrun"/>
          <w:rFonts w:cs="Calibri"/>
          <w:color w:val="1F1F1F"/>
          <w:sz w:val="22"/>
          <w:szCs w:val="22"/>
          <w:shd w:val="clear" w:color="auto" w:fill="FFFFFF"/>
        </w:rPr>
        <w:t>, and higher local availability and, consequently, lower risk regarding</w:t>
      </w:r>
      <w:r w:rsidR="002D541D">
        <w:rPr>
          <w:rStyle w:val="normaltextrun"/>
          <w:rFonts w:cs="Calibri"/>
          <w:color w:val="1F1F1F"/>
          <w:sz w:val="22"/>
          <w:szCs w:val="22"/>
          <w:shd w:val="clear" w:color="auto" w:fill="FFFFFF"/>
        </w:rPr>
        <w:t xml:space="preserve"> waste</w:t>
      </w:r>
      <w:r w:rsidRPr="000205AF">
        <w:rPr>
          <w:rStyle w:val="normaltextrun"/>
          <w:rFonts w:cs="Calibri"/>
          <w:color w:val="1F1F1F"/>
          <w:sz w:val="22"/>
          <w:szCs w:val="22"/>
          <w:shd w:val="clear" w:color="auto" w:fill="FFFFFF"/>
        </w:rPr>
        <w:t xml:space="preserve"> softwood availability is foreseen.</w:t>
      </w:r>
      <w:r w:rsidR="003D0C09">
        <w:rPr>
          <w:rStyle w:val="normaltextrun"/>
          <w:rFonts w:cs="Calibri"/>
          <w:color w:val="1F1F1F"/>
          <w:sz w:val="22"/>
          <w:szCs w:val="22"/>
          <w:shd w:val="clear" w:color="auto" w:fill="FFFFFF"/>
        </w:rPr>
        <w:t xml:space="preserve"> </w:t>
      </w:r>
    </w:p>
    <w:p w14:paraId="66FB5C11" w14:textId="77777777" w:rsidR="000205AF" w:rsidRPr="00C12A08" w:rsidRDefault="000205AF" w:rsidP="5937A937">
      <w:pPr>
        <w:spacing w:after="120" w:line="360" w:lineRule="auto"/>
        <w:rPr>
          <w:rFonts w:eastAsia="Calibri" w:cs="Calibri"/>
          <w:sz w:val="22"/>
          <w:szCs w:val="22"/>
          <w:lang w:val="en-GB"/>
        </w:rPr>
      </w:pPr>
    </w:p>
    <w:p w14:paraId="6CBF49AC" w14:textId="0576FE36" w:rsidR="0E091B9D" w:rsidRDefault="0E091B9D" w:rsidP="5937A937">
      <w:pPr>
        <w:spacing w:after="120" w:line="360" w:lineRule="auto"/>
        <w:jc w:val="center"/>
      </w:pPr>
      <w:r>
        <w:rPr>
          <w:noProof/>
        </w:rPr>
        <w:drawing>
          <wp:inline distT="0" distB="0" distL="0" distR="0" wp14:anchorId="552A62AE" wp14:editId="4F255E43">
            <wp:extent cx="3400425" cy="3067050"/>
            <wp:effectExtent l="0" t="0" r="0" b="0"/>
            <wp:docPr id="1079903180" name="Picture 107990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00425" cy="3067050"/>
                    </a:xfrm>
                    <a:prstGeom prst="rect">
                      <a:avLst/>
                    </a:prstGeom>
                  </pic:spPr>
                </pic:pic>
              </a:graphicData>
            </a:graphic>
          </wp:inline>
        </w:drawing>
      </w:r>
    </w:p>
    <w:p w14:paraId="12CB82E1" w14:textId="4B14F517" w:rsidR="0E091B9D" w:rsidRDefault="0E091B9D" w:rsidP="5937A937">
      <w:pPr>
        <w:jc w:val="center"/>
      </w:pPr>
      <w:r w:rsidRPr="5937A937">
        <w:rPr>
          <w:rFonts w:eastAsia="Calibri" w:cs="Calibri"/>
          <w:b/>
          <w:bCs/>
          <w:color w:val="4C565C"/>
          <w:sz w:val="18"/>
          <w:szCs w:val="18"/>
          <w:lang w:val="en-GB"/>
        </w:rPr>
        <w:t>Figure 10. European softwood trade 2015-2019 (</w:t>
      </w:r>
      <w:r w:rsidR="00BF2D47">
        <w:rPr>
          <w:rFonts w:eastAsia="Calibri" w:cs="Calibri"/>
          <w:b/>
          <w:bCs/>
          <w:color w:val="4C565C"/>
          <w:sz w:val="18"/>
          <w:szCs w:val="18"/>
          <w:lang w:val="en-GB"/>
        </w:rPr>
        <w:t xml:space="preserve">source: </w:t>
      </w:r>
      <w:r w:rsidRPr="5937A937">
        <w:rPr>
          <w:rFonts w:eastAsia="Calibri" w:cs="Calibri"/>
          <w:b/>
          <w:bCs/>
          <w:color w:val="4C565C"/>
          <w:sz w:val="18"/>
          <w:szCs w:val="18"/>
          <w:lang w:val="en-GB"/>
        </w:rPr>
        <w:t>UNECE/FAO, 2020)</w:t>
      </w:r>
    </w:p>
    <w:p w14:paraId="08EEA3F5" w14:textId="3498AD65" w:rsidR="5937A937" w:rsidRDefault="5937A937" w:rsidP="5937A937">
      <w:pPr>
        <w:spacing w:after="120" w:line="360" w:lineRule="auto"/>
        <w:jc w:val="center"/>
        <w:rPr>
          <w:szCs w:val="21"/>
        </w:rPr>
      </w:pPr>
    </w:p>
    <w:p w14:paraId="6A067FED" w14:textId="34F0525B" w:rsidR="00DD5C73" w:rsidRDefault="306F3BE5" w:rsidP="00357301">
      <w:pPr>
        <w:pStyle w:val="Heading3"/>
      </w:pPr>
      <w:bookmarkStart w:id="40" w:name="_Toc84019461"/>
      <w:r w:rsidRPr="59587566">
        <w:rPr>
          <w:rFonts w:eastAsia="Calibri"/>
        </w:rPr>
        <w:lastRenderedPageBreak/>
        <w:t>Cellulose users</w:t>
      </w:r>
      <w:bookmarkEnd w:id="40"/>
    </w:p>
    <w:p w14:paraId="16668A28" w14:textId="76D344C4" w:rsidR="00DD5C73" w:rsidRPr="00EA4AC9" w:rsidRDefault="306F3BE5" w:rsidP="5937A937">
      <w:pPr>
        <w:spacing w:after="120" w:line="360" w:lineRule="auto"/>
        <w:ind w:firstLine="720"/>
        <w:rPr>
          <w:sz w:val="22"/>
          <w:szCs w:val="22"/>
        </w:rPr>
      </w:pPr>
      <w:r w:rsidRPr="00EA4AC9">
        <w:rPr>
          <w:rFonts w:eastAsia="Calibri" w:cs="Calibri"/>
          <w:sz w:val="22"/>
          <w:szCs w:val="22"/>
          <w:lang w:val="en-GB"/>
        </w:rPr>
        <w:t>In order to produce the Bio-HFO, cellulose from woody biomass needs to be removed. However, due to possible changes in legislation, and in general to increase the sustainability overview of the project</w:t>
      </w:r>
      <w:r w:rsidR="006A05E9" w:rsidRPr="00EA4AC9">
        <w:rPr>
          <w:rFonts w:eastAsia="Calibri" w:cs="Calibri"/>
          <w:sz w:val="22"/>
          <w:szCs w:val="22"/>
          <w:lang w:val="en-GB"/>
        </w:rPr>
        <w:t xml:space="preserve"> is necessary to ensure its </w:t>
      </w:r>
      <w:r w:rsidR="00A33772" w:rsidRPr="00EA4AC9">
        <w:rPr>
          <w:rFonts w:eastAsia="Calibri" w:cs="Calibri"/>
          <w:sz w:val="22"/>
          <w:szCs w:val="22"/>
          <w:lang w:val="en-GB"/>
        </w:rPr>
        <w:t xml:space="preserve">(high) </w:t>
      </w:r>
      <w:r w:rsidR="00EA4AC9" w:rsidRPr="00EA4AC9">
        <w:rPr>
          <w:rFonts w:eastAsia="Calibri" w:cs="Calibri"/>
          <w:sz w:val="22"/>
          <w:szCs w:val="22"/>
          <w:lang w:val="en-GB"/>
        </w:rPr>
        <w:t>valorisation</w:t>
      </w:r>
      <w:r w:rsidR="00A33772" w:rsidRPr="00EA4AC9">
        <w:rPr>
          <w:rFonts w:eastAsia="Calibri" w:cs="Calibri"/>
          <w:sz w:val="22"/>
          <w:szCs w:val="22"/>
          <w:lang w:val="en-GB"/>
        </w:rPr>
        <w:t>.</w:t>
      </w:r>
    </w:p>
    <w:p w14:paraId="2D967752" w14:textId="7FCB7120" w:rsidR="00EF63FE" w:rsidRPr="00EA4AC9" w:rsidRDefault="306F3BE5" w:rsidP="5937A937">
      <w:pPr>
        <w:spacing w:after="120" w:line="360" w:lineRule="auto"/>
        <w:rPr>
          <w:rFonts w:eastAsia="Calibri" w:cs="Calibri"/>
          <w:sz w:val="22"/>
          <w:szCs w:val="22"/>
          <w:lang w:val="en-GB"/>
        </w:rPr>
      </w:pPr>
      <w:r w:rsidRPr="00EA4AC9">
        <w:rPr>
          <w:rFonts w:eastAsia="Calibri" w:cs="Calibri"/>
          <w:sz w:val="22"/>
          <w:szCs w:val="22"/>
          <w:lang w:val="en-GB"/>
        </w:rPr>
        <w:t xml:space="preserve"> </w:t>
      </w:r>
      <w:r w:rsidR="00DD5C73" w:rsidRPr="00EA4AC9">
        <w:rPr>
          <w:sz w:val="22"/>
          <w:szCs w:val="22"/>
        </w:rPr>
        <w:tab/>
      </w:r>
      <w:r w:rsidR="00EA4AC9" w:rsidRPr="00EA4AC9">
        <w:rPr>
          <w:rStyle w:val="normaltextrun"/>
          <w:rFonts w:cs="Calibri"/>
          <w:color w:val="1F1F1F"/>
          <w:sz w:val="22"/>
          <w:szCs w:val="22"/>
          <w:shd w:val="clear" w:color="auto" w:fill="FFFFFF"/>
          <w:lang w:val="en-GB"/>
        </w:rPr>
        <w:t xml:space="preserve">Cellulose can have different market application such as pulp and paper, or for the production of chemical. Pulp and paper are expected to remain the major shareholder followed by personal care industry </w:t>
      </w:r>
      <w:r w:rsidR="00EA4AC9">
        <w:rPr>
          <w:rStyle w:val="normaltextrun"/>
          <w:rFonts w:cs="Calibri"/>
          <w:color w:val="1F1F1F"/>
          <w:sz w:val="22"/>
          <w:szCs w:val="22"/>
          <w:shd w:val="clear" w:color="auto" w:fill="FFFFFF"/>
          <w:lang w:val="en-GB"/>
        </w:rPr>
        <w:fldChar w:fldCharType="begin" w:fldLock="1"/>
      </w:r>
      <w:r w:rsidR="0028142C">
        <w:rPr>
          <w:rStyle w:val="normaltextrun"/>
          <w:rFonts w:cs="Calibri"/>
          <w:color w:val="1F1F1F"/>
          <w:sz w:val="22"/>
          <w:szCs w:val="22"/>
          <w:shd w:val="clear" w:color="auto" w:fill="FFFFFF"/>
          <w:lang w:val="en-GB"/>
        </w:rPr>
        <w:instrText>ADDIN CSL_CITATION {"citationItems":[{"id":"ITEM-1","itemData":{"author":[{"dropping-particle":"","family":"Fortune Business Insights","given":"","non-dropping-particle":"","parse-names":false,"suffix":""}],"container-title":"Market Researsh report","id":"ITEM-1","issued":{"date-parts":[["2020"]]},"title":"Cellulose Market Size, Share &amp; Industry Analysis","type":"article-newspaper"},"uris":["http://www.mendeley.com/documents/?uuid=320e21fe-0018-4ced-85e1-e1cd1f777ea5"]}],"mendeley":{"formattedCitation":"(Fortune Business Insights, 2020)","plainTextFormattedCitation":"(Fortune Business Insights, 2020)","previouslyFormattedCitation":"(Fortune Business Insights, 2020)"},"properties":{"noteIndex":0},"schema":"https://github.com/citation-style-language/schema/raw/master/csl-citation.json"}</w:instrText>
      </w:r>
      <w:r w:rsidR="00EA4AC9">
        <w:rPr>
          <w:rStyle w:val="normaltextrun"/>
          <w:rFonts w:cs="Calibri"/>
          <w:color w:val="1F1F1F"/>
          <w:sz w:val="22"/>
          <w:szCs w:val="22"/>
          <w:shd w:val="clear" w:color="auto" w:fill="FFFFFF"/>
          <w:lang w:val="en-GB"/>
        </w:rPr>
        <w:fldChar w:fldCharType="separate"/>
      </w:r>
      <w:r w:rsidR="00EA4AC9" w:rsidRPr="00EA4AC9">
        <w:rPr>
          <w:rStyle w:val="normaltextrun"/>
          <w:rFonts w:cs="Calibri"/>
          <w:noProof/>
          <w:color w:val="1F1F1F"/>
          <w:sz w:val="22"/>
          <w:szCs w:val="22"/>
          <w:shd w:val="clear" w:color="auto" w:fill="FFFFFF"/>
          <w:lang w:val="en-GB"/>
        </w:rPr>
        <w:t>(Fortune Business Insights, 2020)</w:t>
      </w:r>
      <w:r w:rsidR="00EA4AC9">
        <w:rPr>
          <w:rStyle w:val="normaltextrun"/>
          <w:rFonts w:cs="Calibri"/>
          <w:color w:val="1F1F1F"/>
          <w:sz w:val="22"/>
          <w:szCs w:val="22"/>
          <w:shd w:val="clear" w:color="auto" w:fill="FFFFFF"/>
          <w:lang w:val="en-GB"/>
        </w:rPr>
        <w:fldChar w:fldCharType="end"/>
      </w:r>
      <w:r w:rsidR="00EA4AC9">
        <w:rPr>
          <w:rStyle w:val="normaltextrun"/>
          <w:rFonts w:cs="Calibri"/>
          <w:color w:val="1F1F1F"/>
          <w:sz w:val="22"/>
          <w:szCs w:val="22"/>
          <w:shd w:val="clear" w:color="auto" w:fill="FFFFFF"/>
          <w:lang w:val="en-GB"/>
        </w:rPr>
        <w:t>.</w:t>
      </w:r>
      <w:r w:rsidRPr="00EA4AC9">
        <w:rPr>
          <w:rFonts w:eastAsia="Calibri" w:cs="Calibri"/>
          <w:sz w:val="22"/>
          <w:szCs w:val="22"/>
          <w:lang w:val="en-GB"/>
        </w:rPr>
        <w:t xml:space="preserve"> Using the environmental leverage of the higher sustainability of IDEALFUEL’s process, can be of advantage to convince this uses of acquiring the cellulose. </w:t>
      </w:r>
      <w:r w:rsidR="00EF63FE">
        <w:rPr>
          <w:rFonts w:eastAsia="Calibri" w:cs="Calibri"/>
          <w:sz w:val="22"/>
          <w:szCs w:val="22"/>
          <w:lang w:val="en-GB"/>
        </w:rPr>
        <w:t xml:space="preserve"> As alternative is the possibility of internal valorisation.</w:t>
      </w:r>
    </w:p>
    <w:p w14:paraId="7663C93A" w14:textId="5A20620E" w:rsidR="00DD5C73" w:rsidRDefault="306F3BE5" w:rsidP="5937A937">
      <w:pPr>
        <w:spacing w:after="120" w:line="360" w:lineRule="auto"/>
      </w:pPr>
      <w:r w:rsidRPr="5937A937">
        <w:rPr>
          <w:rFonts w:eastAsia="Calibri" w:cs="Calibri"/>
          <w:lang w:val="en-GB"/>
        </w:rPr>
        <w:t xml:space="preserve"> </w:t>
      </w:r>
    </w:p>
    <w:p w14:paraId="6D2B9D18" w14:textId="67B1056D" w:rsidR="00DD5C73" w:rsidRDefault="306F3BE5" w:rsidP="00357301">
      <w:pPr>
        <w:pStyle w:val="Heading3"/>
      </w:pPr>
      <w:r w:rsidRPr="59587566">
        <w:rPr>
          <w:rFonts w:eastAsia="Times New Roman"/>
          <w:sz w:val="14"/>
          <w:szCs w:val="14"/>
        </w:rPr>
        <w:t xml:space="preserve"> </w:t>
      </w:r>
      <w:bookmarkStart w:id="41" w:name="_Toc84019462"/>
      <w:r w:rsidRPr="59587566">
        <w:rPr>
          <w:rFonts w:eastAsia="Calibri"/>
        </w:rPr>
        <w:t>Ship owners</w:t>
      </w:r>
      <w:bookmarkEnd w:id="41"/>
    </w:p>
    <w:p w14:paraId="728A3C84" w14:textId="3B690789" w:rsidR="00DD5C73" w:rsidRPr="00EA4AC9" w:rsidRDefault="306F3BE5" w:rsidP="5937A937">
      <w:pPr>
        <w:spacing w:after="120" w:line="360" w:lineRule="auto"/>
        <w:rPr>
          <w:sz w:val="22"/>
          <w:szCs w:val="22"/>
        </w:rPr>
      </w:pPr>
      <w:r w:rsidRPr="5937A937">
        <w:rPr>
          <w:rFonts w:eastAsia="Calibri" w:cs="Calibri"/>
          <w:lang w:val="en-GB"/>
        </w:rPr>
        <w:t xml:space="preserve"> </w:t>
      </w:r>
      <w:r w:rsidR="00DD5C73">
        <w:tab/>
      </w:r>
      <w:r w:rsidRPr="00EA4AC9">
        <w:rPr>
          <w:rFonts w:eastAsia="Calibri" w:cs="Calibri"/>
          <w:sz w:val="22"/>
          <w:szCs w:val="22"/>
          <w:lang w:val="en-GB"/>
        </w:rPr>
        <w:t>Lignin based fuels are not familiar to the shipping industry. Recently AP Moller-Maersk announced their interest in methanol-lignin blends to increase the energy density of methanol.  Maersk has the intention to run ships of 2000 TEU on methanol (Team, 2021). However, the use of a lignin-based fuel in the s</w:t>
      </w:r>
      <w:r w:rsidR="009875C6">
        <w:rPr>
          <w:rFonts w:eastAsia="Calibri" w:cs="Calibri"/>
          <w:sz w:val="22"/>
          <w:szCs w:val="22"/>
          <w:lang w:val="en-GB"/>
        </w:rPr>
        <w:t>h</w:t>
      </w:r>
      <w:r w:rsidRPr="00EA4AC9">
        <w:rPr>
          <w:rFonts w:eastAsia="Calibri" w:cs="Calibri"/>
          <w:sz w:val="22"/>
          <w:szCs w:val="22"/>
          <w:lang w:val="en-GB"/>
        </w:rPr>
        <w:t>ipping industry is yet to be proved, especially as a HFO equivalent.</w:t>
      </w:r>
    </w:p>
    <w:p w14:paraId="4A64C191" w14:textId="7C209747" w:rsidR="00667846" w:rsidRPr="0045629F" w:rsidRDefault="306F3BE5" w:rsidP="0075226F">
      <w:pPr>
        <w:spacing w:after="240" w:line="276" w:lineRule="auto"/>
        <w:rPr>
          <w:lang w:val="en-GB"/>
        </w:rPr>
      </w:pPr>
      <w:r w:rsidRPr="00EA4AC9">
        <w:rPr>
          <w:rFonts w:eastAsia="Calibri" w:cs="Calibri"/>
          <w:sz w:val="22"/>
          <w:szCs w:val="22"/>
          <w:lang w:val="en-GB"/>
        </w:rPr>
        <w:t xml:space="preserve"> </w:t>
      </w:r>
      <w:r w:rsidR="00DD5C73" w:rsidRPr="00EA4AC9">
        <w:rPr>
          <w:sz w:val="22"/>
          <w:szCs w:val="22"/>
        </w:rPr>
        <w:tab/>
      </w:r>
      <w:r w:rsidRPr="00EA4AC9">
        <w:rPr>
          <w:rFonts w:eastAsia="Calibri" w:cs="Calibri"/>
          <w:sz w:val="22"/>
          <w:szCs w:val="22"/>
          <w:lang w:val="en-GB"/>
        </w:rPr>
        <w:t xml:space="preserve"> As a drop-in, the Bio-HFO is an attractive fuel, and demonstration project in large bunkering ports such as the Port of Rotterdam can influence </w:t>
      </w:r>
      <w:r w:rsidR="000205AF">
        <w:rPr>
          <w:rFonts w:eastAsia="Calibri" w:cs="Calibri"/>
          <w:sz w:val="22"/>
          <w:szCs w:val="22"/>
          <w:lang w:val="en-GB"/>
        </w:rPr>
        <w:t xml:space="preserve">public </w:t>
      </w:r>
      <w:r w:rsidR="000205AF" w:rsidRPr="00EA4AC9">
        <w:rPr>
          <w:rFonts w:eastAsia="Calibri" w:cs="Calibri"/>
          <w:sz w:val="22"/>
          <w:szCs w:val="22"/>
          <w:lang w:val="en-GB"/>
        </w:rPr>
        <w:t xml:space="preserve">opinion </w:t>
      </w:r>
      <w:r w:rsidRPr="00EA4AC9">
        <w:rPr>
          <w:rFonts w:eastAsia="Calibri" w:cs="Calibri"/>
          <w:sz w:val="22"/>
          <w:szCs w:val="22"/>
          <w:lang w:val="en-GB"/>
        </w:rPr>
        <w:t>significantly. The support of the port authorities can trigger demand. Once the demand increases, the systems and infrastructure needed will follow.</w:t>
      </w:r>
    </w:p>
    <w:p w14:paraId="749E853A" w14:textId="4F090C27" w:rsidR="007A4C09" w:rsidRPr="007A4C09" w:rsidRDefault="007A4C09" w:rsidP="00357301">
      <w:pPr>
        <w:pStyle w:val="Heading3"/>
        <w:numPr>
          <w:ilvl w:val="0"/>
          <w:numId w:val="0"/>
        </w:numPr>
        <w:ind w:left="444"/>
      </w:pPr>
      <w:r w:rsidRPr="007A4C09">
        <w:br w:type="page"/>
      </w:r>
    </w:p>
    <w:p w14:paraId="2BFB7804" w14:textId="22259654" w:rsidR="00534528" w:rsidRDefault="520CDA07" w:rsidP="005D6854">
      <w:pPr>
        <w:pStyle w:val="Heading1"/>
      </w:pPr>
      <w:bookmarkStart w:id="42" w:name="_Toc84019463"/>
      <w:r>
        <w:lastRenderedPageBreak/>
        <w:t xml:space="preserve">Conclusions and </w:t>
      </w:r>
      <w:r w:rsidR="1CA31864">
        <w:t>Recommendations</w:t>
      </w:r>
      <w:bookmarkEnd w:id="42"/>
    </w:p>
    <w:p w14:paraId="0AD509E3" w14:textId="62B05B4C" w:rsidR="59587566" w:rsidRDefault="59587566" w:rsidP="59587566">
      <w:pPr>
        <w:rPr>
          <w:szCs w:val="21"/>
          <w:lang w:val="en-GB"/>
        </w:rPr>
      </w:pPr>
    </w:p>
    <w:p w14:paraId="43EC7B59" w14:textId="1F43F335"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The success of</w:t>
      </w:r>
      <w:r w:rsidR="005D7FBC">
        <w:rPr>
          <w:rFonts w:asciiTheme="majorHAnsi" w:hAnsiTheme="majorHAnsi" w:cstheme="majorHAnsi"/>
          <w:color w:val="1F1F1F"/>
          <w:sz w:val="22"/>
          <w:szCs w:val="22"/>
          <w:lang w:val="en-GB"/>
        </w:rPr>
        <w:t xml:space="preserve"> IDEALFUEL’s</w:t>
      </w:r>
      <w:r w:rsidRPr="00340A14">
        <w:rPr>
          <w:rFonts w:asciiTheme="majorHAnsi" w:hAnsiTheme="majorHAnsi" w:cstheme="majorHAnsi"/>
          <w:color w:val="1F1F1F"/>
          <w:sz w:val="22"/>
          <w:szCs w:val="22"/>
          <w:lang w:val="en-GB"/>
        </w:rPr>
        <w:t xml:space="preserve"> Bio-HFO, from a market perspective, will be influenced by 4 variables: </w:t>
      </w:r>
      <w:proofErr w:type="spellStart"/>
      <w:r w:rsidRPr="00340A14">
        <w:rPr>
          <w:rFonts w:asciiTheme="majorHAnsi" w:hAnsiTheme="majorHAnsi" w:cstheme="majorHAnsi"/>
          <w:color w:val="1F1F1F"/>
          <w:sz w:val="22"/>
          <w:szCs w:val="22"/>
          <w:lang w:val="en-GB"/>
        </w:rPr>
        <w:t>i</w:t>
      </w:r>
      <w:proofErr w:type="spellEnd"/>
      <w:r w:rsidRPr="00340A14">
        <w:rPr>
          <w:rFonts w:asciiTheme="majorHAnsi" w:hAnsiTheme="majorHAnsi" w:cstheme="majorHAnsi"/>
          <w:color w:val="1F1F1F"/>
          <w:sz w:val="22"/>
          <w:szCs w:val="22"/>
          <w:lang w:val="en-GB"/>
        </w:rPr>
        <w:t>) legislation, mandates and incentives; ii) emission performance; iii) fuel compatibility and blend-ability; iv) production cost.</w:t>
      </w:r>
      <w:r w:rsidRPr="00340A14">
        <w:rPr>
          <w:rFonts w:asciiTheme="majorHAnsi" w:hAnsiTheme="majorHAnsi" w:cstheme="majorHAnsi"/>
          <w:color w:val="1F1F1F"/>
          <w:sz w:val="22"/>
          <w:szCs w:val="22"/>
        </w:rPr>
        <w:t> </w:t>
      </w:r>
    </w:p>
    <w:p w14:paraId="6244CE9C" w14:textId="39EBDCC7" w:rsidR="00340A14" w:rsidRPr="00340A14" w:rsidRDefault="00970A56" w:rsidP="00D83171">
      <w:pPr>
        <w:spacing w:after="120" w:line="360" w:lineRule="auto"/>
        <w:ind w:firstLine="720"/>
        <w:textAlignment w:val="baseline"/>
        <w:rPr>
          <w:rFonts w:asciiTheme="majorHAnsi" w:hAnsiTheme="majorHAnsi" w:cstheme="majorHAnsi"/>
          <w:color w:val="1F1F1F"/>
          <w:sz w:val="22"/>
          <w:szCs w:val="22"/>
          <w:lang w:val="en-GB"/>
        </w:rPr>
      </w:pPr>
      <w:r>
        <w:rPr>
          <w:rFonts w:asciiTheme="majorHAnsi" w:hAnsiTheme="majorHAnsi" w:cstheme="majorHAnsi"/>
          <w:color w:val="1F1F1F"/>
          <w:sz w:val="22"/>
          <w:szCs w:val="22"/>
          <w:lang w:val="en-GB"/>
        </w:rPr>
        <w:t xml:space="preserve">Current and future legislation propose </w:t>
      </w:r>
      <w:r w:rsidR="00340A14" w:rsidRPr="00340A14">
        <w:rPr>
          <w:rFonts w:asciiTheme="majorHAnsi" w:hAnsiTheme="majorHAnsi" w:cstheme="majorHAnsi"/>
          <w:color w:val="1F1F1F"/>
          <w:sz w:val="22"/>
          <w:szCs w:val="22"/>
          <w:lang w:val="en-GB"/>
        </w:rPr>
        <w:t>a market environment favourable </w:t>
      </w:r>
      <w:r>
        <w:rPr>
          <w:rFonts w:asciiTheme="majorHAnsi" w:hAnsiTheme="majorHAnsi" w:cstheme="majorHAnsi"/>
          <w:color w:val="1F1F1F"/>
          <w:sz w:val="22"/>
          <w:szCs w:val="22"/>
          <w:lang w:val="en-GB"/>
        </w:rPr>
        <w:t>for</w:t>
      </w:r>
      <w:r w:rsidR="00340A14" w:rsidRPr="00340A14">
        <w:rPr>
          <w:rFonts w:asciiTheme="majorHAnsi" w:hAnsiTheme="majorHAnsi" w:cstheme="majorHAnsi"/>
          <w:color w:val="1F1F1F"/>
          <w:sz w:val="22"/>
          <w:szCs w:val="22"/>
          <w:lang w:val="en-GB"/>
        </w:rPr>
        <w:t xml:space="preserve"> biofuel uptake. With this regard it is imperative that the Bio-HFO complies with the norms and directives. To be considerable an advanced fuel, the raw-material must be classified as </w:t>
      </w:r>
      <w:r w:rsidR="009D4BA5">
        <w:rPr>
          <w:rFonts w:asciiTheme="majorHAnsi" w:hAnsiTheme="majorHAnsi" w:cstheme="majorHAnsi"/>
          <w:color w:val="1F1F1F"/>
          <w:sz w:val="22"/>
          <w:szCs w:val="22"/>
          <w:lang w:val="en-GB"/>
        </w:rPr>
        <w:t>waste</w:t>
      </w:r>
      <w:r w:rsidR="00340A14" w:rsidRPr="00340A14">
        <w:rPr>
          <w:rFonts w:asciiTheme="majorHAnsi" w:hAnsiTheme="majorHAnsi" w:cstheme="majorHAnsi"/>
          <w:color w:val="1F1F1F"/>
          <w:sz w:val="22"/>
          <w:szCs w:val="22"/>
          <w:lang w:val="en-GB"/>
        </w:rPr>
        <w:t>. Noncompliance risks are lower if the lignin comes as a secondary (residue) stream within the process. In another words, the main purpose of feedstock acquisition is other than lignin valorisation. The fact that the residue (lignin rich) will be upgraded into a value-added product instead of</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being</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burned for heat purposes</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might be considered beneficial.</w:t>
      </w:r>
      <w:r w:rsidR="00D83171">
        <w:rPr>
          <w:rFonts w:asciiTheme="majorHAnsi" w:hAnsiTheme="majorHAnsi" w:cstheme="majorHAnsi"/>
          <w:color w:val="1F1F1F"/>
          <w:sz w:val="22"/>
          <w:szCs w:val="22"/>
          <w:lang w:val="en-GB"/>
        </w:rPr>
        <w:t xml:space="preserve"> </w:t>
      </w:r>
      <w:r w:rsidR="00340A14" w:rsidRPr="00340A14">
        <w:rPr>
          <w:rFonts w:asciiTheme="majorHAnsi" w:hAnsiTheme="majorHAnsi" w:cstheme="majorHAnsi"/>
          <w:color w:val="1F1F1F"/>
          <w:sz w:val="22"/>
          <w:szCs w:val="22"/>
          <w:lang w:val="en-GB"/>
        </w:rPr>
        <w:t xml:space="preserve"> Nevertheless, this aspect requires more than engineering and process design effort, since it is also ruled by political matters.</w:t>
      </w:r>
      <w:r w:rsidR="00340A14" w:rsidRPr="00340A14">
        <w:rPr>
          <w:rFonts w:asciiTheme="majorHAnsi" w:hAnsiTheme="majorHAnsi" w:cstheme="majorHAnsi"/>
          <w:color w:val="1F1F1F"/>
          <w:sz w:val="22"/>
          <w:szCs w:val="22"/>
        </w:rPr>
        <w:t> </w:t>
      </w:r>
    </w:p>
    <w:p w14:paraId="04B7293E" w14:textId="440CBEB7"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Emission performance will be translated into marketing advantages</w:t>
      </w:r>
      <w:r w:rsidR="00AB0D15">
        <w:rPr>
          <w:rFonts w:asciiTheme="majorHAnsi" w:hAnsiTheme="majorHAnsi" w:cstheme="majorHAnsi"/>
          <w:color w:val="1F1F1F"/>
          <w:sz w:val="22"/>
          <w:szCs w:val="22"/>
          <w:lang w:val="en-GB"/>
        </w:rPr>
        <w:t>,</w:t>
      </w:r>
      <w:r w:rsidRPr="00340A14">
        <w:rPr>
          <w:rFonts w:asciiTheme="majorHAnsi" w:hAnsiTheme="majorHAnsi" w:cstheme="majorHAnsi"/>
          <w:color w:val="1F1F1F"/>
          <w:sz w:val="22"/>
          <w:szCs w:val="22"/>
          <w:lang w:val="en-GB"/>
        </w:rPr>
        <w:t xml:space="preserve"> whether by branding or premium benefit. </w:t>
      </w:r>
      <w:r w:rsidR="00AB0D15">
        <w:rPr>
          <w:rFonts w:asciiTheme="majorHAnsi" w:hAnsiTheme="majorHAnsi" w:cstheme="majorHAnsi"/>
          <w:color w:val="1F1F1F"/>
          <w:sz w:val="22"/>
          <w:szCs w:val="22"/>
          <w:lang w:val="en-GB"/>
        </w:rPr>
        <w:t xml:space="preserve">The </w:t>
      </w:r>
      <w:r w:rsidRPr="00340A14">
        <w:rPr>
          <w:rFonts w:asciiTheme="majorHAnsi" w:hAnsiTheme="majorHAnsi" w:cstheme="majorHAnsi"/>
          <w:color w:val="1F1F1F"/>
          <w:sz w:val="22"/>
          <w:szCs w:val="22"/>
          <w:lang w:val="en-GB"/>
        </w:rPr>
        <w:t>Bio-HFO must represent an effective alternative on </w:t>
      </w:r>
      <w:proofErr w:type="spellStart"/>
      <w:r w:rsidRPr="00340A14">
        <w:rPr>
          <w:rFonts w:asciiTheme="majorHAnsi" w:hAnsiTheme="majorHAnsi" w:cstheme="majorHAnsi"/>
          <w:color w:val="1F1F1F"/>
          <w:sz w:val="22"/>
          <w:szCs w:val="22"/>
          <w:lang w:val="en-GB"/>
        </w:rPr>
        <w:t>SOx</w:t>
      </w:r>
      <w:proofErr w:type="spellEnd"/>
      <w:r w:rsidRPr="00340A14">
        <w:rPr>
          <w:rFonts w:asciiTheme="majorHAnsi" w:hAnsiTheme="majorHAnsi" w:cstheme="majorHAnsi"/>
          <w:color w:val="1F1F1F"/>
          <w:sz w:val="22"/>
          <w:szCs w:val="22"/>
          <w:lang w:val="en-GB"/>
        </w:rPr>
        <w:t>, GHG and NOx emissions, first two with higher impact on the pricing perspective. GHG emission will be very connected to feedstock classification as </w:t>
      </w:r>
      <w:r w:rsidR="00FE199B">
        <w:rPr>
          <w:rFonts w:asciiTheme="majorHAnsi" w:hAnsiTheme="majorHAnsi" w:cstheme="majorHAnsi"/>
          <w:color w:val="1F1F1F"/>
          <w:sz w:val="22"/>
          <w:szCs w:val="22"/>
          <w:lang w:val="en-GB"/>
        </w:rPr>
        <w:t>not-</w:t>
      </w:r>
      <w:r w:rsidRPr="00340A14">
        <w:rPr>
          <w:rFonts w:asciiTheme="majorHAnsi" w:hAnsiTheme="majorHAnsi" w:cstheme="majorHAnsi"/>
          <w:color w:val="1F1F1F"/>
          <w:sz w:val="22"/>
          <w:szCs w:val="22"/>
          <w:lang w:val="en-GB"/>
        </w:rPr>
        <w:t>eligible for advanced biofuel production.  </w:t>
      </w:r>
      <w:r w:rsidRPr="00340A14">
        <w:rPr>
          <w:rFonts w:asciiTheme="majorHAnsi" w:hAnsiTheme="majorHAnsi" w:cstheme="majorHAnsi"/>
          <w:color w:val="1F1F1F"/>
          <w:sz w:val="22"/>
          <w:szCs w:val="22"/>
        </w:rPr>
        <w:t> </w:t>
      </w:r>
    </w:p>
    <w:p w14:paraId="01B5D897" w14:textId="1BACAF54"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 xml:space="preserve">Fuel compatibility can represent a considerable restriction to Bio-HFO uptake. Generally speaking, wider the possible blending range is, more </w:t>
      </w:r>
      <w:r w:rsidR="00794EDD">
        <w:rPr>
          <w:rFonts w:asciiTheme="majorHAnsi" w:hAnsiTheme="majorHAnsi" w:cstheme="majorHAnsi"/>
          <w:color w:val="1F1F1F"/>
          <w:sz w:val="22"/>
          <w:szCs w:val="22"/>
          <w:lang w:val="en-GB"/>
        </w:rPr>
        <w:t>attractive</w:t>
      </w:r>
      <w:r w:rsidRPr="00340A14">
        <w:rPr>
          <w:rFonts w:asciiTheme="majorHAnsi" w:hAnsiTheme="majorHAnsi" w:cstheme="majorHAnsi"/>
          <w:color w:val="1F1F1F"/>
          <w:sz w:val="22"/>
          <w:szCs w:val="22"/>
          <w:lang w:val="en-GB"/>
        </w:rPr>
        <w:t xml:space="preserve"> will be product uptake. It is crucial to address the tests highlighted in section 3.4, and to target a final product with density, heat value, viscosity and flash point equivalent to fossil counter-part. The upgrade and product quality can pose a trade-off between production costs and market pricing, which must be considered when more information about the product is available.</w:t>
      </w:r>
      <w:r w:rsidRPr="00340A14">
        <w:rPr>
          <w:rFonts w:asciiTheme="majorHAnsi" w:hAnsiTheme="majorHAnsi" w:cstheme="majorHAnsi"/>
          <w:color w:val="1F1F1F"/>
          <w:sz w:val="22"/>
          <w:szCs w:val="22"/>
        </w:rPr>
        <w:t> </w:t>
      </w:r>
    </w:p>
    <w:p w14:paraId="3842BAA6" w14:textId="085D706C" w:rsidR="00340A14" w:rsidRPr="00340A14" w:rsidRDefault="00340A14" w:rsidP="00340A14">
      <w:pPr>
        <w:spacing w:after="120" w:line="360" w:lineRule="auto"/>
        <w:ind w:firstLine="720"/>
        <w:textAlignment w:val="baseline"/>
        <w:rPr>
          <w:rFonts w:asciiTheme="majorHAnsi" w:hAnsiTheme="majorHAnsi" w:cstheme="majorHAnsi"/>
          <w:color w:val="1F1F1F"/>
          <w:sz w:val="20"/>
        </w:rPr>
      </w:pPr>
      <w:r w:rsidRPr="00340A14">
        <w:rPr>
          <w:rFonts w:asciiTheme="majorHAnsi" w:hAnsiTheme="majorHAnsi" w:cstheme="majorHAnsi"/>
          <w:color w:val="1F1F1F"/>
          <w:sz w:val="22"/>
          <w:szCs w:val="22"/>
          <w:lang w:val="en-GB"/>
        </w:rPr>
        <w:t>Finally, the production cost</w:t>
      </w:r>
      <w:r w:rsidR="00AB7E60">
        <w:rPr>
          <w:rFonts w:asciiTheme="majorHAnsi" w:hAnsiTheme="majorHAnsi" w:cstheme="majorHAnsi"/>
          <w:color w:val="1F1F1F"/>
          <w:sz w:val="22"/>
          <w:szCs w:val="22"/>
          <w:lang w:val="en-GB"/>
        </w:rPr>
        <w:t>. A</w:t>
      </w:r>
      <w:r w:rsidRPr="00340A14">
        <w:rPr>
          <w:rFonts w:asciiTheme="majorHAnsi" w:hAnsiTheme="majorHAnsi" w:cstheme="majorHAnsi"/>
          <w:color w:val="1F1F1F"/>
          <w:sz w:val="22"/>
          <w:szCs w:val="22"/>
          <w:lang w:val="en-GB"/>
        </w:rPr>
        <w:t xml:space="preserve">s just mentioned, </w:t>
      </w:r>
      <w:r w:rsidR="00AB7E60">
        <w:rPr>
          <w:rFonts w:asciiTheme="majorHAnsi" w:hAnsiTheme="majorHAnsi" w:cstheme="majorHAnsi"/>
          <w:color w:val="1F1F1F"/>
          <w:sz w:val="22"/>
          <w:szCs w:val="22"/>
          <w:lang w:val="en-GB"/>
        </w:rPr>
        <w:t xml:space="preserve">it </w:t>
      </w:r>
      <w:r w:rsidRPr="00340A14">
        <w:rPr>
          <w:rFonts w:asciiTheme="majorHAnsi" w:hAnsiTheme="majorHAnsi" w:cstheme="majorHAnsi"/>
          <w:color w:val="1F1F1F"/>
          <w:sz w:val="22"/>
          <w:szCs w:val="22"/>
          <w:lang w:val="en-GB"/>
        </w:rPr>
        <w:t xml:space="preserve">must be considered together with product specifications. Ideally, the Bio-HFO will benefit from the premium related to emissions, which should not be outnumbered by the production cost, as discussed in section 4.2. Fossil-based inputs, such as methanol, must be recycled to avoid extra GHG load from the production background, in order to keep GHG emissions </w:t>
      </w:r>
      <w:r w:rsidR="000205AF">
        <w:rPr>
          <w:rFonts w:asciiTheme="majorHAnsi" w:hAnsiTheme="majorHAnsi" w:cstheme="majorHAnsi"/>
          <w:color w:val="1F1F1F"/>
          <w:sz w:val="22"/>
          <w:szCs w:val="22"/>
          <w:lang w:val="en-GB"/>
        </w:rPr>
        <w:t xml:space="preserve">as </w:t>
      </w:r>
      <w:r w:rsidRPr="00340A14">
        <w:rPr>
          <w:rFonts w:asciiTheme="majorHAnsi" w:hAnsiTheme="majorHAnsi" w:cstheme="majorHAnsi"/>
          <w:color w:val="1F1F1F"/>
          <w:sz w:val="22"/>
          <w:szCs w:val="22"/>
          <w:lang w:val="en-GB"/>
        </w:rPr>
        <w:t>lower as possible.</w:t>
      </w:r>
      <w:r w:rsidRPr="00340A14">
        <w:rPr>
          <w:rFonts w:asciiTheme="majorHAnsi" w:hAnsiTheme="majorHAnsi" w:cstheme="majorHAnsi"/>
          <w:color w:val="1F1F1F"/>
          <w:sz w:val="22"/>
          <w:szCs w:val="22"/>
        </w:rPr>
        <w:t> </w:t>
      </w:r>
      <w:r w:rsidR="00740382">
        <w:rPr>
          <w:rFonts w:asciiTheme="majorHAnsi" w:hAnsiTheme="majorHAnsi" w:cstheme="majorHAnsi"/>
          <w:color w:val="1F1F1F"/>
          <w:sz w:val="22"/>
          <w:szCs w:val="22"/>
        </w:rPr>
        <w:t xml:space="preserve">This should be carefully addressed in LCA studies. </w:t>
      </w:r>
    </w:p>
    <w:p w14:paraId="72FF4912" w14:textId="1B841D55" w:rsidR="00340A14" w:rsidRDefault="00340A14" w:rsidP="00340A14">
      <w:pPr>
        <w:spacing w:after="120" w:line="360" w:lineRule="auto"/>
        <w:ind w:firstLine="720"/>
        <w:textAlignment w:val="baseline"/>
        <w:rPr>
          <w:rFonts w:asciiTheme="majorHAnsi" w:hAnsiTheme="majorHAnsi" w:cstheme="majorHAnsi"/>
          <w:color w:val="1F1F1F"/>
          <w:sz w:val="22"/>
          <w:szCs w:val="22"/>
        </w:rPr>
      </w:pPr>
      <w:r w:rsidRPr="00340A14">
        <w:rPr>
          <w:rFonts w:asciiTheme="majorHAnsi" w:hAnsiTheme="majorHAnsi" w:cstheme="majorHAnsi"/>
          <w:color w:val="1F1F1F"/>
          <w:sz w:val="22"/>
          <w:szCs w:val="22"/>
          <w:lang w:val="en-GB"/>
        </w:rPr>
        <w:t xml:space="preserve">The map of the alternative fuels considered in this report is presented in table </w:t>
      </w:r>
      <w:r w:rsidR="002E4890">
        <w:rPr>
          <w:rFonts w:asciiTheme="majorHAnsi" w:hAnsiTheme="majorHAnsi" w:cstheme="majorHAnsi"/>
          <w:color w:val="1F1F1F"/>
          <w:sz w:val="22"/>
          <w:szCs w:val="22"/>
          <w:lang w:val="en-GB"/>
        </w:rPr>
        <w:t>6</w:t>
      </w:r>
      <w:r w:rsidRPr="00340A14">
        <w:rPr>
          <w:rFonts w:asciiTheme="majorHAnsi" w:hAnsiTheme="majorHAnsi" w:cstheme="majorHAnsi"/>
          <w:color w:val="1F1F1F"/>
          <w:sz w:val="22"/>
          <w:szCs w:val="22"/>
          <w:lang w:val="en-GB"/>
        </w:rPr>
        <w:t>.  For each option a grade is given against specific and relevant criterion</w:t>
      </w:r>
      <w:r w:rsidR="000205AF">
        <w:rPr>
          <w:rFonts w:asciiTheme="majorHAnsi" w:hAnsiTheme="majorHAnsi" w:cstheme="majorHAnsi"/>
          <w:color w:val="1F1F1F"/>
          <w:sz w:val="22"/>
          <w:szCs w:val="22"/>
          <w:lang w:val="en-GB"/>
        </w:rPr>
        <w:t>. G</w:t>
      </w:r>
      <w:r w:rsidRPr="00340A14">
        <w:rPr>
          <w:rFonts w:asciiTheme="majorHAnsi" w:hAnsiTheme="majorHAnsi" w:cstheme="majorHAnsi"/>
          <w:color w:val="1F1F1F"/>
          <w:sz w:val="22"/>
          <w:szCs w:val="22"/>
          <w:lang w:val="en-GB"/>
        </w:rPr>
        <w:t>rades range from 1 to 5, 1 as very negative and 5 as very positive.</w:t>
      </w:r>
      <w:r w:rsidRPr="00340A14">
        <w:rPr>
          <w:rFonts w:asciiTheme="majorHAnsi" w:hAnsiTheme="majorHAnsi" w:cstheme="majorHAnsi"/>
          <w:color w:val="1F1F1F"/>
          <w:sz w:val="22"/>
          <w:szCs w:val="22"/>
        </w:rPr>
        <w:t> </w:t>
      </w:r>
      <w:r w:rsidR="00591C74">
        <w:rPr>
          <w:rFonts w:asciiTheme="majorHAnsi" w:hAnsiTheme="majorHAnsi" w:cstheme="majorHAnsi"/>
          <w:color w:val="1F1F1F"/>
          <w:sz w:val="22"/>
          <w:szCs w:val="22"/>
        </w:rPr>
        <w:t>Once the Bio-HFO has been carefully qualified, it can be assessed an compared with respect to these fuels</w:t>
      </w:r>
      <w:r w:rsidR="000205AF">
        <w:rPr>
          <w:rFonts w:asciiTheme="majorHAnsi" w:hAnsiTheme="majorHAnsi" w:cstheme="majorHAnsi"/>
          <w:color w:val="1F1F1F"/>
          <w:sz w:val="22"/>
          <w:szCs w:val="22"/>
        </w:rPr>
        <w:t xml:space="preserve">, </w:t>
      </w:r>
      <w:r w:rsidR="00591C74">
        <w:rPr>
          <w:rFonts w:asciiTheme="majorHAnsi" w:hAnsiTheme="majorHAnsi" w:cstheme="majorHAnsi"/>
          <w:color w:val="1F1F1F"/>
          <w:sz w:val="22"/>
          <w:szCs w:val="22"/>
        </w:rPr>
        <w:t>obtain</w:t>
      </w:r>
      <w:r w:rsidR="000205AF">
        <w:rPr>
          <w:rFonts w:asciiTheme="majorHAnsi" w:hAnsiTheme="majorHAnsi" w:cstheme="majorHAnsi"/>
          <w:color w:val="1F1F1F"/>
          <w:sz w:val="22"/>
          <w:szCs w:val="22"/>
        </w:rPr>
        <w:t>ing</w:t>
      </w:r>
      <w:r w:rsidR="00591C74">
        <w:rPr>
          <w:rFonts w:asciiTheme="majorHAnsi" w:hAnsiTheme="majorHAnsi" w:cstheme="majorHAnsi"/>
          <w:color w:val="1F1F1F"/>
          <w:sz w:val="22"/>
          <w:szCs w:val="22"/>
        </w:rPr>
        <w:t xml:space="preserve"> </w:t>
      </w:r>
      <w:r w:rsidR="000205AF">
        <w:rPr>
          <w:rFonts w:asciiTheme="majorHAnsi" w:hAnsiTheme="majorHAnsi" w:cstheme="majorHAnsi"/>
          <w:color w:val="1F1F1F"/>
          <w:sz w:val="22"/>
          <w:szCs w:val="22"/>
        </w:rPr>
        <w:t>sharper</w:t>
      </w:r>
      <w:r w:rsidR="00591C74">
        <w:rPr>
          <w:rFonts w:asciiTheme="majorHAnsi" w:hAnsiTheme="majorHAnsi" w:cstheme="majorHAnsi"/>
          <w:color w:val="1F1F1F"/>
          <w:sz w:val="22"/>
          <w:szCs w:val="22"/>
        </w:rPr>
        <w:t xml:space="preserve"> market position.</w:t>
      </w:r>
    </w:p>
    <w:p w14:paraId="70D5E813" w14:textId="4ACEF3C5" w:rsidR="00340A14" w:rsidRDefault="00340A14" w:rsidP="00340A14">
      <w:pPr>
        <w:spacing w:after="120" w:line="360" w:lineRule="auto"/>
        <w:ind w:firstLine="720"/>
        <w:textAlignment w:val="baseline"/>
        <w:rPr>
          <w:rFonts w:asciiTheme="majorHAnsi" w:hAnsiTheme="majorHAnsi" w:cstheme="majorHAnsi"/>
          <w:color w:val="1F1F1F"/>
          <w:sz w:val="22"/>
          <w:szCs w:val="22"/>
        </w:rPr>
      </w:pPr>
    </w:p>
    <w:p w14:paraId="006AA6A2" w14:textId="77777777" w:rsidR="001624E8" w:rsidRPr="00340A14" w:rsidRDefault="001624E8" w:rsidP="00340A14">
      <w:pPr>
        <w:spacing w:after="120" w:line="360" w:lineRule="auto"/>
        <w:ind w:firstLine="720"/>
        <w:textAlignment w:val="baseline"/>
        <w:rPr>
          <w:rFonts w:asciiTheme="majorHAnsi" w:hAnsiTheme="majorHAnsi" w:cstheme="majorHAnsi"/>
          <w:color w:val="1F1F1F"/>
          <w:sz w:val="22"/>
          <w:szCs w:val="22"/>
        </w:rPr>
      </w:pPr>
    </w:p>
    <w:p w14:paraId="51002185" w14:textId="0D12C2FC" w:rsidR="00340A14" w:rsidRDefault="00340A14" w:rsidP="00340A14">
      <w:pPr>
        <w:ind w:firstLine="720"/>
        <w:textAlignment w:val="baseline"/>
        <w:rPr>
          <w:rFonts w:ascii="Times New Roman" w:hAnsi="Times New Roman"/>
          <w:color w:val="1F1F1F"/>
          <w:szCs w:val="21"/>
        </w:rPr>
      </w:pPr>
    </w:p>
    <w:p w14:paraId="23CF04F5" w14:textId="77777777" w:rsidR="00340A14" w:rsidRPr="00340A14" w:rsidRDefault="00340A14" w:rsidP="00340A14">
      <w:pPr>
        <w:ind w:firstLine="720"/>
        <w:textAlignment w:val="baseline"/>
        <w:rPr>
          <w:rFonts w:ascii="Segoe UI" w:hAnsi="Segoe UI" w:cs="Segoe UI"/>
          <w:color w:val="1F1F1F"/>
          <w:sz w:val="18"/>
          <w:szCs w:val="18"/>
        </w:rPr>
      </w:pPr>
    </w:p>
    <w:p w14:paraId="3EB2D77C" w14:textId="0ED27C90" w:rsidR="002E4890" w:rsidRDefault="002E4890" w:rsidP="002E4890">
      <w:pPr>
        <w:pStyle w:val="Caption"/>
        <w:keepNext/>
      </w:pPr>
      <w:bookmarkStart w:id="43" w:name="_Toc83296289"/>
      <w:r>
        <w:t xml:space="preserve">Table </w:t>
      </w:r>
      <w:fldSimple w:instr=" SEQ Table \* ARABIC ">
        <w:r>
          <w:rPr>
            <w:noProof/>
          </w:rPr>
          <w:t>6</w:t>
        </w:r>
      </w:fldSimple>
      <w:r>
        <w:t>. Marine fuels map</w:t>
      </w:r>
      <w:bookmarkEnd w:id="43"/>
    </w:p>
    <w:tbl>
      <w:tblPr>
        <w:tblW w:w="86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855"/>
        <w:gridCol w:w="1095"/>
        <w:gridCol w:w="1110"/>
        <w:gridCol w:w="1095"/>
        <w:gridCol w:w="1170"/>
        <w:gridCol w:w="1200"/>
      </w:tblGrid>
      <w:tr w:rsidR="00340A14" w:rsidRPr="00340A14" w14:paraId="2E460C2D" w14:textId="77777777" w:rsidTr="0040379B">
        <w:trPr>
          <w:jc w:val="center"/>
        </w:trPr>
        <w:tc>
          <w:tcPr>
            <w:tcW w:w="2160" w:type="dxa"/>
            <w:tcBorders>
              <w:top w:val="nil"/>
              <w:left w:val="nil"/>
              <w:bottom w:val="nil"/>
              <w:right w:val="nil"/>
            </w:tcBorders>
            <w:shd w:val="clear" w:color="auto" w:fill="auto"/>
            <w:vAlign w:val="center"/>
            <w:hideMark/>
          </w:tcPr>
          <w:p w14:paraId="46A3356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3060" w:type="dxa"/>
            <w:gridSpan w:val="3"/>
            <w:tcBorders>
              <w:top w:val="nil"/>
              <w:left w:val="nil"/>
              <w:bottom w:val="single" w:sz="6" w:space="0" w:color="000000"/>
              <w:right w:val="nil"/>
            </w:tcBorders>
            <w:shd w:val="clear" w:color="auto" w:fill="auto"/>
            <w:vAlign w:val="center"/>
            <w:hideMark/>
          </w:tcPr>
          <w:p w14:paraId="7E4529B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Fossil</w:t>
            </w:r>
            <w:r w:rsidRPr="00340A14">
              <w:rPr>
                <w:rFonts w:ascii="Times New Roman" w:hAnsi="Times New Roman"/>
                <w:color w:val="1F1F1F"/>
                <w:sz w:val="20"/>
              </w:rPr>
              <w:t> </w:t>
            </w:r>
          </w:p>
        </w:tc>
        <w:tc>
          <w:tcPr>
            <w:tcW w:w="3465" w:type="dxa"/>
            <w:gridSpan w:val="3"/>
            <w:tcBorders>
              <w:top w:val="nil"/>
              <w:left w:val="nil"/>
              <w:bottom w:val="single" w:sz="6" w:space="0" w:color="000000"/>
              <w:right w:val="nil"/>
            </w:tcBorders>
            <w:shd w:val="clear" w:color="auto" w:fill="auto"/>
            <w:vAlign w:val="center"/>
            <w:hideMark/>
          </w:tcPr>
          <w:p w14:paraId="3E5DC47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Renewable</w:t>
            </w:r>
            <w:r w:rsidRPr="00340A14">
              <w:rPr>
                <w:rFonts w:ascii="Times New Roman" w:hAnsi="Times New Roman"/>
                <w:color w:val="1F1F1F"/>
                <w:sz w:val="20"/>
              </w:rPr>
              <w:t> </w:t>
            </w:r>
          </w:p>
        </w:tc>
      </w:tr>
      <w:tr w:rsidR="00340A14" w:rsidRPr="00340A14" w14:paraId="06BA4E93" w14:textId="77777777" w:rsidTr="0040379B">
        <w:trPr>
          <w:jc w:val="center"/>
        </w:trPr>
        <w:tc>
          <w:tcPr>
            <w:tcW w:w="2160" w:type="dxa"/>
            <w:tcBorders>
              <w:top w:val="nil"/>
              <w:left w:val="nil"/>
              <w:bottom w:val="nil"/>
              <w:right w:val="nil"/>
            </w:tcBorders>
            <w:shd w:val="clear" w:color="auto" w:fill="auto"/>
            <w:vAlign w:val="center"/>
            <w:hideMark/>
          </w:tcPr>
          <w:p w14:paraId="504DEE1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855" w:type="dxa"/>
            <w:tcBorders>
              <w:top w:val="single" w:sz="6" w:space="0" w:color="000000"/>
              <w:left w:val="nil"/>
              <w:bottom w:val="single" w:sz="6" w:space="0" w:color="000000"/>
              <w:right w:val="nil"/>
            </w:tcBorders>
            <w:shd w:val="clear" w:color="auto" w:fill="auto"/>
            <w:vAlign w:val="center"/>
            <w:hideMark/>
          </w:tcPr>
          <w:p w14:paraId="58B4D19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HFO</w:t>
            </w:r>
            <w:r w:rsidRPr="00340A14">
              <w:rPr>
                <w:rFonts w:ascii="Times New Roman" w:hAnsi="Times New Roman"/>
                <w:color w:val="1F1F1F"/>
                <w:sz w:val="20"/>
              </w:rPr>
              <w:t> </w:t>
            </w:r>
          </w:p>
        </w:tc>
        <w:tc>
          <w:tcPr>
            <w:tcW w:w="1095" w:type="dxa"/>
            <w:tcBorders>
              <w:top w:val="single" w:sz="6" w:space="0" w:color="000000"/>
              <w:left w:val="nil"/>
              <w:bottom w:val="single" w:sz="6" w:space="0" w:color="000000"/>
              <w:right w:val="nil"/>
            </w:tcBorders>
            <w:shd w:val="clear" w:color="auto" w:fill="auto"/>
            <w:vAlign w:val="center"/>
            <w:hideMark/>
          </w:tcPr>
          <w:p w14:paraId="2BD9356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LNG</w:t>
            </w:r>
            <w:r w:rsidRPr="00340A14">
              <w:rPr>
                <w:rFonts w:ascii="Times New Roman" w:hAnsi="Times New Roman"/>
                <w:color w:val="1F1F1F"/>
                <w:sz w:val="20"/>
              </w:rPr>
              <w:t> </w:t>
            </w:r>
          </w:p>
        </w:tc>
        <w:tc>
          <w:tcPr>
            <w:tcW w:w="1110" w:type="dxa"/>
            <w:tcBorders>
              <w:top w:val="single" w:sz="6" w:space="0" w:color="000000"/>
              <w:left w:val="nil"/>
              <w:bottom w:val="single" w:sz="6" w:space="0" w:color="000000"/>
              <w:right w:val="nil"/>
            </w:tcBorders>
            <w:shd w:val="clear" w:color="auto" w:fill="auto"/>
            <w:vAlign w:val="center"/>
            <w:hideMark/>
          </w:tcPr>
          <w:p w14:paraId="46E3201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Methanol</w:t>
            </w:r>
            <w:r w:rsidRPr="00340A14">
              <w:rPr>
                <w:rFonts w:ascii="Times New Roman" w:hAnsi="Times New Roman"/>
                <w:color w:val="1F1F1F"/>
                <w:sz w:val="20"/>
              </w:rPr>
              <w:t> </w:t>
            </w:r>
          </w:p>
        </w:tc>
        <w:tc>
          <w:tcPr>
            <w:tcW w:w="1095" w:type="dxa"/>
            <w:tcBorders>
              <w:top w:val="single" w:sz="6" w:space="0" w:color="000000"/>
              <w:left w:val="nil"/>
              <w:bottom w:val="single" w:sz="6" w:space="0" w:color="000000"/>
              <w:right w:val="nil"/>
            </w:tcBorders>
            <w:shd w:val="clear" w:color="auto" w:fill="auto"/>
            <w:vAlign w:val="center"/>
            <w:hideMark/>
          </w:tcPr>
          <w:p w14:paraId="1253D50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Biofuels</w:t>
            </w:r>
            <w:r w:rsidRPr="00340A14">
              <w:rPr>
                <w:rFonts w:ascii="Times New Roman" w:hAnsi="Times New Roman"/>
                <w:color w:val="1F1F1F"/>
                <w:sz w:val="20"/>
              </w:rPr>
              <w:t> </w:t>
            </w:r>
          </w:p>
        </w:tc>
        <w:tc>
          <w:tcPr>
            <w:tcW w:w="1170" w:type="dxa"/>
            <w:tcBorders>
              <w:top w:val="single" w:sz="6" w:space="0" w:color="000000"/>
              <w:left w:val="nil"/>
              <w:bottom w:val="single" w:sz="6" w:space="0" w:color="000000"/>
              <w:right w:val="nil"/>
            </w:tcBorders>
            <w:shd w:val="clear" w:color="auto" w:fill="auto"/>
            <w:vAlign w:val="center"/>
            <w:hideMark/>
          </w:tcPr>
          <w:p w14:paraId="351F1A0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 Ammonia</w:t>
            </w:r>
            <w:r w:rsidRPr="00340A14">
              <w:rPr>
                <w:rFonts w:ascii="Times New Roman" w:hAnsi="Times New Roman"/>
                <w:color w:val="1F1F1F"/>
                <w:sz w:val="20"/>
              </w:rPr>
              <w:t> </w:t>
            </w:r>
          </w:p>
        </w:tc>
        <w:tc>
          <w:tcPr>
            <w:tcW w:w="1200" w:type="dxa"/>
            <w:tcBorders>
              <w:top w:val="single" w:sz="6" w:space="0" w:color="000000"/>
              <w:left w:val="nil"/>
              <w:bottom w:val="single" w:sz="6" w:space="0" w:color="000000"/>
              <w:right w:val="nil"/>
            </w:tcBorders>
            <w:shd w:val="clear" w:color="auto" w:fill="auto"/>
            <w:vAlign w:val="center"/>
            <w:hideMark/>
          </w:tcPr>
          <w:p w14:paraId="0536146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 Hydrogen</w:t>
            </w:r>
            <w:r w:rsidRPr="00340A14">
              <w:rPr>
                <w:rFonts w:ascii="Times New Roman" w:hAnsi="Times New Roman"/>
                <w:color w:val="1F1F1F"/>
                <w:sz w:val="20"/>
              </w:rPr>
              <w:t> </w:t>
            </w:r>
          </w:p>
        </w:tc>
      </w:tr>
      <w:tr w:rsidR="00340A14" w:rsidRPr="00340A14" w14:paraId="5A1A3954" w14:textId="77777777" w:rsidTr="0040379B">
        <w:trPr>
          <w:jc w:val="center"/>
        </w:trPr>
        <w:tc>
          <w:tcPr>
            <w:tcW w:w="2160" w:type="dxa"/>
            <w:tcBorders>
              <w:top w:val="nil"/>
              <w:left w:val="nil"/>
              <w:bottom w:val="nil"/>
              <w:right w:val="nil"/>
            </w:tcBorders>
            <w:shd w:val="clear" w:color="auto" w:fill="A6A6A6"/>
            <w:vAlign w:val="center"/>
            <w:hideMark/>
          </w:tcPr>
          <w:p w14:paraId="346520F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High Priority</w:t>
            </w:r>
            <w:r w:rsidRPr="00340A14">
              <w:rPr>
                <w:rFonts w:ascii="Times New Roman" w:hAnsi="Times New Roman"/>
                <w:color w:val="1F1F1F"/>
                <w:sz w:val="20"/>
              </w:rPr>
              <w:t> </w:t>
            </w:r>
          </w:p>
        </w:tc>
        <w:tc>
          <w:tcPr>
            <w:tcW w:w="855" w:type="dxa"/>
            <w:tcBorders>
              <w:top w:val="single" w:sz="6" w:space="0" w:color="000000"/>
              <w:left w:val="nil"/>
              <w:bottom w:val="nil"/>
              <w:right w:val="nil"/>
            </w:tcBorders>
            <w:shd w:val="clear" w:color="auto" w:fill="A6A6A6"/>
            <w:vAlign w:val="center"/>
            <w:hideMark/>
          </w:tcPr>
          <w:p w14:paraId="26AF5D9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30A6D907"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10" w:type="dxa"/>
            <w:tcBorders>
              <w:top w:val="single" w:sz="6" w:space="0" w:color="000000"/>
              <w:left w:val="nil"/>
              <w:bottom w:val="nil"/>
              <w:right w:val="nil"/>
            </w:tcBorders>
            <w:shd w:val="clear" w:color="auto" w:fill="A6A6A6"/>
            <w:vAlign w:val="center"/>
            <w:hideMark/>
          </w:tcPr>
          <w:p w14:paraId="0BE0B39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46567DB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70" w:type="dxa"/>
            <w:tcBorders>
              <w:top w:val="single" w:sz="6" w:space="0" w:color="000000"/>
              <w:left w:val="nil"/>
              <w:bottom w:val="nil"/>
              <w:right w:val="nil"/>
            </w:tcBorders>
            <w:shd w:val="clear" w:color="auto" w:fill="A6A6A6"/>
            <w:vAlign w:val="center"/>
            <w:hideMark/>
          </w:tcPr>
          <w:p w14:paraId="7F22023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200" w:type="dxa"/>
            <w:tcBorders>
              <w:top w:val="single" w:sz="6" w:space="0" w:color="000000"/>
              <w:left w:val="nil"/>
              <w:bottom w:val="nil"/>
              <w:right w:val="nil"/>
            </w:tcBorders>
            <w:shd w:val="clear" w:color="auto" w:fill="A6A6A6"/>
            <w:vAlign w:val="center"/>
            <w:hideMark/>
          </w:tcPr>
          <w:p w14:paraId="56BADF6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r>
      <w:tr w:rsidR="00340A14" w:rsidRPr="00340A14" w14:paraId="0D659244" w14:textId="77777777" w:rsidTr="0040379B">
        <w:trPr>
          <w:jc w:val="center"/>
        </w:trPr>
        <w:tc>
          <w:tcPr>
            <w:tcW w:w="2160" w:type="dxa"/>
            <w:tcBorders>
              <w:top w:val="nil"/>
              <w:left w:val="nil"/>
              <w:bottom w:val="nil"/>
              <w:right w:val="nil"/>
            </w:tcBorders>
            <w:shd w:val="clear" w:color="auto" w:fill="auto"/>
            <w:vAlign w:val="center"/>
            <w:hideMark/>
          </w:tcPr>
          <w:p w14:paraId="3B16387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Energy Density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5E80E4C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11D48A7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21CFF21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186F21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7102036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7549058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r>
      <w:tr w:rsidR="00340A14" w:rsidRPr="00340A14" w14:paraId="34BEEE1B" w14:textId="77777777" w:rsidTr="0040379B">
        <w:trPr>
          <w:jc w:val="center"/>
        </w:trPr>
        <w:tc>
          <w:tcPr>
            <w:tcW w:w="2160" w:type="dxa"/>
            <w:tcBorders>
              <w:top w:val="nil"/>
              <w:left w:val="nil"/>
              <w:bottom w:val="nil"/>
              <w:right w:val="nil"/>
            </w:tcBorders>
            <w:shd w:val="clear" w:color="auto" w:fill="auto"/>
            <w:vAlign w:val="center"/>
            <w:hideMark/>
          </w:tcPr>
          <w:p w14:paraId="0CA8F12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Technological Maturity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4839273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53A2109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0B645A9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3F4EB0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05E8B1D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4AFBB0E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r>
      <w:tr w:rsidR="00340A14" w:rsidRPr="00340A14" w14:paraId="746D30F0" w14:textId="77777777" w:rsidTr="0040379B">
        <w:trPr>
          <w:jc w:val="center"/>
        </w:trPr>
        <w:tc>
          <w:tcPr>
            <w:tcW w:w="2160" w:type="dxa"/>
            <w:tcBorders>
              <w:top w:val="nil"/>
              <w:left w:val="nil"/>
              <w:bottom w:val="nil"/>
              <w:right w:val="nil"/>
            </w:tcBorders>
            <w:shd w:val="clear" w:color="auto" w:fill="auto"/>
            <w:vAlign w:val="center"/>
            <w:hideMark/>
          </w:tcPr>
          <w:p w14:paraId="1BC1474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Total Emissions</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60D7E427"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55588DF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414A7EB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61EB16D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12D89F2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1B5DB17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r>
      <w:tr w:rsidR="00340A14" w:rsidRPr="00340A14" w14:paraId="3F76B5FC" w14:textId="77777777" w:rsidTr="0040379B">
        <w:trPr>
          <w:jc w:val="center"/>
        </w:trPr>
        <w:tc>
          <w:tcPr>
            <w:tcW w:w="2160" w:type="dxa"/>
            <w:tcBorders>
              <w:top w:val="nil"/>
              <w:left w:val="nil"/>
              <w:bottom w:val="nil"/>
              <w:right w:val="nil"/>
            </w:tcBorders>
            <w:shd w:val="clear" w:color="auto" w:fill="auto"/>
            <w:vAlign w:val="center"/>
            <w:hideMark/>
          </w:tcPr>
          <w:p w14:paraId="1BFB4ED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Energy Cost</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130B637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36F4C22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66C807E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2E5528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529B3AA3"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2825714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6FA81E11" w14:textId="77777777" w:rsidTr="0040379B">
        <w:trPr>
          <w:jc w:val="center"/>
        </w:trPr>
        <w:tc>
          <w:tcPr>
            <w:tcW w:w="2160" w:type="dxa"/>
            <w:tcBorders>
              <w:top w:val="nil"/>
              <w:left w:val="nil"/>
              <w:bottom w:val="nil"/>
              <w:right w:val="nil"/>
            </w:tcBorders>
            <w:shd w:val="clear" w:color="auto" w:fill="auto"/>
            <w:vAlign w:val="center"/>
            <w:hideMark/>
          </w:tcPr>
          <w:p w14:paraId="4830698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Capital Cost</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044E1A5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356615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63E019B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7488C8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2542FBB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15BF86E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6D7EFDDE" w14:textId="77777777" w:rsidTr="0040379B">
        <w:trPr>
          <w:jc w:val="center"/>
        </w:trPr>
        <w:tc>
          <w:tcPr>
            <w:tcW w:w="2160" w:type="dxa"/>
            <w:tcBorders>
              <w:top w:val="nil"/>
              <w:left w:val="nil"/>
              <w:bottom w:val="nil"/>
              <w:right w:val="nil"/>
            </w:tcBorders>
            <w:shd w:val="clear" w:color="auto" w:fill="auto"/>
            <w:vAlign w:val="center"/>
            <w:hideMark/>
          </w:tcPr>
          <w:p w14:paraId="1F966891" w14:textId="66D75AA6"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 xml:space="preserve">Bunkering </w:t>
            </w:r>
            <w:r w:rsidR="00ED64F9" w:rsidRPr="00340A14">
              <w:rPr>
                <w:rFonts w:ascii="Times New Roman" w:hAnsi="Times New Roman"/>
                <w:color w:val="1F1F1F"/>
                <w:sz w:val="20"/>
                <w:lang w:val="en-GB"/>
              </w:rPr>
              <w:t>Availability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683635D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02BCC85C"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1F5F34E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27E818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6A3CEF1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3EAC27C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67DA764F" w14:textId="77777777" w:rsidTr="0040379B">
        <w:trPr>
          <w:jc w:val="center"/>
        </w:trPr>
        <w:tc>
          <w:tcPr>
            <w:tcW w:w="2160" w:type="dxa"/>
            <w:tcBorders>
              <w:top w:val="nil"/>
              <w:left w:val="nil"/>
              <w:bottom w:val="single" w:sz="6" w:space="0" w:color="000000"/>
              <w:right w:val="nil"/>
            </w:tcBorders>
            <w:shd w:val="clear" w:color="auto" w:fill="auto"/>
            <w:vAlign w:val="center"/>
            <w:hideMark/>
          </w:tcPr>
          <w:p w14:paraId="3BDE222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Commercial Readiness</w:t>
            </w:r>
            <w:r w:rsidRPr="00340A14">
              <w:rPr>
                <w:rFonts w:ascii="Times New Roman" w:hAnsi="Times New Roman"/>
                <w:color w:val="1F1F1F"/>
                <w:sz w:val="20"/>
              </w:rPr>
              <w:t> </w:t>
            </w:r>
          </w:p>
        </w:tc>
        <w:tc>
          <w:tcPr>
            <w:tcW w:w="855" w:type="dxa"/>
            <w:tcBorders>
              <w:top w:val="nil"/>
              <w:left w:val="nil"/>
              <w:bottom w:val="single" w:sz="6" w:space="0" w:color="000000"/>
              <w:right w:val="nil"/>
            </w:tcBorders>
            <w:shd w:val="clear" w:color="auto" w:fill="auto"/>
            <w:vAlign w:val="center"/>
            <w:hideMark/>
          </w:tcPr>
          <w:p w14:paraId="53D16A1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23E0D7F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single" w:sz="6" w:space="0" w:color="000000"/>
              <w:right w:val="nil"/>
            </w:tcBorders>
            <w:shd w:val="clear" w:color="auto" w:fill="auto"/>
            <w:vAlign w:val="center"/>
            <w:hideMark/>
          </w:tcPr>
          <w:p w14:paraId="03C9FB1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76B3865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3-4</w:t>
            </w:r>
            <w:r w:rsidRPr="00340A14">
              <w:rPr>
                <w:rFonts w:ascii="Times New Roman" w:hAnsi="Times New Roman"/>
                <w:color w:val="1F1F1F"/>
                <w:sz w:val="20"/>
              </w:rPr>
              <w:t> </w:t>
            </w:r>
          </w:p>
        </w:tc>
        <w:tc>
          <w:tcPr>
            <w:tcW w:w="1170" w:type="dxa"/>
            <w:tcBorders>
              <w:top w:val="nil"/>
              <w:left w:val="nil"/>
              <w:bottom w:val="single" w:sz="6" w:space="0" w:color="000000"/>
              <w:right w:val="nil"/>
            </w:tcBorders>
            <w:shd w:val="clear" w:color="auto" w:fill="auto"/>
            <w:vAlign w:val="center"/>
            <w:hideMark/>
          </w:tcPr>
          <w:p w14:paraId="603491C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single" w:sz="6" w:space="0" w:color="000000"/>
              <w:right w:val="nil"/>
            </w:tcBorders>
            <w:shd w:val="clear" w:color="auto" w:fill="auto"/>
            <w:vAlign w:val="center"/>
            <w:hideMark/>
          </w:tcPr>
          <w:p w14:paraId="5BC9CD6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r>
      <w:tr w:rsidR="00340A14" w:rsidRPr="00340A14" w14:paraId="3779837C" w14:textId="77777777" w:rsidTr="0040379B">
        <w:trPr>
          <w:jc w:val="center"/>
        </w:trPr>
        <w:tc>
          <w:tcPr>
            <w:tcW w:w="2160" w:type="dxa"/>
            <w:tcBorders>
              <w:top w:val="single" w:sz="6" w:space="0" w:color="000000"/>
              <w:left w:val="nil"/>
              <w:bottom w:val="nil"/>
              <w:right w:val="nil"/>
            </w:tcBorders>
            <w:shd w:val="clear" w:color="auto" w:fill="A6A6A6"/>
            <w:vAlign w:val="center"/>
            <w:hideMark/>
          </w:tcPr>
          <w:p w14:paraId="42F998E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b/>
                <w:bCs/>
                <w:color w:val="1F1F1F"/>
                <w:sz w:val="20"/>
                <w:lang w:val="en-GB"/>
              </w:rPr>
              <w:t>Key Parameters</w:t>
            </w:r>
            <w:r w:rsidRPr="00340A14">
              <w:rPr>
                <w:rFonts w:ascii="Times New Roman" w:hAnsi="Times New Roman"/>
                <w:color w:val="1F1F1F"/>
                <w:sz w:val="20"/>
              </w:rPr>
              <w:t> </w:t>
            </w:r>
          </w:p>
        </w:tc>
        <w:tc>
          <w:tcPr>
            <w:tcW w:w="855" w:type="dxa"/>
            <w:tcBorders>
              <w:top w:val="single" w:sz="6" w:space="0" w:color="000000"/>
              <w:left w:val="nil"/>
              <w:bottom w:val="nil"/>
              <w:right w:val="nil"/>
            </w:tcBorders>
            <w:shd w:val="clear" w:color="auto" w:fill="A6A6A6"/>
            <w:vAlign w:val="center"/>
            <w:hideMark/>
          </w:tcPr>
          <w:p w14:paraId="7C6AC3F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26EC6E2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10" w:type="dxa"/>
            <w:tcBorders>
              <w:top w:val="single" w:sz="6" w:space="0" w:color="000000"/>
              <w:left w:val="nil"/>
              <w:bottom w:val="nil"/>
              <w:right w:val="nil"/>
            </w:tcBorders>
            <w:shd w:val="clear" w:color="auto" w:fill="A6A6A6"/>
            <w:vAlign w:val="center"/>
            <w:hideMark/>
          </w:tcPr>
          <w:p w14:paraId="574A105A"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095" w:type="dxa"/>
            <w:tcBorders>
              <w:top w:val="single" w:sz="6" w:space="0" w:color="000000"/>
              <w:left w:val="nil"/>
              <w:bottom w:val="nil"/>
              <w:right w:val="nil"/>
            </w:tcBorders>
            <w:shd w:val="clear" w:color="auto" w:fill="A6A6A6"/>
            <w:vAlign w:val="center"/>
            <w:hideMark/>
          </w:tcPr>
          <w:p w14:paraId="4F622C27"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170" w:type="dxa"/>
            <w:tcBorders>
              <w:top w:val="single" w:sz="6" w:space="0" w:color="000000"/>
              <w:left w:val="nil"/>
              <w:bottom w:val="nil"/>
              <w:right w:val="nil"/>
            </w:tcBorders>
            <w:shd w:val="clear" w:color="auto" w:fill="A6A6A6"/>
            <w:vAlign w:val="center"/>
            <w:hideMark/>
          </w:tcPr>
          <w:p w14:paraId="0444BDB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c>
          <w:tcPr>
            <w:tcW w:w="1200" w:type="dxa"/>
            <w:tcBorders>
              <w:top w:val="single" w:sz="6" w:space="0" w:color="000000"/>
              <w:left w:val="nil"/>
              <w:bottom w:val="nil"/>
              <w:right w:val="nil"/>
            </w:tcBorders>
            <w:shd w:val="clear" w:color="auto" w:fill="A6A6A6"/>
            <w:vAlign w:val="center"/>
            <w:hideMark/>
          </w:tcPr>
          <w:p w14:paraId="5C2FF93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rPr>
              <w:t> </w:t>
            </w:r>
          </w:p>
        </w:tc>
      </w:tr>
      <w:tr w:rsidR="00340A14" w:rsidRPr="00340A14" w14:paraId="3895E326" w14:textId="77777777" w:rsidTr="0040379B">
        <w:trPr>
          <w:jc w:val="center"/>
        </w:trPr>
        <w:tc>
          <w:tcPr>
            <w:tcW w:w="2160" w:type="dxa"/>
            <w:tcBorders>
              <w:top w:val="nil"/>
              <w:left w:val="nil"/>
              <w:bottom w:val="nil"/>
              <w:right w:val="nil"/>
            </w:tcBorders>
            <w:shd w:val="clear" w:color="auto" w:fill="auto"/>
            <w:vAlign w:val="center"/>
            <w:hideMark/>
          </w:tcPr>
          <w:p w14:paraId="4BB5FC3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Flammability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1F99D7D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6BF96735"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59F946E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B20EB7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48F7451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5122A161"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r>
      <w:tr w:rsidR="00340A14" w:rsidRPr="00340A14" w14:paraId="33325EB7" w14:textId="77777777" w:rsidTr="0040379B">
        <w:trPr>
          <w:jc w:val="center"/>
        </w:trPr>
        <w:tc>
          <w:tcPr>
            <w:tcW w:w="2160" w:type="dxa"/>
            <w:tcBorders>
              <w:top w:val="nil"/>
              <w:left w:val="nil"/>
              <w:bottom w:val="nil"/>
              <w:right w:val="nil"/>
            </w:tcBorders>
            <w:shd w:val="clear" w:color="auto" w:fill="auto"/>
            <w:vAlign w:val="center"/>
            <w:hideMark/>
          </w:tcPr>
          <w:p w14:paraId="69380BA2"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Toxicity</w:t>
            </w:r>
            <w:r w:rsidRPr="00340A14">
              <w:rPr>
                <w:rFonts w:ascii="Times New Roman" w:hAnsi="Times New Roman"/>
                <w:color w:val="1F1F1F"/>
                <w:sz w:val="20"/>
              </w:rPr>
              <w:t> </w:t>
            </w:r>
          </w:p>
        </w:tc>
        <w:tc>
          <w:tcPr>
            <w:tcW w:w="855" w:type="dxa"/>
            <w:tcBorders>
              <w:top w:val="nil"/>
              <w:left w:val="nil"/>
              <w:bottom w:val="nil"/>
              <w:right w:val="nil"/>
            </w:tcBorders>
            <w:shd w:val="clear" w:color="auto" w:fill="auto"/>
            <w:vAlign w:val="center"/>
            <w:hideMark/>
          </w:tcPr>
          <w:p w14:paraId="2623361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3-4</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2FDF144E"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nil"/>
              <w:right w:val="nil"/>
            </w:tcBorders>
            <w:shd w:val="clear" w:color="auto" w:fill="auto"/>
            <w:vAlign w:val="center"/>
            <w:hideMark/>
          </w:tcPr>
          <w:p w14:paraId="1C1AC928"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c>
          <w:tcPr>
            <w:tcW w:w="1095" w:type="dxa"/>
            <w:tcBorders>
              <w:top w:val="nil"/>
              <w:left w:val="nil"/>
              <w:bottom w:val="nil"/>
              <w:right w:val="nil"/>
            </w:tcBorders>
            <w:shd w:val="clear" w:color="auto" w:fill="auto"/>
            <w:vAlign w:val="center"/>
            <w:hideMark/>
          </w:tcPr>
          <w:p w14:paraId="4AA3CEAF"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170" w:type="dxa"/>
            <w:tcBorders>
              <w:top w:val="nil"/>
              <w:left w:val="nil"/>
              <w:bottom w:val="nil"/>
              <w:right w:val="nil"/>
            </w:tcBorders>
            <w:shd w:val="clear" w:color="auto" w:fill="auto"/>
            <w:vAlign w:val="center"/>
            <w:hideMark/>
          </w:tcPr>
          <w:p w14:paraId="093CF089"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1</w:t>
            </w:r>
            <w:r w:rsidRPr="00340A14">
              <w:rPr>
                <w:rFonts w:ascii="Times New Roman" w:hAnsi="Times New Roman"/>
                <w:color w:val="1F1F1F"/>
                <w:sz w:val="20"/>
              </w:rPr>
              <w:t> </w:t>
            </w:r>
          </w:p>
        </w:tc>
        <w:tc>
          <w:tcPr>
            <w:tcW w:w="1200" w:type="dxa"/>
            <w:tcBorders>
              <w:top w:val="nil"/>
              <w:left w:val="nil"/>
              <w:bottom w:val="nil"/>
              <w:right w:val="nil"/>
            </w:tcBorders>
            <w:shd w:val="clear" w:color="auto" w:fill="auto"/>
            <w:vAlign w:val="center"/>
            <w:hideMark/>
          </w:tcPr>
          <w:p w14:paraId="01E46CE6"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r>
      <w:tr w:rsidR="00340A14" w:rsidRPr="00340A14" w14:paraId="7B0F1C50" w14:textId="77777777" w:rsidTr="0040379B">
        <w:trPr>
          <w:jc w:val="center"/>
        </w:trPr>
        <w:tc>
          <w:tcPr>
            <w:tcW w:w="2160" w:type="dxa"/>
            <w:tcBorders>
              <w:top w:val="nil"/>
              <w:left w:val="nil"/>
              <w:bottom w:val="single" w:sz="6" w:space="0" w:color="000000"/>
              <w:right w:val="nil"/>
            </w:tcBorders>
            <w:shd w:val="clear" w:color="auto" w:fill="auto"/>
            <w:vAlign w:val="center"/>
            <w:hideMark/>
          </w:tcPr>
          <w:p w14:paraId="2E685DF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Global production Capacity</w:t>
            </w:r>
            <w:r w:rsidRPr="00340A14">
              <w:rPr>
                <w:rFonts w:ascii="Times New Roman" w:hAnsi="Times New Roman"/>
                <w:color w:val="1F1F1F"/>
                <w:sz w:val="20"/>
              </w:rPr>
              <w:t> </w:t>
            </w:r>
          </w:p>
        </w:tc>
        <w:tc>
          <w:tcPr>
            <w:tcW w:w="855" w:type="dxa"/>
            <w:tcBorders>
              <w:top w:val="nil"/>
              <w:left w:val="nil"/>
              <w:bottom w:val="single" w:sz="6" w:space="0" w:color="000000"/>
              <w:right w:val="nil"/>
            </w:tcBorders>
            <w:shd w:val="clear" w:color="auto" w:fill="auto"/>
            <w:vAlign w:val="center"/>
            <w:hideMark/>
          </w:tcPr>
          <w:p w14:paraId="74E8874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5</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179B308D"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110" w:type="dxa"/>
            <w:tcBorders>
              <w:top w:val="nil"/>
              <w:left w:val="nil"/>
              <w:bottom w:val="single" w:sz="6" w:space="0" w:color="000000"/>
              <w:right w:val="nil"/>
            </w:tcBorders>
            <w:shd w:val="clear" w:color="auto" w:fill="auto"/>
            <w:vAlign w:val="center"/>
            <w:hideMark/>
          </w:tcPr>
          <w:p w14:paraId="37A23EB4"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4</w:t>
            </w:r>
            <w:r w:rsidRPr="00340A14">
              <w:rPr>
                <w:rFonts w:ascii="Times New Roman" w:hAnsi="Times New Roman"/>
                <w:color w:val="1F1F1F"/>
                <w:sz w:val="20"/>
              </w:rPr>
              <w:t> </w:t>
            </w:r>
          </w:p>
        </w:tc>
        <w:tc>
          <w:tcPr>
            <w:tcW w:w="1095" w:type="dxa"/>
            <w:tcBorders>
              <w:top w:val="nil"/>
              <w:left w:val="nil"/>
              <w:bottom w:val="single" w:sz="6" w:space="0" w:color="000000"/>
              <w:right w:val="nil"/>
            </w:tcBorders>
            <w:shd w:val="clear" w:color="auto" w:fill="auto"/>
            <w:vAlign w:val="center"/>
            <w:hideMark/>
          </w:tcPr>
          <w:p w14:paraId="664C630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w:t>
            </w:r>
            <w:r w:rsidRPr="00340A14">
              <w:rPr>
                <w:rFonts w:ascii="Times New Roman" w:hAnsi="Times New Roman"/>
                <w:color w:val="1F1F1F"/>
                <w:sz w:val="20"/>
              </w:rPr>
              <w:t> </w:t>
            </w:r>
          </w:p>
        </w:tc>
        <w:tc>
          <w:tcPr>
            <w:tcW w:w="1170" w:type="dxa"/>
            <w:tcBorders>
              <w:top w:val="nil"/>
              <w:left w:val="nil"/>
              <w:bottom w:val="single" w:sz="6" w:space="0" w:color="000000"/>
              <w:right w:val="nil"/>
            </w:tcBorders>
            <w:shd w:val="clear" w:color="auto" w:fill="auto"/>
            <w:vAlign w:val="center"/>
            <w:hideMark/>
          </w:tcPr>
          <w:p w14:paraId="1B808D2B"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2-3</w:t>
            </w:r>
            <w:r w:rsidRPr="00340A14">
              <w:rPr>
                <w:rFonts w:ascii="Times New Roman" w:hAnsi="Times New Roman"/>
                <w:color w:val="1F1F1F"/>
                <w:sz w:val="20"/>
              </w:rPr>
              <w:t> </w:t>
            </w:r>
          </w:p>
        </w:tc>
        <w:tc>
          <w:tcPr>
            <w:tcW w:w="1200" w:type="dxa"/>
            <w:tcBorders>
              <w:top w:val="nil"/>
              <w:left w:val="nil"/>
              <w:bottom w:val="single" w:sz="6" w:space="0" w:color="000000"/>
              <w:right w:val="nil"/>
            </w:tcBorders>
            <w:shd w:val="clear" w:color="auto" w:fill="auto"/>
            <w:vAlign w:val="center"/>
            <w:hideMark/>
          </w:tcPr>
          <w:p w14:paraId="2DB45AE0" w14:textId="77777777" w:rsidR="00340A14" w:rsidRPr="00340A14" w:rsidRDefault="00340A14" w:rsidP="0040379B">
            <w:pPr>
              <w:spacing w:before="120" w:after="120"/>
              <w:jc w:val="center"/>
              <w:textAlignment w:val="baseline"/>
              <w:rPr>
                <w:rFonts w:ascii="Times New Roman" w:hAnsi="Times New Roman"/>
                <w:color w:val="1F1F1F"/>
                <w:sz w:val="24"/>
                <w:szCs w:val="24"/>
              </w:rPr>
            </w:pPr>
            <w:r w:rsidRPr="00340A14">
              <w:rPr>
                <w:rFonts w:ascii="Times New Roman" w:hAnsi="Times New Roman"/>
                <w:color w:val="1F1F1F"/>
                <w:sz w:val="20"/>
                <w:lang w:val="en-GB"/>
              </w:rPr>
              <w:t>3</w:t>
            </w:r>
            <w:r w:rsidRPr="00340A14">
              <w:rPr>
                <w:rFonts w:ascii="Times New Roman" w:hAnsi="Times New Roman"/>
                <w:color w:val="1F1F1F"/>
                <w:sz w:val="20"/>
              </w:rPr>
              <w:t> </w:t>
            </w:r>
          </w:p>
        </w:tc>
      </w:tr>
    </w:tbl>
    <w:p w14:paraId="22AB6B9F" w14:textId="77777777" w:rsidR="00340A14" w:rsidRDefault="00340A14" w:rsidP="59587566">
      <w:pPr>
        <w:rPr>
          <w:szCs w:val="21"/>
          <w:lang w:val="en-GB"/>
        </w:rPr>
      </w:pPr>
    </w:p>
    <w:p w14:paraId="3D8B8B6F" w14:textId="77777777" w:rsidR="00340A14" w:rsidRDefault="00340A14" w:rsidP="00534528">
      <w:pPr>
        <w:rPr>
          <w:lang w:val="en-GB"/>
        </w:rPr>
        <w:sectPr w:rsidR="00340A14" w:rsidSect="00095ECB">
          <w:pgSz w:w="11906" w:h="16838"/>
          <w:pgMar w:top="1418" w:right="1134" w:bottom="1418" w:left="1134" w:header="709" w:footer="709" w:gutter="0"/>
          <w:pgNumType w:start="1"/>
          <w:cols w:space="708"/>
          <w:titlePg/>
          <w:docGrid w:linePitch="360"/>
        </w:sectPr>
      </w:pPr>
    </w:p>
    <w:p w14:paraId="61B9B256" w14:textId="17088964" w:rsidR="00534528" w:rsidRPr="00534528" w:rsidRDefault="00534528" w:rsidP="00534528">
      <w:pPr>
        <w:rPr>
          <w:lang w:val="en-GB"/>
        </w:rPr>
      </w:pPr>
    </w:p>
    <w:p w14:paraId="339CEB7E" w14:textId="31853204" w:rsidR="00017D36" w:rsidRPr="0045629F" w:rsidRDefault="3A29924E" w:rsidP="005D6854">
      <w:pPr>
        <w:pStyle w:val="Heading1"/>
      </w:pPr>
      <w:bookmarkStart w:id="44" w:name="_Toc84019464"/>
      <w:r>
        <w:t>Risk Register</w:t>
      </w:r>
      <w:bookmarkEnd w:id="44"/>
    </w:p>
    <w:p w14:paraId="0DBB440E" w14:textId="53312DC1" w:rsidR="00DA0F6B" w:rsidRDefault="00DA0F6B" w:rsidP="0075226F">
      <w:pPr>
        <w:spacing w:after="240" w:line="276" w:lineRule="auto"/>
        <w:rPr>
          <w:lang w:val="en-GB"/>
        </w:rPr>
      </w:pPr>
    </w:p>
    <w:tbl>
      <w:tblPr>
        <w:tblStyle w:val="GridTable1Light"/>
        <w:tblW w:w="9262" w:type="dxa"/>
        <w:tblLook w:val="06A0" w:firstRow="1" w:lastRow="0" w:firstColumn="1" w:lastColumn="0" w:noHBand="1" w:noVBand="1"/>
      </w:tblPr>
      <w:tblGrid>
        <w:gridCol w:w="973"/>
        <w:gridCol w:w="3344"/>
        <w:gridCol w:w="1199"/>
        <w:gridCol w:w="1006"/>
        <w:gridCol w:w="2740"/>
      </w:tblGrid>
      <w:tr w:rsidR="00D34E10" w:rsidRPr="0045629F" w14:paraId="65711086" w14:textId="77777777" w:rsidTr="001D2647">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0B0F3C1C" w14:textId="77777777" w:rsidR="00710F7F" w:rsidRPr="0045629F" w:rsidRDefault="00710F7F" w:rsidP="007D4A4F">
            <w:pPr>
              <w:jc w:val="left"/>
              <w:rPr>
                <w:b w:val="0"/>
                <w:bCs w:val="0"/>
                <w:color w:val="FFFFFF" w:themeColor="background1"/>
                <w:sz w:val="20"/>
                <w:lang w:val="en-GB"/>
              </w:rPr>
            </w:pPr>
            <w:bookmarkStart w:id="45" w:name="_Hlk26972853"/>
            <w:r w:rsidRPr="0045629F">
              <w:rPr>
                <w:color w:val="FFFFFF" w:themeColor="background1"/>
                <w:sz w:val="20"/>
                <w:lang w:val="en-GB"/>
              </w:rPr>
              <w:t>Risk No.</w:t>
            </w:r>
          </w:p>
        </w:tc>
        <w:tc>
          <w:tcPr>
            <w:tcW w:w="3344"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6281A92E" w14:textId="77777777" w:rsidR="00710F7F" w:rsidRPr="0045629F" w:rsidRDefault="00710F7F" w:rsidP="007D4A4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What is the risk</w:t>
            </w:r>
          </w:p>
        </w:tc>
        <w:tc>
          <w:tcPr>
            <w:tcW w:w="1199"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23442D98" w14:textId="44A5960F" w:rsidR="00710F7F" w:rsidRPr="0034036F" w:rsidRDefault="00710F7F" w:rsidP="007D4A4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vertAlign w:val="superscript"/>
                <w:lang w:val="en-GB"/>
              </w:rPr>
            </w:pPr>
            <w:r w:rsidRPr="0045629F">
              <w:rPr>
                <w:color w:val="FFFFFF" w:themeColor="background1"/>
                <w:sz w:val="20"/>
                <w:lang w:val="en-GB"/>
              </w:rPr>
              <w:t>Probability of risk occurrence</w:t>
            </w:r>
            <w:r w:rsidR="0034036F">
              <w:rPr>
                <w:color w:val="FFFFFF" w:themeColor="background1"/>
                <w:sz w:val="20"/>
                <w:vertAlign w:val="superscript"/>
                <w:lang w:val="en-GB"/>
              </w:rPr>
              <w:t>1</w:t>
            </w:r>
          </w:p>
        </w:tc>
        <w:tc>
          <w:tcPr>
            <w:tcW w:w="1006"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0995D892" w14:textId="1F7A86CE" w:rsidR="00710F7F" w:rsidRPr="0034036F" w:rsidRDefault="00710F7F" w:rsidP="007D4A4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vertAlign w:val="superscript"/>
                <w:lang w:val="en-GB"/>
              </w:rPr>
            </w:pPr>
            <w:r w:rsidRPr="0045629F">
              <w:rPr>
                <w:color w:val="FFFFFF" w:themeColor="background1"/>
                <w:sz w:val="20"/>
                <w:lang w:val="en-GB"/>
              </w:rPr>
              <w:t>Effect of risk</w:t>
            </w:r>
            <w:r w:rsidR="0034036F">
              <w:rPr>
                <w:color w:val="FFFFFF" w:themeColor="background1"/>
                <w:sz w:val="20"/>
                <w:vertAlign w:val="superscript"/>
                <w:lang w:val="en-GB"/>
              </w:rPr>
              <w:t>1</w:t>
            </w:r>
          </w:p>
        </w:tc>
        <w:tc>
          <w:tcPr>
            <w:tcW w:w="2740"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tcPr>
          <w:p w14:paraId="54A1FCEE" w14:textId="77777777" w:rsidR="00710F7F" w:rsidRPr="0045629F" w:rsidRDefault="00710F7F" w:rsidP="007D4A4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Solutions to overcome the risk</w:t>
            </w:r>
          </w:p>
        </w:tc>
      </w:tr>
      <w:tr w:rsidR="00D34E10" w:rsidRPr="0045629F" w14:paraId="410E7BF1"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6CF02D5C" w14:textId="62ED1ED5" w:rsidR="00710F7F" w:rsidRPr="001D2647" w:rsidRDefault="007A35DB" w:rsidP="001D2647">
            <w:pPr>
              <w:jc w:val="center"/>
              <w:rPr>
                <w:color w:val="303030" w:themeColor="text1" w:themeTint="D9"/>
                <w:sz w:val="22"/>
                <w:szCs w:val="22"/>
                <w:lang w:val="en-GB"/>
              </w:rPr>
            </w:pPr>
            <w:r w:rsidRPr="001D2647">
              <w:rPr>
                <w:color w:val="303030" w:themeColor="text1" w:themeTint="D9"/>
                <w:sz w:val="22"/>
                <w:szCs w:val="22"/>
                <w:lang w:val="en-GB"/>
              </w:rPr>
              <w:t>1</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55091822" w14:textId="6024BB2F" w:rsidR="00710F7F" w:rsidRPr="001D2647" w:rsidRDefault="005422A7"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303030"/>
                <w:sz w:val="22"/>
                <w:szCs w:val="22"/>
                <w:lang w:val="en-GB"/>
              </w:rPr>
              <w:t>Feedstock cannot be considered as waste according to the amendment of Red II.</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58EFB7FA" w14:textId="3ACBC469" w:rsidR="00710F7F"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F71D3AC" w14:textId="363AC3C4" w:rsidR="00710F7F"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3769C749" w14:textId="77777777" w:rsidR="001D2647" w:rsidRDefault="005D3EAA" w:rsidP="001D2647">
            <w:pPr>
              <w:jc w:val="left"/>
              <w:cnfStyle w:val="000000000000" w:firstRow="0" w:lastRow="0" w:firstColumn="0" w:lastColumn="0" w:oddVBand="0" w:evenVBand="0" w:oddHBand="0" w:evenHBand="0" w:firstRowFirstColumn="0" w:firstRowLastColumn="0" w:lastRowFirstColumn="0" w:lastRowLastColumn="0"/>
              <w:rPr>
                <w:rStyle w:val="normaltextrun"/>
                <w:rFonts w:cs="Calibri"/>
                <w:color w:val="303030"/>
                <w:sz w:val="22"/>
                <w:szCs w:val="22"/>
                <w:lang w:val="en-GB"/>
              </w:rPr>
            </w:pPr>
            <w:r w:rsidRPr="001D2647">
              <w:rPr>
                <w:rStyle w:val="normaltextrun"/>
                <w:rFonts w:cs="Calibri"/>
                <w:color w:val="303030"/>
                <w:sz w:val="22"/>
                <w:szCs w:val="22"/>
                <w:lang w:val="en-GB"/>
              </w:rPr>
              <w:t>Engage</w:t>
            </w:r>
            <w:r w:rsidR="001D2647">
              <w:rPr>
                <w:rStyle w:val="normaltextrun"/>
                <w:rFonts w:cs="Calibri"/>
                <w:color w:val="303030"/>
                <w:sz w:val="22"/>
                <w:szCs w:val="22"/>
                <w:lang w:val="en-GB"/>
              </w:rPr>
              <w:t xml:space="preserve"> o</w:t>
            </w:r>
            <w:r w:rsidRPr="001D2647">
              <w:rPr>
                <w:rStyle w:val="normaltextrun"/>
                <w:rFonts w:cs="Calibri"/>
                <w:color w:val="303030"/>
                <w:sz w:val="22"/>
                <w:szCs w:val="22"/>
                <w:lang w:val="en-GB"/>
              </w:rPr>
              <w:t>n</w:t>
            </w:r>
            <w:r w:rsidR="001D2647">
              <w:rPr>
                <w:rStyle w:val="normaltextrun"/>
                <w:rFonts w:cs="Calibri"/>
                <w:color w:val="303030"/>
                <w:sz w:val="22"/>
                <w:szCs w:val="22"/>
                <w:lang w:val="en-GB"/>
              </w:rPr>
              <w:t xml:space="preserve"> </w:t>
            </w:r>
            <w:r w:rsidRPr="001D2647">
              <w:rPr>
                <w:rStyle w:val="normaltextrun"/>
                <w:rFonts w:cs="Calibri"/>
                <w:color w:val="303030"/>
                <w:sz w:val="22"/>
                <w:szCs w:val="22"/>
                <w:lang w:val="en-GB"/>
              </w:rPr>
              <w:t>lobbying</w:t>
            </w:r>
            <w:r w:rsidR="001D2647">
              <w:rPr>
                <w:rStyle w:val="normaltextrun"/>
                <w:rFonts w:cs="Calibri"/>
                <w:color w:val="303030"/>
                <w:sz w:val="22"/>
                <w:szCs w:val="22"/>
                <w:lang w:val="en-GB"/>
              </w:rPr>
              <w:t xml:space="preserve"> </w:t>
            </w:r>
            <w:r w:rsidRPr="001D2647">
              <w:rPr>
                <w:rStyle w:val="normaltextrun"/>
                <w:rFonts w:cs="Calibri"/>
                <w:color w:val="303030"/>
                <w:sz w:val="22"/>
                <w:szCs w:val="22"/>
                <w:lang w:val="en-GB"/>
              </w:rPr>
              <w:t xml:space="preserve">discussion. </w:t>
            </w:r>
          </w:p>
          <w:p w14:paraId="4CD2763A" w14:textId="4C6BB0B8" w:rsidR="00710F7F" w:rsidRPr="001D2647" w:rsidRDefault="001D2647"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Pr>
                <w:rStyle w:val="normaltextrun"/>
                <w:rFonts w:cs="Calibri"/>
                <w:color w:val="303030"/>
                <w:sz w:val="22"/>
                <w:szCs w:val="22"/>
                <w:lang w:val="en-GB"/>
              </w:rPr>
              <w:t>Marketing of c</w:t>
            </w:r>
            <w:r w:rsidR="005D3EAA" w:rsidRPr="001D2647">
              <w:rPr>
                <w:rStyle w:val="normaltextrun"/>
                <w:rFonts w:cs="Calibri"/>
                <w:color w:val="303030"/>
                <w:sz w:val="22"/>
                <w:szCs w:val="22"/>
                <w:lang w:val="en-GB"/>
              </w:rPr>
              <w:t>ellulose</w:t>
            </w:r>
            <w:r>
              <w:rPr>
                <w:rStyle w:val="normaltextrun"/>
                <w:rFonts w:cs="Calibri"/>
                <w:color w:val="303030"/>
                <w:sz w:val="22"/>
                <w:szCs w:val="22"/>
                <w:lang w:val="en-GB"/>
              </w:rPr>
              <w:t xml:space="preserve"> </w:t>
            </w:r>
            <w:r w:rsidR="005D3EAA" w:rsidRPr="001D2647">
              <w:rPr>
                <w:rStyle w:val="normaltextrun"/>
                <w:rFonts w:cs="Calibri"/>
                <w:color w:val="303030"/>
                <w:sz w:val="22"/>
                <w:szCs w:val="22"/>
                <w:lang w:val="en-GB"/>
              </w:rPr>
              <w:t>stream must be prioritized</w:t>
            </w:r>
            <w:r>
              <w:rPr>
                <w:rStyle w:val="normaltextrun"/>
                <w:rFonts w:cs="Calibri"/>
                <w:color w:val="303030"/>
                <w:sz w:val="22"/>
                <w:szCs w:val="22"/>
                <w:lang w:val="en-GB"/>
              </w:rPr>
              <w:t>.</w:t>
            </w:r>
          </w:p>
        </w:tc>
      </w:tr>
      <w:tr w:rsidR="00DA0F6B" w:rsidRPr="0045629F" w14:paraId="40722F5C"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1CF7799D" w14:textId="17195FA9" w:rsidR="00DA0F6B"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2</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5D01331B" w14:textId="3582DB5F" w:rsidR="00DA0F6B" w:rsidRPr="001D2647" w:rsidRDefault="005422A7"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303030"/>
                <w:sz w:val="22"/>
                <w:szCs w:val="22"/>
                <w:shd w:val="clear" w:color="auto" w:fill="FFFFFF"/>
                <w:lang w:val="en-GB"/>
              </w:rPr>
              <w:t>Lower regulation targets and carbon price</w:t>
            </w:r>
            <w:r w:rsidRPr="001D2647">
              <w:rPr>
                <w:rStyle w:val="eop"/>
                <w:rFonts w:cs="Calibri"/>
                <w:color w:val="303030"/>
                <w:sz w:val="22"/>
                <w:szCs w:val="22"/>
                <w:shd w:val="clear" w:color="auto" w:fill="FFFFFF"/>
              </w:rPr>
              <w:t> .</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1212800F" w14:textId="077504F5" w:rsidR="00DA0F6B"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3</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6AC76C7B" w14:textId="2F4BDACF" w:rsidR="00DA0F6B"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7F998AE3" w14:textId="5921DCD4" w:rsidR="00DA0F6B" w:rsidRPr="001D2647" w:rsidRDefault="005D3EAA"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303030"/>
                <w:sz w:val="22"/>
                <w:szCs w:val="22"/>
                <w:shd w:val="clear" w:color="auto" w:fill="FFFFFF"/>
                <w:lang w:val="en-GB"/>
              </w:rPr>
              <w:t>Reduction in production</w:t>
            </w:r>
            <w:r w:rsidR="001D2647">
              <w:rPr>
                <w:rStyle w:val="normaltextrun"/>
                <w:rFonts w:cs="Calibri"/>
                <w:color w:val="303030"/>
                <w:sz w:val="22"/>
                <w:szCs w:val="22"/>
                <w:shd w:val="clear" w:color="auto" w:fill="FFFFFF"/>
                <w:lang w:val="en-GB"/>
              </w:rPr>
              <w:t xml:space="preserve"> </w:t>
            </w:r>
            <w:r w:rsidRPr="001D2647">
              <w:rPr>
                <w:rStyle w:val="normaltextrun"/>
                <w:rFonts w:cs="Calibri"/>
                <w:color w:val="303030"/>
                <w:sz w:val="22"/>
                <w:szCs w:val="22"/>
                <w:shd w:val="clear" w:color="auto" w:fill="FFFFFF"/>
                <w:lang w:val="en-GB"/>
              </w:rPr>
              <w:t>cost must compensate a lower carbon price and dec</w:t>
            </w:r>
            <w:r w:rsidR="0006215C">
              <w:rPr>
                <w:rStyle w:val="normaltextrun"/>
                <w:rFonts w:cs="Calibri"/>
                <w:color w:val="303030"/>
                <w:sz w:val="22"/>
                <w:szCs w:val="22"/>
                <w:shd w:val="clear" w:color="auto" w:fill="FFFFFF"/>
                <w:lang w:val="en-GB"/>
              </w:rPr>
              <w:t>r</w:t>
            </w:r>
            <w:r w:rsidRPr="001D2647">
              <w:rPr>
                <w:rStyle w:val="normaltextrun"/>
                <w:rFonts w:cs="Calibri"/>
                <w:color w:val="303030"/>
                <w:sz w:val="22"/>
                <w:szCs w:val="22"/>
                <w:shd w:val="clear" w:color="auto" w:fill="FFFFFF"/>
                <w:lang w:val="en-GB"/>
              </w:rPr>
              <w:t>eased demand</w:t>
            </w:r>
            <w:r w:rsidR="0006215C">
              <w:rPr>
                <w:rStyle w:val="normaltextrun"/>
                <w:rFonts w:cs="Calibri"/>
                <w:color w:val="303030"/>
                <w:sz w:val="22"/>
                <w:szCs w:val="22"/>
                <w:shd w:val="clear" w:color="auto" w:fill="FFFFFF"/>
                <w:lang w:val="en-GB"/>
              </w:rPr>
              <w:t>.</w:t>
            </w:r>
          </w:p>
        </w:tc>
      </w:tr>
      <w:tr w:rsidR="00D34E10" w:rsidRPr="0045629F" w14:paraId="071C3E3C"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63B5A377" w14:textId="4377A2E5" w:rsidR="00710F7F"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3</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4A4D010B" w14:textId="4AEDE3B2" w:rsidR="00710F7F" w:rsidRPr="001D2647" w:rsidRDefault="002A4864"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shd w:val="clear" w:color="auto" w:fill="FFFFFF"/>
                <w:lang w:val="en-GB"/>
              </w:rPr>
              <w:t>Low stability or compatibility with HFO or fossil-based fuels.</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72DE3A8" w14:textId="0C160CB2" w:rsidR="00710F7F"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68363A6" w14:textId="48B90663" w:rsidR="00710F7F"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799292F2" w14:textId="03218BE8" w:rsidR="00710F7F" w:rsidRPr="001D2647" w:rsidRDefault="005D3EAA"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lang w:val="en-GB"/>
              </w:rPr>
              <w:t>Process design working together with product testing</w:t>
            </w:r>
            <w:r w:rsidR="0006215C">
              <w:rPr>
                <w:rStyle w:val="normaltextrun"/>
                <w:rFonts w:cs="Calibri"/>
                <w:color w:val="1F1F1F"/>
                <w:sz w:val="22"/>
                <w:szCs w:val="22"/>
                <w:lang w:val="en-GB"/>
              </w:rPr>
              <w:t>.</w:t>
            </w:r>
          </w:p>
        </w:tc>
      </w:tr>
      <w:tr w:rsidR="005422A7" w:rsidRPr="0045629F" w14:paraId="2C14589D"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163CA7F4" w14:textId="5FB1167D" w:rsidR="005422A7"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4</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30040A9E" w14:textId="26654A91" w:rsidR="005422A7" w:rsidRPr="001D2647" w:rsidRDefault="001D2647"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lang w:val="en-GB"/>
              </w:rPr>
              <w:t>Low oil prices</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618141C" w14:textId="44F1C5CE" w:rsidR="005422A7"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4C83F4E" w14:textId="7D36D88E" w:rsidR="005422A7"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1131519B" w14:textId="202F94B3" w:rsidR="005422A7" w:rsidRPr="001D2647" w:rsidRDefault="00867E85"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bdr w:val="none" w:sz="0" w:space="0" w:color="auto" w:frame="1"/>
                <w:lang w:val="en-GB"/>
              </w:rPr>
              <w:t xml:space="preserve">Minimize production costs and GHG emission to benefit from </w:t>
            </w:r>
            <w:r w:rsidR="0006215C">
              <w:rPr>
                <w:rStyle w:val="normaltextrun"/>
                <w:rFonts w:cs="Calibri"/>
                <w:color w:val="1F1F1F"/>
                <w:sz w:val="22"/>
                <w:szCs w:val="22"/>
                <w:bdr w:val="none" w:sz="0" w:space="0" w:color="auto" w:frame="1"/>
                <w:lang w:val="en-GB"/>
              </w:rPr>
              <w:t>the carbon market</w:t>
            </w:r>
            <w:r w:rsidRPr="001D2647">
              <w:rPr>
                <w:rStyle w:val="normaltextrun"/>
                <w:rFonts w:cs="Calibri"/>
                <w:color w:val="1F1F1F"/>
                <w:sz w:val="22"/>
                <w:szCs w:val="22"/>
                <w:bdr w:val="none" w:sz="0" w:space="0" w:color="auto" w:frame="1"/>
                <w:lang w:val="en-GB"/>
              </w:rPr>
              <w:t>.</w:t>
            </w:r>
          </w:p>
        </w:tc>
      </w:tr>
      <w:tr w:rsidR="005422A7" w:rsidRPr="0045629F" w14:paraId="68AC3122"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3984672" w14:textId="27B89772" w:rsidR="005422A7"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5</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3D33ADD" w14:textId="16EA6103" w:rsidR="005422A7" w:rsidRPr="001D2647" w:rsidRDefault="00867E85"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lang w:val="en-GB"/>
              </w:rPr>
              <w:t>Quicker market uptake of other lignocellulose-based fuels</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985F3A4" w14:textId="0A3E5212" w:rsidR="005422A7"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22E0E619" w14:textId="3C1EC290" w:rsidR="005422A7"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28F07DAC" w14:textId="77777777" w:rsidR="0006215C" w:rsidRDefault="00867E85" w:rsidP="001D2647">
            <w:pPr>
              <w:jc w:val="left"/>
              <w:cnfStyle w:val="000000000000" w:firstRow="0" w:lastRow="0" w:firstColumn="0" w:lastColumn="0" w:oddVBand="0" w:evenVBand="0" w:oddHBand="0" w:evenHBand="0" w:firstRowFirstColumn="0" w:firstRowLastColumn="0" w:lastRowFirstColumn="0" w:lastRowLastColumn="0"/>
              <w:rPr>
                <w:rStyle w:val="normaltextrun"/>
                <w:rFonts w:cs="Calibri"/>
                <w:color w:val="1F1F1F"/>
                <w:sz w:val="22"/>
                <w:szCs w:val="22"/>
                <w:shd w:val="clear" w:color="auto" w:fill="FFFFFF"/>
                <w:lang w:val="en-GB"/>
              </w:rPr>
            </w:pPr>
            <w:r w:rsidRPr="001D2647">
              <w:rPr>
                <w:rStyle w:val="normaltextrun"/>
                <w:rFonts w:cs="Calibri"/>
                <w:color w:val="1F1F1F"/>
                <w:sz w:val="22"/>
                <w:szCs w:val="22"/>
                <w:shd w:val="clear" w:color="auto" w:fill="FFFFFF"/>
                <w:lang w:val="en-GB"/>
              </w:rPr>
              <w:t>Accelerate end user tests. </w:t>
            </w:r>
          </w:p>
          <w:p w14:paraId="28E808F4" w14:textId="5C6850CC" w:rsidR="005422A7" w:rsidRPr="001D2647" w:rsidRDefault="00867E85"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shd w:val="clear" w:color="auto" w:fill="FFFFFF"/>
                <w:lang w:val="en-GB"/>
              </w:rPr>
              <w:t>Cost optimization.</w:t>
            </w:r>
          </w:p>
        </w:tc>
      </w:tr>
      <w:tr w:rsidR="005422A7" w:rsidRPr="0045629F" w14:paraId="40C66B91" w14:textId="77777777" w:rsidTr="001D2647">
        <w:trPr>
          <w:trHeight w:val="289"/>
        </w:trPr>
        <w:tc>
          <w:tcPr>
            <w:cnfStyle w:val="001000000000" w:firstRow="0" w:lastRow="0" w:firstColumn="1" w:lastColumn="0" w:oddVBand="0" w:evenVBand="0" w:oddHBand="0" w:evenHBand="0" w:firstRowFirstColumn="0" w:firstRowLastColumn="0" w:lastRowFirstColumn="0" w:lastRowLastColumn="0"/>
            <w:tcW w:w="973"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30E5E3E8" w14:textId="6F96C8AD" w:rsidR="005422A7" w:rsidRPr="001D2647" w:rsidRDefault="005422A7" w:rsidP="001D2647">
            <w:pPr>
              <w:jc w:val="center"/>
              <w:rPr>
                <w:color w:val="303030" w:themeColor="text1" w:themeTint="D9"/>
                <w:sz w:val="22"/>
                <w:szCs w:val="22"/>
                <w:lang w:val="en-GB"/>
              </w:rPr>
            </w:pPr>
            <w:r w:rsidRPr="001D2647">
              <w:rPr>
                <w:color w:val="303030" w:themeColor="text1" w:themeTint="D9"/>
                <w:sz w:val="22"/>
                <w:szCs w:val="22"/>
                <w:lang w:val="en-GB"/>
              </w:rPr>
              <w:t>6</w:t>
            </w:r>
          </w:p>
        </w:tc>
        <w:tc>
          <w:tcPr>
            <w:tcW w:w="3344"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E650D19" w14:textId="4CF657E5" w:rsidR="005422A7" w:rsidRPr="001D2647" w:rsidRDefault="00867E85"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rStyle w:val="normaltextrun"/>
                <w:rFonts w:cs="Calibri"/>
                <w:color w:val="1F1F1F"/>
                <w:sz w:val="22"/>
                <w:szCs w:val="22"/>
                <w:shd w:val="clear" w:color="auto" w:fill="FFFFFF"/>
                <w:lang w:val="en-GB"/>
              </w:rPr>
              <w:t>Market tendency towards other alternative fuel: Methanol, LNG.</w:t>
            </w:r>
          </w:p>
        </w:tc>
        <w:tc>
          <w:tcPr>
            <w:tcW w:w="1199"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05B485C6" w14:textId="13DF350A" w:rsidR="005422A7" w:rsidRPr="001D2647" w:rsidRDefault="00CA44C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1</w:t>
            </w:r>
          </w:p>
        </w:tc>
        <w:tc>
          <w:tcPr>
            <w:tcW w:w="1006"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vAlign w:val="center"/>
          </w:tcPr>
          <w:p w14:paraId="797CC2FC" w14:textId="031AD546" w:rsidR="005422A7" w:rsidRPr="001D2647" w:rsidRDefault="005D3EAA" w:rsidP="001D2647">
            <w:pPr>
              <w:jc w:val="cente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r w:rsidRPr="001D2647">
              <w:rPr>
                <w:color w:val="303030" w:themeColor="text1" w:themeTint="D9"/>
                <w:sz w:val="22"/>
                <w:szCs w:val="22"/>
                <w:lang w:val="en-GB"/>
              </w:rPr>
              <w:t>2</w:t>
            </w:r>
          </w:p>
        </w:tc>
        <w:tc>
          <w:tcPr>
            <w:tcW w:w="2740"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7199FDFE" w14:textId="552BC54D" w:rsidR="00867E85" w:rsidRPr="001D2647" w:rsidRDefault="00867E85" w:rsidP="001D264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1F1F1F"/>
                <w:sz w:val="22"/>
                <w:szCs w:val="22"/>
                <w:lang w:val="en-GB"/>
              </w:rPr>
            </w:pPr>
            <w:r w:rsidRPr="001D2647">
              <w:rPr>
                <w:rStyle w:val="normaltextrun"/>
                <w:rFonts w:ascii="Calibri" w:hAnsi="Calibri" w:cs="Calibri"/>
                <w:color w:val="1F1F1F"/>
                <w:sz w:val="22"/>
                <w:szCs w:val="22"/>
                <w:lang w:val="en-GB"/>
              </w:rPr>
              <w:t>Accelerate end user tests.</w:t>
            </w:r>
          </w:p>
          <w:p w14:paraId="3BB1F55B" w14:textId="0B3D0D77" w:rsidR="00867E85" w:rsidRPr="001D2647" w:rsidRDefault="00867E85" w:rsidP="001D264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1F1F1F"/>
                <w:sz w:val="22"/>
                <w:szCs w:val="22"/>
                <w:lang w:val="en-GB"/>
              </w:rPr>
            </w:pPr>
            <w:r w:rsidRPr="001D2647">
              <w:rPr>
                <w:rStyle w:val="normaltextrun"/>
                <w:rFonts w:ascii="Calibri" w:hAnsi="Calibri" w:cs="Calibri"/>
                <w:color w:val="1F1F1F"/>
                <w:sz w:val="22"/>
                <w:szCs w:val="22"/>
                <w:lang w:val="en-GB"/>
              </w:rPr>
              <w:t>Cost optimization.</w:t>
            </w:r>
          </w:p>
          <w:p w14:paraId="351E761B" w14:textId="2D1207FA" w:rsidR="00867E85" w:rsidRPr="001D2647" w:rsidRDefault="00867E85" w:rsidP="001D264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1F1F1F"/>
                <w:sz w:val="22"/>
                <w:szCs w:val="22"/>
                <w:lang w:val="en-GB"/>
              </w:rPr>
            </w:pPr>
            <w:r w:rsidRPr="001D2647">
              <w:rPr>
                <w:rStyle w:val="normaltextrun"/>
                <w:rFonts w:ascii="Calibri" w:hAnsi="Calibri" w:cs="Calibri"/>
                <w:color w:val="1F1F1F"/>
                <w:sz w:val="22"/>
                <w:szCs w:val="22"/>
                <w:lang w:val="en-GB"/>
              </w:rPr>
              <w:t>Lobbying</w:t>
            </w:r>
            <w:r w:rsidR="0006215C">
              <w:rPr>
                <w:rStyle w:val="normaltextrun"/>
                <w:rFonts w:ascii="Calibri" w:hAnsi="Calibri" w:cs="Calibri"/>
                <w:color w:val="1F1F1F"/>
                <w:sz w:val="22"/>
                <w:szCs w:val="22"/>
                <w:lang w:val="en-GB"/>
              </w:rPr>
              <w:t>.</w:t>
            </w:r>
          </w:p>
          <w:p w14:paraId="42513761" w14:textId="77777777" w:rsidR="005422A7" w:rsidRPr="001D2647" w:rsidRDefault="005422A7" w:rsidP="001D2647">
            <w:pPr>
              <w:jc w:val="left"/>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lang w:val="en-GB"/>
              </w:rPr>
            </w:pPr>
          </w:p>
        </w:tc>
      </w:tr>
    </w:tbl>
    <w:bookmarkEnd w:id="45"/>
    <w:p w14:paraId="5D0AEFF9" w14:textId="77777777" w:rsidR="0034036F" w:rsidRDefault="0034036F" w:rsidP="0034036F">
      <w:pPr>
        <w:spacing w:after="160" w:line="259" w:lineRule="auto"/>
        <w:jc w:val="left"/>
        <w:rPr>
          <w:rFonts w:ascii="Verdana" w:hAnsi="Verdana"/>
          <w:sz w:val="16"/>
          <w:szCs w:val="16"/>
        </w:rPr>
      </w:pPr>
      <w:r>
        <w:rPr>
          <w:vertAlign w:val="superscript"/>
          <w:lang w:val="en-GB"/>
        </w:rPr>
        <w:t>1)</w:t>
      </w:r>
      <w:r>
        <w:rPr>
          <w:lang w:val="en-GB"/>
        </w:rPr>
        <w:t xml:space="preserve"> </w:t>
      </w:r>
      <w:r>
        <w:rPr>
          <w:rFonts w:ascii="Verdana" w:hAnsi="Verdana"/>
          <w:sz w:val="16"/>
          <w:szCs w:val="16"/>
        </w:rPr>
        <w:t>Probability risk will occur</w:t>
      </w:r>
      <w:r w:rsidRPr="00AA3608">
        <w:rPr>
          <w:rFonts w:ascii="Verdana" w:hAnsi="Verdana"/>
          <w:sz w:val="16"/>
          <w:szCs w:val="16"/>
        </w:rPr>
        <w:t>: 1 = high</w:t>
      </w:r>
      <w:r>
        <w:rPr>
          <w:rFonts w:ascii="Verdana" w:hAnsi="Verdana"/>
          <w:sz w:val="16"/>
          <w:szCs w:val="16"/>
        </w:rPr>
        <w:t>, 2 = medium,</w:t>
      </w:r>
      <w:r w:rsidRPr="00AA3608">
        <w:rPr>
          <w:rFonts w:ascii="Verdana" w:hAnsi="Verdana"/>
          <w:sz w:val="16"/>
          <w:szCs w:val="16"/>
        </w:rPr>
        <w:t xml:space="preserve"> 3 = Low</w:t>
      </w:r>
    </w:p>
    <w:p w14:paraId="0E928AE1" w14:textId="77777777" w:rsidR="00017D36" w:rsidRPr="0034036F" w:rsidRDefault="00017D36" w:rsidP="0075226F">
      <w:pPr>
        <w:spacing w:before="240" w:after="240" w:line="276" w:lineRule="auto"/>
        <w:rPr>
          <w:color w:val="606060" w:themeColor="text1" w:themeTint="A6"/>
          <w:sz w:val="22"/>
          <w:szCs w:val="22"/>
        </w:rPr>
      </w:pPr>
    </w:p>
    <w:p w14:paraId="1C79F808" w14:textId="77777777" w:rsidR="0034036F" w:rsidRDefault="0034036F">
      <w:pPr>
        <w:spacing w:after="160" w:line="259" w:lineRule="auto"/>
        <w:jc w:val="left"/>
        <w:rPr>
          <w:rFonts w:asciiTheme="minorHAnsi" w:eastAsiaTheme="majorEastAsia" w:hAnsiTheme="minorHAnsi" w:cstheme="majorBidi"/>
          <w:b/>
          <w:color w:val="232323" w:themeColor="text1" w:themeTint="E6"/>
          <w:sz w:val="28"/>
          <w:szCs w:val="32"/>
          <w:lang w:val="en-GB"/>
        </w:rPr>
      </w:pPr>
      <w:r>
        <w:rPr>
          <w:lang w:val="en-GB"/>
        </w:rPr>
        <w:br w:type="page"/>
      </w:r>
    </w:p>
    <w:p w14:paraId="74C75408" w14:textId="3A926002" w:rsidR="004C14E2" w:rsidRPr="0045629F" w:rsidRDefault="3A29924E" w:rsidP="005D6854">
      <w:pPr>
        <w:pStyle w:val="Heading1"/>
      </w:pPr>
      <w:bookmarkStart w:id="46" w:name="_Toc84019465"/>
      <w:r>
        <w:lastRenderedPageBreak/>
        <w:t>References</w:t>
      </w:r>
      <w:bookmarkEnd w:id="46"/>
    </w:p>
    <w:p w14:paraId="1DEFA1AE" w14:textId="77777777" w:rsidR="004C14E2" w:rsidRPr="0045629F" w:rsidRDefault="004C14E2" w:rsidP="0075226F">
      <w:pPr>
        <w:spacing w:before="240" w:after="240" w:line="276" w:lineRule="auto"/>
        <w:rPr>
          <w:lang w:val="en-GB"/>
        </w:rPr>
      </w:pPr>
    </w:p>
    <w:p w14:paraId="70436773" w14:textId="5FB1491E" w:rsidR="00B0696A" w:rsidRPr="00B0696A" w:rsidRDefault="003B4A74" w:rsidP="00B0696A">
      <w:pPr>
        <w:widowControl w:val="0"/>
        <w:autoSpaceDE w:val="0"/>
        <w:autoSpaceDN w:val="0"/>
        <w:adjustRightInd w:val="0"/>
        <w:spacing w:after="160"/>
        <w:ind w:left="480" w:hanging="480"/>
        <w:rPr>
          <w:rFonts w:cs="Calibri"/>
          <w:noProof/>
          <w:sz w:val="20"/>
          <w:szCs w:val="24"/>
        </w:rPr>
      </w:pPr>
      <w:r>
        <w:rPr>
          <w:lang w:val="en-GB"/>
        </w:rPr>
        <w:fldChar w:fldCharType="begin" w:fldLock="1"/>
      </w:r>
      <w:r>
        <w:rPr>
          <w:lang w:val="en-GB"/>
        </w:rPr>
        <w:instrText xml:space="preserve">ADDIN Mendeley Bibliography CSL_BIBLIOGRAPHY </w:instrText>
      </w:r>
      <w:r>
        <w:rPr>
          <w:lang w:val="en-GB"/>
        </w:rPr>
        <w:fldChar w:fldCharType="separate"/>
      </w:r>
      <w:r w:rsidR="00B0696A" w:rsidRPr="00B0696A">
        <w:rPr>
          <w:rFonts w:cs="Calibri"/>
          <w:noProof/>
          <w:sz w:val="20"/>
          <w:szCs w:val="24"/>
        </w:rPr>
        <w:t xml:space="preserve">Abdenur, A. E. (2021). </w:t>
      </w:r>
      <w:r w:rsidR="00B0696A" w:rsidRPr="00B0696A">
        <w:rPr>
          <w:rFonts w:cs="Calibri"/>
          <w:i/>
          <w:iCs/>
          <w:noProof/>
          <w:sz w:val="20"/>
          <w:szCs w:val="24"/>
        </w:rPr>
        <w:t>Climate action</w:t>
      </w:r>
      <w:r w:rsidR="00B0696A" w:rsidRPr="00B0696A">
        <w:rPr>
          <w:rFonts w:cs="Calibri"/>
          <w:noProof/>
          <w:sz w:val="20"/>
          <w:szCs w:val="24"/>
        </w:rPr>
        <w:t>. Global Governance Futures. https://doi.org/10.4324/9781003139836-21</w:t>
      </w:r>
    </w:p>
    <w:p w14:paraId="64E4A9C0"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Al-Aboosi, F. Y., El-Halwagi, M. M., Moore, M., &amp; Nielsen, R. B. (2021). Renewable ammonia as an alternative fuel for the shipping industry. </w:t>
      </w:r>
      <w:r w:rsidRPr="00B0696A">
        <w:rPr>
          <w:rFonts w:cs="Calibri"/>
          <w:i/>
          <w:iCs/>
          <w:noProof/>
          <w:sz w:val="20"/>
          <w:szCs w:val="24"/>
        </w:rPr>
        <w:t>Current Opinion in Chemical Engineering</w:t>
      </w:r>
      <w:r w:rsidRPr="00B0696A">
        <w:rPr>
          <w:rFonts w:cs="Calibri"/>
          <w:noProof/>
          <w:sz w:val="20"/>
          <w:szCs w:val="24"/>
        </w:rPr>
        <w:t xml:space="preserve">, </w:t>
      </w:r>
      <w:r w:rsidRPr="00B0696A">
        <w:rPr>
          <w:rFonts w:cs="Calibri"/>
          <w:i/>
          <w:iCs/>
          <w:noProof/>
          <w:sz w:val="20"/>
          <w:szCs w:val="24"/>
        </w:rPr>
        <w:t>31</w:t>
      </w:r>
      <w:r w:rsidRPr="00B0696A">
        <w:rPr>
          <w:rFonts w:cs="Calibri"/>
          <w:noProof/>
          <w:sz w:val="20"/>
          <w:szCs w:val="24"/>
        </w:rPr>
        <w:t>, 100670. https://doi.org/10.1016/j.coche.2021.100670</w:t>
      </w:r>
    </w:p>
    <w:p w14:paraId="33511812"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Balcombe, P., Brierley, J., Lewis, C., Skatvedt, L., Speirs, J., Hawkes, A., &amp; Staffell, I. (2019). How to decarbonise international shipping: Options for fuels, technologies and policies. </w:t>
      </w:r>
      <w:r w:rsidRPr="00B0696A">
        <w:rPr>
          <w:rFonts w:cs="Calibri"/>
          <w:i/>
          <w:iCs/>
          <w:noProof/>
          <w:sz w:val="20"/>
          <w:szCs w:val="24"/>
        </w:rPr>
        <w:t>Energy Conversion and Management</w:t>
      </w:r>
      <w:r w:rsidRPr="00B0696A">
        <w:rPr>
          <w:rFonts w:cs="Calibri"/>
          <w:noProof/>
          <w:sz w:val="20"/>
          <w:szCs w:val="24"/>
        </w:rPr>
        <w:t xml:space="preserve">, </w:t>
      </w:r>
      <w:r w:rsidRPr="00B0696A">
        <w:rPr>
          <w:rFonts w:cs="Calibri"/>
          <w:i/>
          <w:iCs/>
          <w:noProof/>
          <w:sz w:val="20"/>
          <w:szCs w:val="24"/>
        </w:rPr>
        <w:t>182</w:t>
      </w:r>
      <w:r w:rsidRPr="00B0696A">
        <w:rPr>
          <w:rFonts w:cs="Calibri"/>
          <w:noProof/>
          <w:sz w:val="20"/>
          <w:szCs w:val="24"/>
        </w:rPr>
        <w:t>(December 2018), 72–88. https://doi.org/10.1016/j.enconman.2018.12.080</w:t>
      </w:r>
    </w:p>
    <w:p w14:paraId="491544E7"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Brodie, P. (2020). </w:t>
      </w:r>
      <w:r w:rsidRPr="00B0696A">
        <w:rPr>
          <w:rFonts w:cs="Calibri"/>
          <w:i/>
          <w:iCs/>
          <w:noProof/>
          <w:sz w:val="20"/>
          <w:szCs w:val="24"/>
        </w:rPr>
        <w:t>International Convention for the Prevention of Pollution from Ships (MARPOL)</w:t>
      </w:r>
      <w:r w:rsidRPr="00B0696A">
        <w:rPr>
          <w:rFonts w:cs="Calibri"/>
          <w:noProof/>
          <w:sz w:val="20"/>
          <w:szCs w:val="24"/>
        </w:rPr>
        <w:t>. Commercial Shipping Handbook. https://doi.org/10.4324/9781315774695-85</w:t>
      </w:r>
    </w:p>
    <w:p w14:paraId="50012E01"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Brynolf, S., Fridell, E., &amp; Andersson, K. (2014). Environmental assessment of marine fuels: Liquefied natural gas, liquefied biogas, methanol and bio-methanol. </w:t>
      </w:r>
      <w:r w:rsidRPr="00B0696A">
        <w:rPr>
          <w:rFonts w:cs="Calibri"/>
          <w:i/>
          <w:iCs/>
          <w:noProof/>
          <w:sz w:val="20"/>
          <w:szCs w:val="24"/>
        </w:rPr>
        <w:t>Journal of Cleaner Production</w:t>
      </w:r>
      <w:r w:rsidRPr="00B0696A">
        <w:rPr>
          <w:rFonts w:cs="Calibri"/>
          <w:noProof/>
          <w:sz w:val="20"/>
          <w:szCs w:val="24"/>
        </w:rPr>
        <w:t xml:space="preserve">, </w:t>
      </w:r>
      <w:r w:rsidRPr="00B0696A">
        <w:rPr>
          <w:rFonts w:cs="Calibri"/>
          <w:i/>
          <w:iCs/>
          <w:noProof/>
          <w:sz w:val="20"/>
          <w:szCs w:val="24"/>
        </w:rPr>
        <w:t>74</w:t>
      </w:r>
      <w:r w:rsidRPr="00B0696A">
        <w:rPr>
          <w:rFonts w:cs="Calibri"/>
          <w:noProof/>
          <w:sz w:val="20"/>
          <w:szCs w:val="24"/>
        </w:rPr>
        <w:t>(X), 86–95. https://doi.org/10.1016/j.jclepro.2014.03.052</w:t>
      </w:r>
    </w:p>
    <w:p w14:paraId="584EBF44"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Carvalho, F., Portugal‐pereira, J., Junginger, M., &amp; Szklo, A. (2021). Biofuels for maritime transportation: A spatial, techno‐economic, and logistic analysis in brazil, europe, south africa, and the usa. </w:t>
      </w:r>
      <w:r w:rsidRPr="00B0696A">
        <w:rPr>
          <w:rFonts w:cs="Calibri"/>
          <w:i/>
          <w:iCs/>
          <w:noProof/>
          <w:sz w:val="20"/>
          <w:szCs w:val="24"/>
        </w:rPr>
        <w:t>Energies</w:t>
      </w:r>
      <w:r w:rsidRPr="00B0696A">
        <w:rPr>
          <w:rFonts w:cs="Calibri"/>
          <w:noProof/>
          <w:sz w:val="20"/>
          <w:szCs w:val="24"/>
        </w:rPr>
        <w:t xml:space="preserve">, </w:t>
      </w:r>
      <w:r w:rsidRPr="00B0696A">
        <w:rPr>
          <w:rFonts w:cs="Calibri"/>
          <w:i/>
          <w:iCs/>
          <w:noProof/>
          <w:sz w:val="20"/>
          <w:szCs w:val="24"/>
        </w:rPr>
        <w:t>14</w:t>
      </w:r>
      <w:r w:rsidRPr="00B0696A">
        <w:rPr>
          <w:rFonts w:cs="Calibri"/>
          <w:noProof/>
          <w:sz w:val="20"/>
          <w:szCs w:val="24"/>
        </w:rPr>
        <w:t>(16). https://doi.org/10.3390/en14164980</w:t>
      </w:r>
    </w:p>
    <w:p w14:paraId="600C8AE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Chiaramonti, D., Talluri, G., Scarlat, N., &amp; Prussi, M. (2021). The challenge of forecasting the role of biofuel in EU transport decarbonisation at 2050: A meta-analysis review of published scenarios. </w:t>
      </w:r>
      <w:r w:rsidRPr="00B0696A">
        <w:rPr>
          <w:rFonts w:cs="Calibri"/>
          <w:i/>
          <w:iCs/>
          <w:noProof/>
          <w:sz w:val="20"/>
          <w:szCs w:val="24"/>
        </w:rPr>
        <w:t>Renewable and Sustainable Energy Reviews</w:t>
      </w:r>
      <w:r w:rsidRPr="00B0696A">
        <w:rPr>
          <w:rFonts w:cs="Calibri"/>
          <w:noProof/>
          <w:sz w:val="20"/>
          <w:szCs w:val="24"/>
        </w:rPr>
        <w:t xml:space="preserve">, </w:t>
      </w:r>
      <w:r w:rsidRPr="00B0696A">
        <w:rPr>
          <w:rFonts w:cs="Calibri"/>
          <w:i/>
          <w:iCs/>
          <w:noProof/>
          <w:sz w:val="20"/>
          <w:szCs w:val="24"/>
        </w:rPr>
        <w:t>139</w:t>
      </w:r>
      <w:r w:rsidRPr="00B0696A">
        <w:rPr>
          <w:rFonts w:cs="Calibri"/>
          <w:noProof/>
          <w:sz w:val="20"/>
          <w:szCs w:val="24"/>
        </w:rPr>
        <w:t>(January), 110715. https://doi.org/10.1016/j.rser.2021.110715</w:t>
      </w:r>
    </w:p>
    <w:p w14:paraId="5C3A0C7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DNV GL. (2019). </w:t>
      </w:r>
      <w:r w:rsidRPr="00B0696A">
        <w:rPr>
          <w:rFonts w:cs="Calibri"/>
          <w:i/>
          <w:iCs/>
          <w:noProof/>
          <w:sz w:val="20"/>
          <w:szCs w:val="24"/>
        </w:rPr>
        <w:t>Comparison of Alternative Marine Fuels</w:t>
      </w:r>
      <w:r w:rsidRPr="00B0696A">
        <w:rPr>
          <w:rFonts w:cs="Calibri"/>
          <w:noProof/>
          <w:sz w:val="20"/>
          <w:szCs w:val="24"/>
        </w:rPr>
        <w:t>. 1–65. https://sea-lng.org/wp-content/uploads/2019/09/19-09-16_Alternative-Marine-Fuels-Study_final_report.pdf</w:t>
      </w:r>
    </w:p>
    <w:p w14:paraId="39FD5327"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ECSA. (2020). </w:t>
      </w:r>
      <w:r w:rsidRPr="00B0696A">
        <w:rPr>
          <w:rFonts w:cs="Calibri"/>
          <w:i/>
          <w:iCs/>
          <w:noProof/>
          <w:sz w:val="20"/>
          <w:szCs w:val="24"/>
        </w:rPr>
        <w:t>A Green Deal for the European shipping industry</w:t>
      </w:r>
      <w:r w:rsidRPr="00B0696A">
        <w:rPr>
          <w:rFonts w:cs="Calibri"/>
          <w:noProof/>
          <w:sz w:val="20"/>
          <w:szCs w:val="24"/>
        </w:rPr>
        <w:t>. https://www.ecsa.eu/publications</w:t>
      </w:r>
    </w:p>
    <w:p w14:paraId="466BC6CD"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EurObserv’ER. (2019). </w:t>
      </w:r>
      <w:r w:rsidRPr="00B0696A">
        <w:rPr>
          <w:rFonts w:cs="Calibri"/>
          <w:i/>
          <w:iCs/>
          <w:noProof/>
          <w:sz w:val="20"/>
          <w:szCs w:val="24"/>
        </w:rPr>
        <w:t>Boifuels Barometer</w:t>
      </w:r>
      <w:r w:rsidRPr="00B0696A">
        <w:rPr>
          <w:rFonts w:cs="Calibri"/>
          <w:noProof/>
          <w:sz w:val="20"/>
          <w:szCs w:val="24"/>
        </w:rPr>
        <w:t xml:space="preserve"> (Vol. 2019, Issue September 2020).</w:t>
      </w:r>
    </w:p>
    <w:p w14:paraId="2FB672D3"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Alternative Fuels Observatory. (2020). </w:t>
      </w:r>
      <w:r w:rsidRPr="00B0696A">
        <w:rPr>
          <w:rFonts w:cs="Calibri"/>
          <w:i/>
          <w:iCs/>
          <w:noProof/>
          <w:sz w:val="20"/>
          <w:szCs w:val="24"/>
        </w:rPr>
        <w:t>WHAT ARE ADVANCED BIOFUELS?</w:t>
      </w:r>
      <w:r w:rsidRPr="00B0696A">
        <w:rPr>
          <w:rFonts w:cs="Calibri"/>
          <w:noProof/>
          <w:sz w:val="20"/>
          <w:szCs w:val="24"/>
        </w:rPr>
        <w:t xml:space="preserve"> https://www.eafo.eu/alternative-fuels/advanced-biofuels/generic-information</w:t>
      </w:r>
    </w:p>
    <w:p w14:paraId="055FE604"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Commission. (n.d.). </w:t>
      </w:r>
      <w:r w:rsidRPr="00B0696A">
        <w:rPr>
          <w:rFonts w:cs="Calibri"/>
          <w:i/>
          <w:iCs/>
          <w:noProof/>
          <w:sz w:val="20"/>
          <w:szCs w:val="24"/>
        </w:rPr>
        <w:t>EU Emissions Trading System (EU ETS)</w:t>
      </w:r>
      <w:r w:rsidRPr="00B0696A">
        <w:rPr>
          <w:rFonts w:cs="Calibri"/>
          <w:noProof/>
          <w:sz w:val="20"/>
          <w:szCs w:val="24"/>
        </w:rPr>
        <w:t>. Retrieved September 13, 2021, from https://ec.europa.eu/clima/policies/ets_en</w:t>
      </w:r>
    </w:p>
    <w:p w14:paraId="4B07E75E"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Commission. (2021a). </w:t>
      </w:r>
      <w:r w:rsidRPr="00B0696A">
        <w:rPr>
          <w:rFonts w:cs="Calibri"/>
          <w:i/>
          <w:iCs/>
          <w:noProof/>
          <w:sz w:val="20"/>
          <w:szCs w:val="24"/>
        </w:rPr>
        <w:t>Amending Directive (EU) 2018/2001 of the European Parliament regards the promotion of energy from renewable sources, and repealing Council Directive (EU) 2015/65</w:t>
      </w:r>
      <w:r w:rsidRPr="00B0696A">
        <w:rPr>
          <w:rFonts w:cs="Calibri"/>
          <w:noProof/>
          <w:sz w:val="20"/>
          <w:szCs w:val="24"/>
        </w:rPr>
        <w:t xml:space="preserve"> (Vol. 0218). https://ec.europa.eu/info/sites/default/files/amendment-renewable-energy-directive-2030-climate-target-with-annexes_en.pdf</w:t>
      </w:r>
    </w:p>
    <w:p w14:paraId="0943D8AB"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Commission. (2021b). </w:t>
      </w:r>
      <w:r w:rsidRPr="00B0696A">
        <w:rPr>
          <w:rFonts w:cs="Calibri"/>
          <w:i/>
          <w:iCs/>
          <w:noProof/>
          <w:sz w:val="20"/>
          <w:szCs w:val="24"/>
        </w:rPr>
        <w:t>European Green Deal: Commission proposes transformation of EU economy and society to meet climate ambitions</w:t>
      </w:r>
      <w:r w:rsidRPr="00B0696A">
        <w:rPr>
          <w:rFonts w:cs="Calibri"/>
          <w:noProof/>
          <w:sz w:val="20"/>
          <w:szCs w:val="24"/>
        </w:rPr>
        <w:t>. https://ec.europa.eu/commission/presscorner/detail/en/ip_21_3541</w:t>
      </w:r>
    </w:p>
    <w:p w14:paraId="0ADBD198"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European Parliament. (2018). DIRECTIVE (EU) 2018/2001. In </w:t>
      </w:r>
      <w:r w:rsidRPr="00B0696A">
        <w:rPr>
          <w:rFonts w:cs="Calibri"/>
          <w:i/>
          <w:iCs/>
          <w:noProof/>
          <w:sz w:val="20"/>
          <w:szCs w:val="24"/>
        </w:rPr>
        <w:t>Official Journal of the European Union</w:t>
      </w:r>
      <w:r w:rsidRPr="00B0696A">
        <w:rPr>
          <w:rFonts w:cs="Calibri"/>
          <w:noProof/>
          <w:sz w:val="20"/>
          <w:szCs w:val="24"/>
        </w:rPr>
        <w:t xml:space="preserve"> (Vol. 2018, Issue December).</w:t>
      </w:r>
    </w:p>
    <w:p w14:paraId="2E0473E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Fortune Business Insights. (2020). Cellulose Market Size, Share &amp; Industry Analysis. </w:t>
      </w:r>
      <w:r w:rsidRPr="00B0696A">
        <w:rPr>
          <w:rFonts w:cs="Calibri"/>
          <w:i/>
          <w:iCs/>
          <w:noProof/>
          <w:sz w:val="20"/>
          <w:szCs w:val="24"/>
        </w:rPr>
        <w:t>Market Researsh Report</w:t>
      </w:r>
      <w:r w:rsidRPr="00B0696A">
        <w:rPr>
          <w:rFonts w:cs="Calibri"/>
          <w:noProof/>
          <w:sz w:val="20"/>
          <w:szCs w:val="24"/>
        </w:rPr>
        <w:t>. https://www.fortunebusinessinsights.com/cellulose-market-102062</w:t>
      </w:r>
    </w:p>
    <w:p w14:paraId="7BDF7441"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Houston, C. (2020). </w:t>
      </w:r>
      <w:r w:rsidRPr="00B0696A">
        <w:rPr>
          <w:rFonts w:cs="Calibri"/>
          <w:i/>
          <w:iCs/>
          <w:noProof/>
          <w:sz w:val="20"/>
          <w:szCs w:val="24"/>
        </w:rPr>
        <w:t>Mind the methane gap</w:t>
      </w:r>
      <w:r w:rsidRPr="00B0696A">
        <w:rPr>
          <w:rFonts w:cs="Calibri"/>
          <w:noProof/>
          <w:sz w:val="20"/>
          <w:szCs w:val="24"/>
        </w:rPr>
        <w:t>. https://www.wartsila.com/insights/article/mind-the-methane-gap</w:t>
      </w:r>
    </w:p>
    <w:p w14:paraId="467BCDCF"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IEA Bioenergy. (2017). </w:t>
      </w:r>
      <w:r w:rsidRPr="00B0696A">
        <w:rPr>
          <w:rFonts w:cs="Calibri"/>
          <w:i/>
          <w:iCs/>
          <w:noProof/>
          <w:sz w:val="20"/>
          <w:szCs w:val="24"/>
        </w:rPr>
        <w:t>Biofuels for the marine shipping sector: An overview and analysis of sector infrastructure, fuel technologies and regulations</w:t>
      </w:r>
      <w:r w:rsidRPr="00B0696A">
        <w:rPr>
          <w:rFonts w:cs="Calibri"/>
          <w:noProof/>
          <w:sz w:val="20"/>
          <w:szCs w:val="24"/>
        </w:rPr>
        <w:t>. 86.</w:t>
      </w:r>
    </w:p>
    <w:p w14:paraId="16936321"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IMO. (2020). </w:t>
      </w:r>
      <w:r w:rsidRPr="00B0696A">
        <w:rPr>
          <w:rFonts w:cs="Calibri"/>
          <w:i/>
          <w:iCs/>
          <w:noProof/>
          <w:sz w:val="20"/>
          <w:szCs w:val="24"/>
        </w:rPr>
        <w:t>IMO 2020 – cutting sulphur oxide emissions</w:t>
      </w:r>
      <w:r w:rsidRPr="00B0696A">
        <w:rPr>
          <w:rFonts w:cs="Calibri"/>
          <w:noProof/>
          <w:sz w:val="20"/>
          <w:szCs w:val="24"/>
        </w:rPr>
        <w:t xml:space="preserve">. International Maritime Organization. </w:t>
      </w:r>
      <w:r w:rsidRPr="00B0696A">
        <w:rPr>
          <w:rFonts w:cs="Calibri"/>
          <w:noProof/>
          <w:sz w:val="20"/>
          <w:szCs w:val="24"/>
        </w:rPr>
        <w:lastRenderedPageBreak/>
        <w:t>https://www.imo.org/en/MediaCentre/HotTopics/Pages/Sulphur-2020.aspx</w:t>
      </w:r>
    </w:p>
    <w:p w14:paraId="2F4EB62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International Maritime Organization. (2019). </w:t>
      </w:r>
      <w:r w:rsidRPr="00B0696A">
        <w:rPr>
          <w:rFonts w:cs="Calibri"/>
          <w:i/>
          <w:iCs/>
          <w:noProof/>
          <w:sz w:val="20"/>
          <w:szCs w:val="24"/>
        </w:rPr>
        <w:t>UN body adopts climate change strategy for shipping</w:t>
      </w:r>
      <w:r w:rsidRPr="00B0696A">
        <w:rPr>
          <w:rFonts w:cs="Calibri"/>
          <w:noProof/>
          <w:sz w:val="20"/>
          <w:szCs w:val="24"/>
        </w:rPr>
        <w:t>. https://www.imo.org/en/MediaCentre/PressBriefings/Pages/06GHGinitialstrategy.aspx</w:t>
      </w:r>
    </w:p>
    <w:p w14:paraId="79AF468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IRENA. (2019). </w:t>
      </w:r>
      <w:r w:rsidRPr="00B0696A">
        <w:rPr>
          <w:rFonts w:cs="Calibri"/>
          <w:i/>
          <w:iCs/>
          <w:noProof/>
          <w:sz w:val="20"/>
          <w:szCs w:val="24"/>
        </w:rPr>
        <w:t>Navigating to a renewable future: Solutions for decarbonising shipping, Preliminary findings</w:t>
      </w:r>
      <w:r w:rsidRPr="00B0696A">
        <w:rPr>
          <w:rFonts w:cs="Calibri"/>
          <w:noProof/>
          <w:sz w:val="20"/>
          <w:szCs w:val="24"/>
        </w:rPr>
        <w:t xml:space="preserve"> (Issue September).</w:t>
      </w:r>
    </w:p>
    <w:p w14:paraId="543221CE"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Konur, O. (2021). Petrodiesel Fuels. In </w:t>
      </w:r>
      <w:r w:rsidRPr="00B0696A">
        <w:rPr>
          <w:rFonts w:cs="Calibri"/>
          <w:i/>
          <w:iCs/>
          <w:noProof/>
          <w:sz w:val="20"/>
          <w:szCs w:val="24"/>
        </w:rPr>
        <w:t>Paper Knowledge . Toward a Media History of Documents</w:t>
      </w:r>
      <w:r w:rsidRPr="00B0696A">
        <w:rPr>
          <w:rFonts w:cs="Calibri"/>
          <w:noProof/>
          <w:sz w:val="20"/>
          <w:szCs w:val="24"/>
        </w:rPr>
        <w:t>. CRC Press.</w:t>
      </w:r>
    </w:p>
    <w:p w14:paraId="2247B77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Lucia, L. Di, &amp; Ribeiro, B. (2018). </w:t>
      </w:r>
      <w:r w:rsidRPr="00B0696A">
        <w:rPr>
          <w:rFonts w:cs="Calibri"/>
          <w:i/>
          <w:iCs/>
          <w:noProof/>
          <w:sz w:val="20"/>
          <w:szCs w:val="24"/>
        </w:rPr>
        <w:t>Enacting Responsibilities in Landscape Design : The Case of Advanced Biofuels</w:t>
      </w:r>
      <w:r w:rsidRPr="00B0696A">
        <w:rPr>
          <w:rFonts w:cs="Calibri"/>
          <w:noProof/>
          <w:sz w:val="20"/>
          <w:szCs w:val="24"/>
        </w:rPr>
        <w:t>. 1–15. https://doi.org/10.3390/su10114016</w:t>
      </w:r>
    </w:p>
    <w:p w14:paraId="34567C6B"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McCarney, J. (2020). Evolution in the engine room: A review of technologies to deliver decarbonised, sustainable shipping technology options for the shipping sector to meet international ship emissions limits. </w:t>
      </w:r>
      <w:r w:rsidRPr="00B0696A">
        <w:rPr>
          <w:rFonts w:cs="Calibri"/>
          <w:i/>
          <w:iCs/>
          <w:noProof/>
          <w:sz w:val="20"/>
          <w:szCs w:val="24"/>
        </w:rPr>
        <w:t>Johnson Matthey Technology Review</w:t>
      </w:r>
      <w:r w:rsidRPr="00B0696A">
        <w:rPr>
          <w:rFonts w:cs="Calibri"/>
          <w:noProof/>
          <w:sz w:val="20"/>
          <w:szCs w:val="24"/>
        </w:rPr>
        <w:t xml:space="preserve">, </w:t>
      </w:r>
      <w:r w:rsidRPr="00B0696A">
        <w:rPr>
          <w:rFonts w:cs="Calibri"/>
          <w:i/>
          <w:iCs/>
          <w:noProof/>
          <w:sz w:val="20"/>
          <w:szCs w:val="24"/>
        </w:rPr>
        <w:t>64</w:t>
      </w:r>
      <w:r w:rsidRPr="00B0696A">
        <w:rPr>
          <w:rFonts w:cs="Calibri"/>
          <w:noProof/>
          <w:sz w:val="20"/>
          <w:szCs w:val="24"/>
        </w:rPr>
        <w:t>(3), 374–392. https://doi.org/10.1595/205651320x15924055217177</w:t>
      </w:r>
    </w:p>
    <w:p w14:paraId="74EFD814"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McPhie, T., &amp; Rietdorf, L. (2021). </w:t>
      </w:r>
      <w:r w:rsidRPr="00B0696A">
        <w:rPr>
          <w:rFonts w:cs="Calibri"/>
          <w:i/>
          <w:iCs/>
          <w:noProof/>
          <w:sz w:val="20"/>
          <w:szCs w:val="24"/>
        </w:rPr>
        <w:t>Questions and Answers - Emissions Trading – Putting a Price on carbon*</w:t>
      </w:r>
      <w:r w:rsidRPr="00B0696A">
        <w:rPr>
          <w:rFonts w:cs="Calibri"/>
          <w:noProof/>
          <w:sz w:val="20"/>
          <w:szCs w:val="24"/>
        </w:rPr>
        <w:t>. https://ec.europa.eu/commission/presscorner/detail/en/qanda_21_3542</w:t>
      </w:r>
    </w:p>
    <w:p w14:paraId="304174D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Myhre, G., D., Shindell, F. ‐M., Bréon, W., Collins, J., Fuglestvedt, J., Huang, D., Koch, J. ‐F., Lamarque, D., Lee, B., Mendoza, T., Nakajima, A., Robock, G., Stephens, T., Takemura, &amp; Zhang, H. (2015). Global Warming Potential Values. </w:t>
      </w:r>
      <w:r w:rsidRPr="00B0696A">
        <w:rPr>
          <w:rFonts w:cs="Calibri"/>
          <w:i/>
          <w:iCs/>
          <w:noProof/>
          <w:sz w:val="20"/>
          <w:szCs w:val="24"/>
        </w:rPr>
        <w:t>Greenhouse Gas Protocol</w:t>
      </w:r>
      <w:r w:rsidRPr="00B0696A">
        <w:rPr>
          <w:rFonts w:cs="Calibri"/>
          <w:noProof/>
          <w:sz w:val="20"/>
          <w:szCs w:val="24"/>
        </w:rPr>
        <w:t xml:space="preserve">, </w:t>
      </w:r>
      <w:r w:rsidRPr="00B0696A">
        <w:rPr>
          <w:rFonts w:cs="Calibri"/>
          <w:i/>
          <w:iCs/>
          <w:noProof/>
          <w:sz w:val="20"/>
          <w:szCs w:val="24"/>
        </w:rPr>
        <w:t>2014</w:t>
      </w:r>
      <w:r w:rsidRPr="00B0696A">
        <w:rPr>
          <w:rFonts w:cs="Calibri"/>
          <w:noProof/>
          <w:sz w:val="20"/>
          <w:szCs w:val="24"/>
        </w:rPr>
        <w:t>(1995), 2–5.</w:t>
      </w:r>
    </w:p>
    <w:p w14:paraId="5A2C6CC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Oiltanking GmbH. (n.d.). </w:t>
      </w:r>
      <w:r w:rsidRPr="00B0696A">
        <w:rPr>
          <w:rFonts w:cs="Calibri"/>
          <w:i/>
          <w:iCs/>
          <w:noProof/>
          <w:sz w:val="20"/>
          <w:szCs w:val="24"/>
        </w:rPr>
        <w:t>Important Terms from A to Z</w:t>
      </w:r>
      <w:r w:rsidRPr="00B0696A">
        <w:rPr>
          <w:rFonts w:cs="Calibri"/>
          <w:noProof/>
          <w:sz w:val="20"/>
          <w:szCs w:val="24"/>
        </w:rPr>
        <w:t>. Retrieved September 20, 2021, from https://www.oiltanking.com/en/news-info/glossary/details/term/lng-liquefied-natural-gas.html</w:t>
      </w:r>
    </w:p>
    <w:p w14:paraId="755677EB"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Panoutsou, C., Germer, S., Karka, P., Papadokostantakis, S., Kroyan, Y., Wojcieszyk, M., Maniatis, K., Marchand, P., &amp; Landalv, I. (2021). Advanced biofuels to decarbonise European transport by 2030: Markets, challenges, and policies that impact their successful market uptake. </w:t>
      </w:r>
      <w:r w:rsidRPr="00B0696A">
        <w:rPr>
          <w:rFonts w:cs="Calibri"/>
          <w:i/>
          <w:iCs/>
          <w:noProof/>
          <w:sz w:val="20"/>
          <w:szCs w:val="24"/>
        </w:rPr>
        <w:t>Energy Strategy Reviews</w:t>
      </w:r>
      <w:r w:rsidRPr="00B0696A">
        <w:rPr>
          <w:rFonts w:cs="Calibri"/>
          <w:noProof/>
          <w:sz w:val="20"/>
          <w:szCs w:val="24"/>
        </w:rPr>
        <w:t xml:space="preserve">, </w:t>
      </w:r>
      <w:r w:rsidRPr="00B0696A">
        <w:rPr>
          <w:rFonts w:cs="Calibri"/>
          <w:i/>
          <w:iCs/>
          <w:noProof/>
          <w:sz w:val="20"/>
          <w:szCs w:val="24"/>
        </w:rPr>
        <w:t>34</w:t>
      </w:r>
      <w:r w:rsidRPr="00B0696A">
        <w:rPr>
          <w:rFonts w:cs="Calibri"/>
          <w:noProof/>
          <w:sz w:val="20"/>
          <w:szCs w:val="24"/>
        </w:rPr>
        <w:t>(March), 100633. https://doi.org/10.1016/j.esr.2021.100633</w:t>
      </w:r>
    </w:p>
    <w:p w14:paraId="114359DA"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Pavlenko, A. N., Comer, B., Zhou, Y., Clark, N., &amp; Rutherford, D. (2020). </w:t>
      </w:r>
      <w:r w:rsidRPr="00B0696A">
        <w:rPr>
          <w:rFonts w:cs="Calibri"/>
          <w:i/>
          <w:iCs/>
          <w:noProof/>
          <w:sz w:val="20"/>
          <w:szCs w:val="24"/>
        </w:rPr>
        <w:t>The climate implications of using LNG as a marine fuel</w:t>
      </w:r>
      <w:r w:rsidRPr="00B0696A">
        <w:rPr>
          <w:rFonts w:cs="Calibri"/>
          <w:noProof/>
          <w:sz w:val="20"/>
          <w:szCs w:val="24"/>
        </w:rPr>
        <w:t xml:space="preserve">. </w:t>
      </w:r>
      <w:r w:rsidRPr="00B0696A">
        <w:rPr>
          <w:rFonts w:cs="Calibri"/>
          <w:i/>
          <w:iCs/>
          <w:noProof/>
          <w:sz w:val="20"/>
          <w:szCs w:val="24"/>
        </w:rPr>
        <w:t>January</w:t>
      </w:r>
      <w:r w:rsidRPr="00B0696A">
        <w:rPr>
          <w:rFonts w:cs="Calibri"/>
          <w:noProof/>
          <w:sz w:val="20"/>
          <w:szCs w:val="24"/>
        </w:rPr>
        <w:t>.</w:t>
      </w:r>
    </w:p>
    <w:p w14:paraId="5FDAADD3"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Port of Rotterdam. (2021). </w:t>
      </w:r>
      <w:r w:rsidRPr="00B0696A">
        <w:rPr>
          <w:rFonts w:cs="Calibri"/>
          <w:i/>
          <w:iCs/>
          <w:noProof/>
          <w:sz w:val="20"/>
          <w:szCs w:val="24"/>
        </w:rPr>
        <w:t>Port of Rotterdam Bunker Sales</w:t>
      </w:r>
      <w:r w:rsidRPr="00B0696A">
        <w:rPr>
          <w:rFonts w:cs="Calibri"/>
          <w:noProof/>
          <w:sz w:val="20"/>
          <w:szCs w:val="24"/>
        </w:rPr>
        <w:t>. https://www.portofrotterdam.com/sites/default/files/2021-08/bunker-sales-2018-2021.pdf</w:t>
      </w:r>
    </w:p>
    <w:p w14:paraId="634B693E"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Prussi, M., Scarlat, N., Acciaro, M., &amp; Kosmas, V. (2021). Potential and limiting factors in the use of alternative fuels in the European maritime sector. </w:t>
      </w:r>
      <w:r w:rsidRPr="00B0696A">
        <w:rPr>
          <w:rFonts w:cs="Calibri"/>
          <w:i/>
          <w:iCs/>
          <w:noProof/>
          <w:sz w:val="20"/>
          <w:szCs w:val="24"/>
        </w:rPr>
        <w:t>Journal of Cleaner Production</w:t>
      </w:r>
      <w:r w:rsidRPr="00B0696A">
        <w:rPr>
          <w:rFonts w:cs="Calibri"/>
          <w:noProof/>
          <w:sz w:val="20"/>
          <w:szCs w:val="24"/>
        </w:rPr>
        <w:t xml:space="preserve">, </w:t>
      </w:r>
      <w:r w:rsidRPr="00B0696A">
        <w:rPr>
          <w:rFonts w:cs="Calibri"/>
          <w:i/>
          <w:iCs/>
          <w:noProof/>
          <w:sz w:val="20"/>
          <w:szCs w:val="24"/>
        </w:rPr>
        <w:t>291</w:t>
      </w:r>
      <w:r w:rsidRPr="00B0696A">
        <w:rPr>
          <w:rFonts w:cs="Calibri"/>
          <w:noProof/>
          <w:sz w:val="20"/>
          <w:szCs w:val="24"/>
        </w:rPr>
        <w:t>, 125849. https://doi.org/10.1016/j.jclepro.2021.125849</w:t>
      </w:r>
    </w:p>
    <w:p w14:paraId="5F115773"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Schröder, O., Krahl, J., Müller-Langer, F., Schröder, J., &amp; Mattheß, E. (2018). </w:t>
      </w:r>
      <w:r w:rsidRPr="00B0696A">
        <w:rPr>
          <w:rFonts w:cs="Calibri"/>
          <w:i/>
          <w:iCs/>
          <w:noProof/>
          <w:sz w:val="20"/>
          <w:szCs w:val="24"/>
        </w:rPr>
        <w:t>Survey on Advanced Fuels for Advanced Engines Project report Funding by IEA Bioenergy Task 39 Norbert Grope</w:t>
      </w:r>
      <w:r w:rsidRPr="00B0696A">
        <w:rPr>
          <w:rFonts w:cs="Calibri"/>
          <w:noProof/>
          <w:sz w:val="20"/>
          <w:szCs w:val="24"/>
        </w:rPr>
        <w:t xml:space="preserve">. </w:t>
      </w:r>
      <w:r w:rsidRPr="00B0696A">
        <w:rPr>
          <w:rFonts w:cs="Calibri"/>
          <w:i/>
          <w:iCs/>
          <w:noProof/>
          <w:sz w:val="20"/>
          <w:szCs w:val="24"/>
        </w:rPr>
        <w:t>October</w:t>
      </w:r>
      <w:r w:rsidRPr="00B0696A">
        <w:rPr>
          <w:rFonts w:cs="Calibri"/>
          <w:noProof/>
          <w:sz w:val="20"/>
          <w:szCs w:val="24"/>
        </w:rPr>
        <w:t>.</w:t>
      </w:r>
    </w:p>
    <w:p w14:paraId="3754AE25" w14:textId="77777777" w:rsidR="00B0696A" w:rsidRPr="00D27197" w:rsidRDefault="00B0696A" w:rsidP="00B0696A">
      <w:pPr>
        <w:widowControl w:val="0"/>
        <w:autoSpaceDE w:val="0"/>
        <w:autoSpaceDN w:val="0"/>
        <w:adjustRightInd w:val="0"/>
        <w:spacing w:after="160"/>
        <w:ind w:left="480" w:hanging="480"/>
        <w:rPr>
          <w:rFonts w:cs="Calibri"/>
          <w:noProof/>
          <w:sz w:val="20"/>
          <w:szCs w:val="24"/>
          <w:lang w:val="nl-NL"/>
        </w:rPr>
      </w:pPr>
      <w:r w:rsidRPr="00B0696A">
        <w:rPr>
          <w:rFonts w:cs="Calibri"/>
          <w:noProof/>
          <w:sz w:val="20"/>
          <w:szCs w:val="24"/>
        </w:rPr>
        <w:t xml:space="preserve">Sikora, A. (2020). European Green Deal – legal and financial challenges of the climate change. </w:t>
      </w:r>
      <w:r w:rsidRPr="00D27197">
        <w:rPr>
          <w:rFonts w:cs="Calibri"/>
          <w:i/>
          <w:iCs/>
          <w:noProof/>
          <w:sz w:val="20"/>
          <w:szCs w:val="24"/>
          <w:lang w:val="nl-NL"/>
        </w:rPr>
        <w:t>ERA Forum</w:t>
      </w:r>
      <w:r w:rsidRPr="00D27197">
        <w:rPr>
          <w:rFonts w:cs="Calibri"/>
          <w:noProof/>
          <w:sz w:val="20"/>
          <w:szCs w:val="24"/>
          <w:lang w:val="nl-NL"/>
        </w:rPr>
        <w:t>, 681–697. https://doi.org/10.1007/s12027-020-00637-3</w:t>
      </w:r>
    </w:p>
    <w:p w14:paraId="46A99357"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D27197">
        <w:rPr>
          <w:rFonts w:cs="Calibri"/>
          <w:noProof/>
          <w:sz w:val="20"/>
          <w:szCs w:val="24"/>
          <w:lang w:val="nl-NL"/>
        </w:rPr>
        <w:t xml:space="preserve">Stappen, F. Van, Brose, I., &amp; Schenkel, Y. (2011). </w:t>
      </w:r>
      <w:r w:rsidRPr="00B0696A">
        <w:rPr>
          <w:rFonts w:cs="Calibri"/>
          <w:noProof/>
          <w:sz w:val="20"/>
          <w:szCs w:val="24"/>
        </w:rPr>
        <w:t xml:space="preserve">Direct and indirect land use changes issues in European sustainability initiatives : State-of-the-art , open issues and future developments. </w:t>
      </w:r>
      <w:r w:rsidRPr="00B0696A">
        <w:rPr>
          <w:rFonts w:cs="Calibri"/>
          <w:i/>
          <w:iCs/>
          <w:noProof/>
          <w:sz w:val="20"/>
          <w:szCs w:val="24"/>
        </w:rPr>
        <w:t>Biomass and Bioenergy</w:t>
      </w:r>
      <w:r w:rsidRPr="00B0696A">
        <w:rPr>
          <w:rFonts w:cs="Calibri"/>
          <w:noProof/>
          <w:sz w:val="20"/>
          <w:szCs w:val="24"/>
        </w:rPr>
        <w:t xml:space="preserve">, </w:t>
      </w:r>
      <w:r w:rsidRPr="00B0696A">
        <w:rPr>
          <w:rFonts w:cs="Calibri"/>
          <w:i/>
          <w:iCs/>
          <w:noProof/>
          <w:sz w:val="20"/>
          <w:szCs w:val="24"/>
        </w:rPr>
        <w:t>35</w:t>
      </w:r>
      <w:r w:rsidRPr="00B0696A">
        <w:rPr>
          <w:rFonts w:cs="Calibri"/>
          <w:noProof/>
          <w:sz w:val="20"/>
          <w:szCs w:val="24"/>
        </w:rPr>
        <w:t>(12), 4824–4834. https://doi.org/10.1016/j.biombioe.2011.07.015</w:t>
      </w:r>
    </w:p>
    <w:p w14:paraId="72863889"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Tanzer, S. E., Posada, J., Geraedts, S., &amp; Ramírez, A. (2019). Lignocellulosic marine biofuel: Technoeconomic and environmental assessment for production in Brazil and Sweden. </w:t>
      </w:r>
      <w:r w:rsidRPr="00B0696A">
        <w:rPr>
          <w:rFonts w:cs="Calibri"/>
          <w:i/>
          <w:iCs/>
          <w:noProof/>
          <w:sz w:val="20"/>
          <w:szCs w:val="24"/>
        </w:rPr>
        <w:t>Journal of Cleaner Production</w:t>
      </w:r>
      <w:r w:rsidRPr="00B0696A">
        <w:rPr>
          <w:rFonts w:cs="Calibri"/>
          <w:noProof/>
          <w:sz w:val="20"/>
          <w:szCs w:val="24"/>
        </w:rPr>
        <w:t xml:space="preserve">, </w:t>
      </w:r>
      <w:r w:rsidRPr="00B0696A">
        <w:rPr>
          <w:rFonts w:cs="Calibri"/>
          <w:i/>
          <w:iCs/>
          <w:noProof/>
          <w:sz w:val="20"/>
          <w:szCs w:val="24"/>
        </w:rPr>
        <w:t>239</w:t>
      </w:r>
      <w:r w:rsidRPr="00B0696A">
        <w:rPr>
          <w:rFonts w:cs="Calibri"/>
          <w:noProof/>
          <w:sz w:val="20"/>
          <w:szCs w:val="24"/>
        </w:rPr>
        <w:t>, 117845. https://doi.org/10.1016/j.jclepro.2019.117845</w:t>
      </w:r>
    </w:p>
    <w:p w14:paraId="2233C7FF"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The Royal Society. (2019). </w:t>
      </w:r>
      <w:r w:rsidRPr="00B0696A">
        <w:rPr>
          <w:rFonts w:cs="Calibri"/>
          <w:i/>
          <w:iCs/>
          <w:noProof/>
          <w:sz w:val="20"/>
          <w:szCs w:val="24"/>
        </w:rPr>
        <w:t>Sustainable synthetic carbon based fuels for transport</w:t>
      </w:r>
      <w:r w:rsidRPr="00B0696A">
        <w:rPr>
          <w:rFonts w:cs="Calibri"/>
          <w:noProof/>
          <w:sz w:val="20"/>
          <w:szCs w:val="24"/>
        </w:rPr>
        <w:t>. https://royalsociety.org/topics-policy/projects/low-carbon-energy-programme/sustainable-synthetic-carbon-based-fuels-for-transport/</w:t>
      </w:r>
    </w:p>
    <w:p w14:paraId="378C4E97"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t xml:space="preserve">Thomas, R., Hursthouse, A., Mellor, P., Lord, R. A., &amp; Jo, E. (2021). </w:t>
      </w:r>
      <w:r w:rsidRPr="00B0696A">
        <w:rPr>
          <w:rFonts w:cs="Calibri"/>
          <w:i/>
          <w:iCs/>
          <w:noProof/>
          <w:sz w:val="20"/>
          <w:szCs w:val="24"/>
        </w:rPr>
        <w:t>Identifying non-agricultural marginal lands as a route to sustainable bioenergy provision - A review and holistic definition</w:t>
      </w:r>
      <w:r w:rsidRPr="00B0696A">
        <w:rPr>
          <w:rFonts w:cs="Calibri"/>
          <w:noProof/>
          <w:sz w:val="20"/>
          <w:szCs w:val="24"/>
        </w:rPr>
        <w:t xml:space="preserve">. </w:t>
      </w:r>
      <w:r w:rsidRPr="00B0696A">
        <w:rPr>
          <w:rFonts w:cs="Calibri"/>
          <w:i/>
          <w:iCs/>
          <w:noProof/>
          <w:sz w:val="20"/>
          <w:szCs w:val="24"/>
        </w:rPr>
        <w:t>135</w:t>
      </w:r>
      <w:r w:rsidRPr="00B0696A">
        <w:rPr>
          <w:rFonts w:cs="Calibri"/>
          <w:noProof/>
          <w:sz w:val="20"/>
          <w:szCs w:val="24"/>
        </w:rPr>
        <w:t>(August 2020). https://doi.org/10.1016/j.rser.2020.110220</w:t>
      </w:r>
    </w:p>
    <w:p w14:paraId="1CAFBF3D" w14:textId="77777777" w:rsidR="00B0696A" w:rsidRPr="00B0696A" w:rsidRDefault="00B0696A" w:rsidP="00B0696A">
      <w:pPr>
        <w:widowControl w:val="0"/>
        <w:autoSpaceDE w:val="0"/>
        <w:autoSpaceDN w:val="0"/>
        <w:adjustRightInd w:val="0"/>
        <w:spacing w:after="160"/>
        <w:ind w:left="480" w:hanging="480"/>
        <w:rPr>
          <w:rFonts w:cs="Calibri"/>
          <w:noProof/>
          <w:sz w:val="20"/>
          <w:szCs w:val="24"/>
        </w:rPr>
      </w:pPr>
      <w:r w:rsidRPr="00B0696A">
        <w:rPr>
          <w:rFonts w:cs="Calibri"/>
          <w:noProof/>
          <w:sz w:val="20"/>
          <w:szCs w:val="24"/>
        </w:rPr>
        <w:lastRenderedPageBreak/>
        <w:t xml:space="preserve">Uslu, A. (2019). </w:t>
      </w:r>
      <w:r w:rsidRPr="00B0696A">
        <w:rPr>
          <w:rFonts w:cs="Calibri"/>
          <w:i/>
          <w:iCs/>
          <w:noProof/>
          <w:sz w:val="20"/>
          <w:szCs w:val="24"/>
        </w:rPr>
        <w:t>Market analysis</w:t>
      </w:r>
      <w:r w:rsidRPr="00B0696A">
        <w:rPr>
          <w:rFonts w:cs="Calibri"/>
          <w:noProof/>
          <w:sz w:val="20"/>
          <w:szCs w:val="24"/>
        </w:rPr>
        <w:t>.</w:t>
      </w:r>
    </w:p>
    <w:p w14:paraId="1D484C79" w14:textId="77777777" w:rsidR="00B0696A" w:rsidRPr="00B0696A" w:rsidRDefault="00B0696A" w:rsidP="00B0696A">
      <w:pPr>
        <w:widowControl w:val="0"/>
        <w:autoSpaceDE w:val="0"/>
        <w:autoSpaceDN w:val="0"/>
        <w:adjustRightInd w:val="0"/>
        <w:spacing w:after="160"/>
        <w:ind w:left="480" w:hanging="480"/>
        <w:rPr>
          <w:rFonts w:cs="Calibri"/>
          <w:noProof/>
          <w:sz w:val="20"/>
        </w:rPr>
      </w:pPr>
      <w:r w:rsidRPr="00B0696A">
        <w:rPr>
          <w:rFonts w:cs="Calibri"/>
          <w:noProof/>
          <w:sz w:val="20"/>
          <w:szCs w:val="24"/>
        </w:rPr>
        <w:t xml:space="preserve">Yuanrong Zhou, N. P. (2020). The potential of liquid biofuels in reducing ship emissions | International Council on Clean Transportation. </w:t>
      </w:r>
      <w:r w:rsidRPr="00B0696A">
        <w:rPr>
          <w:rFonts w:cs="Calibri"/>
          <w:i/>
          <w:iCs/>
          <w:noProof/>
          <w:sz w:val="20"/>
          <w:szCs w:val="24"/>
        </w:rPr>
        <w:t>International Council on Clean Transportation</w:t>
      </w:r>
      <w:r w:rsidRPr="00B0696A">
        <w:rPr>
          <w:rFonts w:cs="Calibri"/>
          <w:noProof/>
          <w:sz w:val="20"/>
          <w:szCs w:val="24"/>
        </w:rPr>
        <w:t xml:space="preserve">, </w:t>
      </w:r>
      <w:r w:rsidRPr="00B0696A">
        <w:rPr>
          <w:rFonts w:cs="Calibri"/>
          <w:i/>
          <w:iCs/>
          <w:noProof/>
          <w:sz w:val="20"/>
          <w:szCs w:val="24"/>
        </w:rPr>
        <w:t>September</w:t>
      </w:r>
      <w:r w:rsidRPr="00B0696A">
        <w:rPr>
          <w:rFonts w:cs="Calibri"/>
          <w:noProof/>
          <w:sz w:val="20"/>
          <w:szCs w:val="24"/>
        </w:rPr>
        <w:t>. https://theicct.org/publications/marine-biofuels-sept2020</w:t>
      </w:r>
    </w:p>
    <w:p w14:paraId="226F4942" w14:textId="18477A88" w:rsidR="00032649" w:rsidRPr="0045629F" w:rsidRDefault="003B4A74">
      <w:pPr>
        <w:spacing w:after="160" w:line="259" w:lineRule="auto"/>
        <w:jc w:val="left"/>
        <w:rPr>
          <w:lang w:val="en-GB"/>
        </w:rPr>
      </w:pPr>
      <w:r>
        <w:rPr>
          <w:lang w:val="en-GB"/>
        </w:rPr>
        <w:fldChar w:fldCharType="end"/>
      </w:r>
      <w:r w:rsidR="00032649" w:rsidRPr="0045629F">
        <w:rPr>
          <w:lang w:val="en-GB"/>
        </w:rPr>
        <w:br w:type="page"/>
      </w:r>
    </w:p>
    <w:p w14:paraId="225A406C" w14:textId="6F18F94F" w:rsidR="00032649" w:rsidRPr="0045629F" w:rsidRDefault="004C14E2" w:rsidP="005D6854">
      <w:pPr>
        <w:pStyle w:val="Heading1"/>
        <w:numPr>
          <w:ilvl w:val="0"/>
          <w:numId w:val="0"/>
        </w:numPr>
      </w:pPr>
      <w:bookmarkStart w:id="47" w:name="_Toc84019466"/>
      <w:r w:rsidRPr="0045629F">
        <w:lastRenderedPageBreak/>
        <w:t>Acknowledgement</w:t>
      </w:r>
      <w:bookmarkEnd w:id="47"/>
    </w:p>
    <w:p w14:paraId="7B6621BC" w14:textId="7927F951" w:rsidR="004C14E2" w:rsidRPr="0034036F" w:rsidRDefault="004C14E2" w:rsidP="00EC0977">
      <w:pPr>
        <w:spacing w:before="240" w:after="240" w:line="276" w:lineRule="auto"/>
        <w:rPr>
          <w:sz w:val="22"/>
          <w:szCs w:val="22"/>
          <w:lang w:val="en-GB"/>
        </w:rPr>
      </w:pPr>
      <w:r w:rsidRPr="0034036F">
        <w:rPr>
          <w:sz w:val="22"/>
          <w:szCs w:val="22"/>
          <w:lang w:val="en-GB"/>
        </w:rPr>
        <w:t xml:space="preserve">The author(s) would like to thank the partners in the project for their valuable comments on previous drafts and for performing the review. </w:t>
      </w:r>
    </w:p>
    <w:p w14:paraId="43DDB77B" w14:textId="1FE79428" w:rsidR="004C14E2" w:rsidRDefault="004C14E2" w:rsidP="004C14E2">
      <w:pPr>
        <w:rPr>
          <w:b/>
          <w:szCs w:val="22"/>
          <w:lang w:val="en-GB"/>
        </w:rPr>
      </w:pPr>
      <w:r w:rsidRPr="0045629F">
        <w:rPr>
          <w:b/>
          <w:szCs w:val="22"/>
          <w:lang w:val="en-GB"/>
        </w:rPr>
        <w:t>Project partners:</w:t>
      </w:r>
    </w:p>
    <w:p w14:paraId="2BD4B0A4" w14:textId="77777777" w:rsidR="004C14E2" w:rsidRPr="0045629F" w:rsidRDefault="004C14E2" w:rsidP="004C14E2">
      <w:pPr>
        <w:rPr>
          <w:lang w:val="en-GB"/>
        </w:rPr>
      </w:pPr>
    </w:p>
    <w:tbl>
      <w:tblPr>
        <w:tblStyle w:val="GridTable1Light"/>
        <w:tblW w:w="9067" w:type="dxa"/>
        <w:tblLook w:val="06A0" w:firstRow="1" w:lastRow="0" w:firstColumn="1" w:lastColumn="0" w:noHBand="1" w:noVBand="1"/>
      </w:tblPr>
      <w:tblGrid>
        <w:gridCol w:w="705"/>
        <w:gridCol w:w="991"/>
        <w:gridCol w:w="7371"/>
      </w:tblGrid>
      <w:tr w:rsidR="00645867" w14:paraId="02A32ACD" w14:textId="77777777" w:rsidTr="5937A937">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hideMark/>
          </w:tcPr>
          <w:p w14:paraId="50F230BF" w14:textId="77777777" w:rsidR="00645867" w:rsidRDefault="00645867">
            <w:pPr>
              <w:jc w:val="left"/>
              <w:rPr>
                <w:b w:val="0"/>
                <w:bCs w:val="0"/>
                <w:color w:val="FFFFFF" w:themeColor="background1"/>
                <w:sz w:val="20"/>
                <w:lang w:val="en-GB"/>
              </w:rPr>
            </w:pPr>
            <w:r>
              <w:rPr>
                <w:color w:val="FFFFFF" w:themeColor="background1"/>
                <w:sz w:val="20"/>
                <w:lang w:val="en-GB"/>
              </w:rPr>
              <w:t>#</w:t>
            </w:r>
          </w:p>
        </w:tc>
        <w:tc>
          <w:tcPr>
            <w:tcW w:w="991"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hideMark/>
          </w:tcPr>
          <w:p w14:paraId="7644FFA0" w14:textId="77777777" w:rsidR="00645867" w:rsidRDefault="00645867">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Partner short name</w:t>
            </w:r>
          </w:p>
        </w:tc>
        <w:tc>
          <w:tcPr>
            <w:tcW w:w="7371" w:type="dxa"/>
            <w:tcBorders>
              <w:top w:val="single" w:sz="4" w:space="0" w:color="002244" w:themeColor="accent1"/>
              <w:left w:val="single" w:sz="4" w:space="0" w:color="002244" w:themeColor="accent1"/>
              <w:bottom w:val="single" w:sz="12" w:space="0" w:color="002244" w:themeColor="accent1"/>
              <w:right w:val="single" w:sz="4" w:space="0" w:color="002244" w:themeColor="accent1"/>
            </w:tcBorders>
            <w:shd w:val="clear" w:color="auto" w:fill="0075B0" w:themeFill="accent6"/>
            <w:hideMark/>
          </w:tcPr>
          <w:p w14:paraId="500FA113" w14:textId="77777777" w:rsidR="00645867" w:rsidRDefault="00645867">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Partner Full Name</w:t>
            </w:r>
          </w:p>
        </w:tc>
      </w:tr>
      <w:tr w:rsidR="00645867" w14:paraId="647EACC2" w14:textId="77777777" w:rsidTr="5937A937">
        <w:trPr>
          <w:trHeight w:val="308"/>
        </w:trPr>
        <w:tc>
          <w:tcPr>
            <w:cnfStyle w:val="001000000000" w:firstRow="0" w:lastRow="0" w:firstColumn="1" w:lastColumn="0" w:oddVBand="0" w:evenVBand="0" w:oddHBand="0" w:evenHBand="0" w:firstRowFirstColumn="0" w:firstRowLastColumn="0" w:lastRowFirstColumn="0" w:lastRowLastColumn="0"/>
            <w:tcW w:w="705" w:type="dxa"/>
            <w:tcBorders>
              <w:top w:val="single" w:sz="12" w:space="0" w:color="002244" w:themeColor="accent1"/>
              <w:left w:val="single" w:sz="4" w:space="0" w:color="002244" w:themeColor="accent1"/>
              <w:bottom w:val="single" w:sz="4" w:space="0" w:color="002244" w:themeColor="accent1"/>
              <w:right w:val="single" w:sz="4" w:space="0" w:color="002244" w:themeColor="accent1"/>
            </w:tcBorders>
            <w:hideMark/>
          </w:tcPr>
          <w:p w14:paraId="48ADA63B" w14:textId="77777777" w:rsidR="00645867" w:rsidRDefault="00645867">
            <w:pPr>
              <w:rPr>
                <w:sz w:val="20"/>
                <w:lang w:val="en-GB"/>
              </w:rPr>
            </w:pPr>
            <w:r>
              <w:rPr>
                <w:sz w:val="20"/>
                <w:lang w:val="en-GB" w:eastAsia="en-GB"/>
              </w:rPr>
              <w:t>1</w:t>
            </w:r>
          </w:p>
        </w:tc>
        <w:tc>
          <w:tcPr>
            <w:tcW w:w="991" w:type="dxa"/>
            <w:tcBorders>
              <w:top w:val="single" w:sz="12" w:space="0" w:color="002244" w:themeColor="accent1"/>
              <w:left w:val="single" w:sz="4" w:space="0" w:color="002244" w:themeColor="accent1"/>
              <w:bottom w:val="single" w:sz="4" w:space="0" w:color="002244" w:themeColor="accent1"/>
              <w:right w:val="single" w:sz="4" w:space="0" w:color="002244" w:themeColor="accent1"/>
            </w:tcBorders>
            <w:hideMark/>
          </w:tcPr>
          <w:p w14:paraId="48CF024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TUE</w:t>
            </w:r>
          </w:p>
        </w:tc>
        <w:tc>
          <w:tcPr>
            <w:tcW w:w="7371" w:type="dxa"/>
            <w:tcBorders>
              <w:top w:val="single" w:sz="12" w:space="0" w:color="002244" w:themeColor="accent1"/>
              <w:left w:val="single" w:sz="4" w:space="0" w:color="002244" w:themeColor="accent1"/>
              <w:bottom w:val="single" w:sz="4" w:space="0" w:color="002244" w:themeColor="accent1"/>
              <w:right w:val="single" w:sz="4" w:space="0" w:color="002244" w:themeColor="accent1"/>
            </w:tcBorders>
            <w:hideMark/>
          </w:tcPr>
          <w:p w14:paraId="489703EE"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proofErr w:type="spellStart"/>
            <w:r>
              <w:rPr>
                <w:color w:val="auto"/>
                <w:sz w:val="20"/>
                <w:lang w:val="en-GB"/>
              </w:rPr>
              <w:t>Technische</w:t>
            </w:r>
            <w:proofErr w:type="spellEnd"/>
            <w:r>
              <w:rPr>
                <w:color w:val="auto"/>
                <w:sz w:val="20"/>
                <w:lang w:val="en-GB"/>
              </w:rPr>
              <w:t> Universiteit Eindhoven</w:t>
            </w:r>
          </w:p>
        </w:tc>
      </w:tr>
      <w:tr w:rsidR="00645867" w14:paraId="6CB1189C"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9D9D9D"/>
              <w:right w:val="single" w:sz="4" w:space="0" w:color="002244" w:themeColor="accent1"/>
            </w:tcBorders>
            <w:hideMark/>
          </w:tcPr>
          <w:p w14:paraId="6AB66C82" w14:textId="77777777" w:rsidR="00645867" w:rsidRDefault="00645867">
            <w:pPr>
              <w:rPr>
                <w:sz w:val="20"/>
                <w:lang w:val="en-GB"/>
              </w:rPr>
            </w:pPr>
            <w:r>
              <w:rPr>
                <w:sz w:val="20"/>
                <w:lang w:val="en-GB" w:eastAsia="en-GB"/>
              </w:rPr>
              <w:t>2</w:t>
            </w:r>
          </w:p>
        </w:tc>
        <w:tc>
          <w:tcPr>
            <w:tcW w:w="991" w:type="dxa"/>
            <w:tcBorders>
              <w:top w:val="single" w:sz="4" w:space="0" w:color="002244" w:themeColor="accent1"/>
              <w:left w:val="single" w:sz="4" w:space="0" w:color="002244" w:themeColor="accent1"/>
              <w:bottom w:val="single" w:sz="4" w:space="0" w:color="9D9D9D"/>
              <w:right w:val="single" w:sz="4" w:space="0" w:color="002244" w:themeColor="accent1"/>
            </w:tcBorders>
            <w:hideMark/>
          </w:tcPr>
          <w:p w14:paraId="736DB5DA"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VERT</w:t>
            </w:r>
          </w:p>
        </w:tc>
        <w:tc>
          <w:tcPr>
            <w:tcW w:w="7371" w:type="dxa"/>
            <w:tcBorders>
              <w:top w:val="single" w:sz="4" w:space="0" w:color="002244" w:themeColor="accent1"/>
              <w:left w:val="single" w:sz="4" w:space="0" w:color="002244" w:themeColor="accent1"/>
              <w:bottom w:val="single" w:sz="4" w:space="0" w:color="9D9D9D"/>
              <w:right w:val="single" w:sz="4" w:space="0" w:color="002244" w:themeColor="accent1"/>
            </w:tcBorders>
            <w:hideMark/>
          </w:tcPr>
          <w:p w14:paraId="52E66B59"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proofErr w:type="spellStart"/>
            <w:r>
              <w:rPr>
                <w:color w:val="auto"/>
                <w:sz w:val="20"/>
                <w:lang w:val="en-GB"/>
              </w:rPr>
              <w:t>Vertoro</w:t>
            </w:r>
            <w:proofErr w:type="spellEnd"/>
            <w:r>
              <w:rPr>
                <w:color w:val="auto"/>
                <w:sz w:val="20"/>
                <w:lang w:val="en-GB"/>
              </w:rPr>
              <w:t> BV</w:t>
            </w:r>
          </w:p>
        </w:tc>
      </w:tr>
      <w:tr w:rsidR="00645867" w14:paraId="78A6661C"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10A0C5C" w14:textId="77777777" w:rsidR="00645867" w:rsidRDefault="00645867">
            <w:pPr>
              <w:rPr>
                <w:sz w:val="20"/>
                <w:lang w:val="en-GB"/>
              </w:rPr>
            </w:pPr>
            <w:r>
              <w:rPr>
                <w:sz w:val="20"/>
                <w:lang w:val="en-GB" w:eastAsia="en-GB"/>
              </w:rPr>
              <w:t>3</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98910A5"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T4F</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A506101"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Tec4Fuels</w:t>
            </w:r>
          </w:p>
        </w:tc>
      </w:tr>
      <w:tr w:rsidR="00645867" w14:paraId="37CA43B8"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2A83F07" w14:textId="77777777" w:rsidR="00645867" w:rsidRDefault="00645867">
            <w:pPr>
              <w:rPr>
                <w:sz w:val="20"/>
                <w:lang w:val="en-GB"/>
              </w:rPr>
            </w:pPr>
            <w:r>
              <w:rPr>
                <w:sz w:val="20"/>
                <w:lang w:val="en-GB" w:eastAsia="en-GB"/>
              </w:rPr>
              <w:t>4</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B86B6F4"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BLOOM</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A25661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 xml:space="preserve">Bloom </w:t>
            </w:r>
            <w:proofErr w:type="spellStart"/>
            <w:r>
              <w:rPr>
                <w:rFonts w:cs="Calibri"/>
                <w:color w:val="auto"/>
                <w:sz w:val="20"/>
                <w:lang w:val="en-GB"/>
              </w:rPr>
              <w:t>Biorenewables</w:t>
            </w:r>
            <w:proofErr w:type="spellEnd"/>
            <w:r>
              <w:rPr>
                <w:rFonts w:cs="Calibri"/>
                <w:color w:val="auto"/>
                <w:sz w:val="20"/>
                <w:lang w:val="en-GB"/>
              </w:rPr>
              <w:t xml:space="preserve"> Ltd</w:t>
            </w:r>
          </w:p>
        </w:tc>
      </w:tr>
      <w:tr w:rsidR="00645867" w14:paraId="6195ACD1"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594A8A2" w14:textId="77777777" w:rsidR="00645867" w:rsidRDefault="00645867">
            <w:pPr>
              <w:rPr>
                <w:sz w:val="20"/>
                <w:lang w:val="en-GB"/>
              </w:rPr>
            </w:pPr>
            <w:r>
              <w:rPr>
                <w:sz w:val="20"/>
                <w:lang w:val="en-GB"/>
              </w:rPr>
              <w:t>5</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131630F0"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UNR</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56011BF"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proofErr w:type="spellStart"/>
            <w:r>
              <w:rPr>
                <w:rFonts w:cs="Calibri"/>
                <w:color w:val="auto"/>
                <w:sz w:val="20"/>
                <w:lang w:val="en-GB"/>
              </w:rPr>
              <w:t>Uniresearch</w:t>
            </w:r>
            <w:proofErr w:type="spellEnd"/>
            <w:r>
              <w:rPr>
                <w:rFonts w:cs="Calibri"/>
                <w:color w:val="auto"/>
                <w:sz w:val="20"/>
                <w:lang w:val="en-GB"/>
              </w:rPr>
              <w:t xml:space="preserve"> B.V.</w:t>
            </w:r>
          </w:p>
        </w:tc>
      </w:tr>
      <w:tr w:rsidR="00645867" w14:paraId="1CEC6286"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4613C55D" w14:textId="77777777" w:rsidR="00645867" w:rsidRDefault="00645867">
            <w:pPr>
              <w:rPr>
                <w:sz w:val="20"/>
                <w:lang w:val="en-GB"/>
              </w:rPr>
            </w:pPr>
            <w:r>
              <w:rPr>
                <w:sz w:val="20"/>
                <w:lang w:val="en-GB"/>
              </w:rPr>
              <w:t>6</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F8748CA"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proofErr w:type="spellStart"/>
            <w:r>
              <w:rPr>
                <w:rFonts w:cs="Calibri"/>
                <w:color w:val="auto"/>
                <w:sz w:val="20"/>
                <w:lang w:val="en-GB"/>
              </w:rPr>
              <w:t>WinGD</w:t>
            </w:r>
            <w:proofErr w:type="spellEnd"/>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04005C95"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Winterthur Gas &amp; Diesel AG</w:t>
            </w:r>
          </w:p>
        </w:tc>
      </w:tr>
      <w:tr w:rsidR="00645867" w14:paraId="41823D1C"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38C7078" w14:textId="77777777" w:rsidR="00645867" w:rsidRDefault="00645867">
            <w:pPr>
              <w:rPr>
                <w:sz w:val="20"/>
                <w:lang w:val="en-GB"/>
              </w:rPr>
            </w:pPr>
            <w:r>
              <w:rPr>
                <w:sz w:val="20"/>
                <w:lang w:val="en-GB"/>
              </w:rPr>
              <w:t>7</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tcPr>
          <w:p w14:paraId="2DC37181"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DE6276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 xml:space="preserve"> (Formerly </w:t>
            </w:r>
            <w:proofErr w:type="spellStart"/>
            <w:r>
              <w:rPr>
                <w:color w:val="auto"/>
                <w:sz w:val="20"/>
                <w:lang w:val="en-GB"/>
              </w:rPr>
              <w:t>SeaNRG</w:t>
            </w:r>
            <w:proofErr w:type="spellEnd"/>
            <w:r>
              <w:rPr>
                <w:color w:val="auto"/>
                <w:sz w:val="20"/>
                <w:lang w:val="en-GB"/>
              </w:rPr>
              <w:t>, is now GOODFUELS #12)</w:t>
            </w:r>
          </w:p>
        </w:tc>
      </w:tr>
      <w:tr w:rsidR="00645867" w14:paraId="637096FF"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C6F38D5" w14:textId="77777777" w:rsidR="00645867" w:rsidRDefault="00645867">
            <w:pPr>
              <w:rPr>
                <w:sz w:val="20"/>
                <w:lang w:val="en-GB"/>
              </w:rPr>
            </w:pPr>
            <w:r>
              <w:rPr>
                <w:sz w:val="20"/>
                <w:lang w:val="en-GB"/>
              </w:rPr>
              <w:t>8</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11E41F2B"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TKMS</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78C7BA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Thyssenkrupp Marine Systems GMBH</w:t>
            </w:r>
          </w:p>
        </w:tc>
      </w:tr>
      <w:tr w:rsidR="00645867" w14:paraId="145CF6AD"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715DB30A" w14:textId="77777777" w:rsidR="00645867" w:rsidRDefault="00645867">
            <w:pPr>
              <w:rPr>
                <w:sz w:val="20"/>
                <w:lang w:val="en-GB"/>
              </w:rPr>
            </w:pPr>
            <w:r>
              <w:rPr>
                <w:sz w:val="20"/>
                <w:lang w:val="en-GB"/>
              </w:rPr>
              <w:t>9</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2AA70E2"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rPr>
              <w:t>OWI</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4FB95775"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color w:val="auto"/>
                <w:sz w:val="20"/>
                <w:lang w:val="en-GB"/>
              </w:rPr>
              <w:t>OWI – Science for Fuels </w:t>
            </w:r>
            <w:proofErr w:type="spellStart"/>
            <w:r>
              <w:rPr>
                <w:color w:val="auto"/>
                <w:sz w:val="20"/>
                <w:lang w:val="en-GB"/>
              </w:rPr>
              <w:t>gGmbH</w:t>
            </w:r>
            <w:proofErr w:type="spellEnd"/>
          </w:p>
        </w:tc>
      </w:tr>
      <w:tr w:rsidR="00645867" w:rsidRPr="007D4A4F" w14:paraId="7342ABB3"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4D701626" w14:textId="77777777" w:rsidR="00645867" w:rsidRDefault="00645867">
            <w:pPr>
              <w:rPr>
                <w:sz w:val="20"/>
                <w:lang w:val="en-GB" w:eastAsia="en-GB"/>
              </w:rPr>
            </w:pPr>
            <w:r>
              <w:rPr>
                <w:sz w:val="20"/>
                <w:lang w:val="en-GB" w:eastAsia="en-GB"/>
              </w:rPr>
              <w:t>10</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00E9EB2"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rPr>
            </w:pPr>
            <w:r>
              <w:rPr>
                <w:rFonts w:cs="Calibri"/>
                <w:color w:val="auto"/>
                <w:sz w:val="20"/>
                <w:lang w:val="en-GB" w:eastAsia="en-GB"/>
              </w:rPr>
              <w:t>CSIC</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BEB0C46" w14:textId="11CB7D77" w:rsidR="00645867" w:rsidRPr="002D131D" w:rsidRDefault="00645867">
            <w:pPr>
              <w:cnfStyle w:val="000000000000" w:firstRow="0" w:lastRow="0" w:firstColumn="0" w:lastColumn="0" w:oddVBand="0" w:evenVBand="0" w:oddHBand="0" w:evenHBand="0" w:firstRowFirstColumn="0" w:firstRowLastColumn="0" w:lastRowFirstColumn="0" w:lastRowLastColumn="0"/>
              <w:rPr>
                <w:sz w:val="20"/>
                <w:lang w:val="es-ES"/>
              </w:rPr>
            </w:pPr>
            <w:r w:rsidRPr="002D131D">
              <w:rPr>
                <w:color w:val="auto"/>
                <w:sz w:val="20"/>
                <w:lang w:val="es-ES"/>
              </w:rPr>
              <w:t>Consejo Superior De Investigaciones </w:t>
            </w:r>
            <w:r w:rsidR="002D131D" w:rsidRPr="002D131D">
              <w:rPr>
                <w:color w:val="auto"/>
                <w:sz w:val="20"/>
                <w:lang w:val="es-ES"/>
              </w:rPr>
              <w:t>Científicas</w:t>
            </w:r>
          </w:p>
        </w:tc>
      </w:tr>
      <w:tr w:rsidR="00645867" w14:paraId="63DADEA6"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FC1DCCC" w14:textId="77777777" w:rsidR="00645867" w:rsidRDefault="00645867">
            <w:pPr>
              <w:rPr>
                <w:sz w:val="20"/>
                <w:lang w:val="en-GB" w:eastAsia="en-GB"/>
              </w:rPr>
            </w:pPr>
            <w:r>
              <w:rPr>
                <w:sz w:val="20"/>
                <w:lang w:val="en-GB" w:eastAsia="en-GB"/>
              </w:rPr>
              <w:t>11</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2B40782B"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eastAsia="en-GB"/>
              </w:rPr>
            </w:pPr>
            <w:r>
              <w:rPr>
                <w:rFonts w:eastAsiaTheme="minorHAnsi" w:cs="Calibri"/>
                <w:color w:val="auto"/>
                <w:sz w:val="20"/>
                <w:lang w:val="nl-NL"/>
              </w:rPr>
              <w:t>VARO</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634EDF56" w14:textId="77777777" w:rsidR="00645867" w:rsidRDefault="00645867">
            <w:pPr>
              <w:cnfStyle w:val="000000000000" w:firstRow="0" w:lastRow="0" w:firstColumn="0" w:lastColumn="0" w:oddVBand="0" w:evenVBand="0" w:oddHBand="0" w:evenHBand="0" w:firstRowFirstColumn="0" w:firstRowLastColumn="0" w:lastRowFirstColumn="0" w:lastRowLastColumn="0"/>
              <w:rPr>
                <w:sz w:val="20"/>
                <w:lang w:val="en-GB" w:eastAsia="en-GB"/>
              </w:rPr>
            </w:pPr>
            <w:r>
              <w:rPr>
                <w:color w:val="auto"/>
                <w:sz w:val="20"/>
                <w:lang w:val="en-GB"/>
              </w:rPr>
              <w:t>Varo Energy Netherlands BV</w:t>
            </w:r>
          </w:p>
        </w:tc>
      </w:tr>
      <w:tr w:rsidR="00645867" w14:paraId="3EAAD165" w14:textId="77777777" w:rsidTr="5937A937">
        <w:trPr>
          <w:trHeight w:val="289"/>
        </w:trPr>
        <w:tc>
          <w:tcPr>
            <w:cnfStyle w:val="001000000000" w:firstRow="0" w:lastRow="0" w:firstColumn="1" w:lastColumn="0" w:oddVBand="0" w:evenVBand="0" w:oddHBand="0" w:evenHBand="0" w:firstRowFirstColumn="0" w:firstRowLastColumn="0" w:lastRowFirstColumn="0" w:lastRowLastColumn="0"/>
            <w:tcW w:w="705"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5E9C8289" w14:textId="77777777" w:rsidR="00645867" w:rsidRDefault="00645867">
            <w:pPr>
              <w:rPr>
                <w:sz w:val="20"/>
                <w:lang w:val="en-GB" w:eastAsia="en-GB"/>
              </w:rPr>
            </w:pPr>
            <w:r>
              <w:rPr>
                <w:sz w:val="20"/>
                <w:lang w:val="en-GB" w:eastAsia="en-GB"/>
              </w:rPr>
              <w:t>12</w:t>
            </w:r>
          </w:p>
        </w:tc>
        <w:tc>
          <w:tcPr>
            <w:tcW w:w="99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548A1C1" w14:textId="77777777" w:rsidR="00645867" w:rsidRDefault="00645867">
            <w:pPr>
              <w:cnfStyle w:val="000000000000" w:firstRow="0" w:lastRow="0" w:firstColumn="0" w:lastColumn="0" w:oddVBand="0" w:evenVBand="0" w:oddHBand="0" w:evenHBand="0" w:firstRowFirstColumn="0" w:firstRowLastColumn="0" w:lastRowFirstColumn="0" w:lastRowLastColumn="0"/>
              <w:rPr>
                <w:rFonts w:eastAsiaTheme="minorHAnsi" w:cs="Calibri"/>
                <w:color w:val="auto"/>
                <w:sz w:val="20"/>
                <w:lang w:val="nl-NL"/>
              </w:rPr>
            </w:pPr>
            <w:r>
              <w:rPr>
                <w:rFonts w:eastAsiaTheme="minorHAnsi" w:cs="Calibri"/>
                <w:color w:val="auto"/>
                <w:sz w:val="20"/>
                <w:lang w:val="nl-NL"/>
              </w:rPr>
              <w:t>GOOD</w:t>
            </w:r>
          </w:p>
        </w:tc>
        <w:tc>
          <w:tcPr>
            <w:tcW w:w="7371" w:type="dxa"/>
            <w:tcBorders>
              <w:top w:val="single" w:sz="4" w:space="0" w:color="002244" w:themeColor="accent1"/>
              <w:left w:val="single" w:sz="4" w:space="0" w:color="002244" w:themeColor="accent1"/>
              <w:bottom w:val="single" w:sz="4" w:space="0" w:color="002244" w:themeColor="accent1"/>
              <w:right w:val="single" w:sz="4" w:space="0" w:color="002244" w:themeColor="accent1"/>
            </w:tcBorders>
            <w:hideMark/>
          </w:tcPr>
          <w:p w14:paraId="3E7236BD"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auto"/>
                <w:sz w:val="20"/>
                <w:lang w:val="en-GB"/>
              </w:rPr>
            </w:pPr>
            <w:r>
              <w:rPr>
                <w:color w:val="auto"/>
                <w:sz w:val="20"/>
                <w:lang w:val="en-GB"/>
              </w:rPr>
              <w:t>GoodFuels B.V.</w:t>
            </w:r>
          </w:p>
        </w:tc>
      </w:tr>
    </w:tbl>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proofErr w:type="spellStart"/>
            <w:r w:rsidRPr="00D36423">
              <w:rPr>
                <w:i/>
                <w:iCs/>
                <w:color w:val="303030" w:themeColor="text1" w:themeTint="D9"/>
              </w:rPr>
              <w:t>programme</w:t>
            </w:r>
            <w:proofErr w:type="spellEnd"/>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5D6854">
      <w:pPr>
        <w:pStyle w:val="Heading1"/>
        <w:numPr>
          <w:ilvl w:val="0"/>
          <w:numId w:val="0"/>
        </w:numPr>
      </w:pPr>
      <w:bookmarkStart w:id="48" w:name="_Toc84019467"/>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48"/>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1A31ECC8" w:rsidR="0034036F" w:rsidRPr="0045629F" w:rsidRDefault="00EB27F1"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 xml:space="preserve">Project </w:t>
            </w:r>
            <w:r w:rsidR="0034036F" w:rsidRPr="0045629F">
              <w:rPr>
                <w:color w:val="FFFFFF" w:themeColor="background1"/>
                <w:sz w:val="20"/>
                <w:lang w:val="en-GB"/>
              </w:rPr>
              <w:t>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BA0BDC">
            <w:pPr>
              <w:pStyle w:val="ListParagraph"/>
              <w:numPr>
                <w:ilvl w:val="0"/>
                <w:numId w:val="7"/>
              </w:numPr>
              <w:jc w:val="left"/>
              <w:rPr>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BA0BDC">
            <w:pPr>
              <w:pStyle w:val="ListParagraph"/>
              <w:widowControl w:val="0"/>
              <w:numPr>
                <w:ilvl w:val="0"/>
                <w:numId w:val="7"/>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BA0BDC">
            <w:pPr>
              <w:pStyle w:val="ListParagraph"/>
              <w:widowControl w:val="0"/>
              <w:numPr>
                <w:ilvl w:val="0"/>
                <w:numId w:val="9"/>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BA0BDC">
            <w:pPr>
              <w:pStyle w:val="ListParagraph"/>
              <w:widowControl w:val="0"/>
              <w:numPr>
                <w:ilvl w:val="0"/>
                <w:numId w:val="9"/>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BA0BDC">
            <w:pPr>
              <w:pStyle w:val="ListParagraph"/>
              <w:widowControl w:val="0"/>
              <w:numPr>
                <w:ilvl w:val="0"/>
                <w:numId w:val="7"/>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 xml:space="preserve">eliverable correspond to the </w:t>
            </w:r>
            <w:proofErr w:type="spellStart"/>
            <w:r w:rsidRPr="00703F63">
              <w:rPr>
                <w:color w:val="auto"/>
                <w:sz w:val="20"/>
                <w:lang w:val="en-GB"/>
              </w:rPr>
              <w:t>DoA</w:t>
            </w:r>
            <w:proofErr w:type="spellEnd"/>
            <w:r w:rsidRPr="00703F63">
              <w:rPr>
                <w:color w:val="auto"/>
                <w:sz w:val="20"/>
                <w:lang w:val="en-GB"/>
              </w:rPr>
              <w:t>?</w:t>
            </w:r>
          </w:p>
          <w:p w14:paraId="2FD0C8B7" w14:textId="4EF6DE1F" w:rsidR="0034036F" w:rsidRPr="00460032" w:rsidRDefault="0034036F" w:rsidP="00BA0BDC">
            <w:pPr>
              <w:pStyle w:val="ListParagraph"/>
              <w:widowControl w:val="0"/>
              <w:numPr>
                <w:ilvl w:val="0"/>
                <w:numId w:val="9"/>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BA0BDC">
            <w:pPr>
              <w:pStyle w:val="ListParagraph"/>
              <w:widowControl w:val="0"/>
              <w:numPr>
                <w:ilvl w:val="0"/>
                <w:numId w:val="7"/>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BA0BDC">
            <w:pPr>
              <w:pStyle w:val="ListParagraph"/>
              <w:widowControl w:val="0"/>
              <w:numPr>
                <w:ilvl w:val="0"/>
                <w:numId w:val="9"/>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BA0BDC">
            <w:pPr>
              <w:pStyle w:val="ListParagraph"/>
              <w:widowControl w:val="0"/>
              <w:numPr>
                <w:ilvl w:val="0"/>
                <w:numId w:val="9"/>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BA0BDC">
            <w:pPr>
              <w:pStyle w:val="ListParagraph"/>
              <w:widowControl w:val="0"/>
              <w:numPr>
                <w:ilvl w:val="0"/>
                <w:numId w:val="7"/>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BA0BDC">
            <w:pPr>
              <w:pStyle w:val="ListParagraph"/>
              <w:widowControl w:val="0"/>
              <w:numPr>
                <w:ilvl w:val="0"/>
                <w:numId w:val="9"/>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BA0BDC">
            <w:pPr>
              <w:pStyle w:val="ListParagraph"/>
              <w:widowControl w:val="0"/>
              <w:numPr>
                <w:ilvl w:val="0"/>
                <w:numId w:val="9"/>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BA0BDC">
            <w:pPr>
              <w:pStyle w:val="ListParagraph"/>
              <w:widowControl w:val="0"/>
              <w:numPr>
                <w:ilvl w:val="0"/>
                <w:numId w:val="9"/>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BA0BDC">
            <w:pPr>
              <w:pStyle w:val="ListParagraph"/>
              <w:widowControl w:val="0"/>
              <w:numPr>
                <w:ilvl w:val="0"/>
                <w:numId w:val="7"/>
              </w:numPr>
              <w:autoSpaceDE w:val="0"/>
              <w:autoSpaceDN w:val="0"/>
              <w:spacing w:before="120" w:after="120"/>
              <w:mirrorIndents/>
              <w:jc w:val="left"/>
              <w:rPr>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BA0BDC">
            <w:pPr>
              <w:pStyle w:val="ListParagraph"/>
              <w:numPr>
                <w:ilvl w:val="0"/>
                <w:numId w:val="7"/>
              </w:numPr>
              <w:jc w:val="left"/>
              <w:rPr>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BA0BDC">
            <w:pPr>
              <w:pStyle w:val="ListParagraph"/>
              <w:widowControl w:val="0"/>
              <w:numPr>
                <w:ilvl w:val="0"/>
                <w:numId w:val="7"/>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BA0BDC">
            <w:pPr>
              <w:pStyle w:val="ListParagraph"/>
              <w:widowControl w:val="0"/>
              <w:numPr>
                <w:ilvl w:val="0"/>
                <w:numId w:val="10"/>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BA0BDC">
            <w:pPr>
              <w:pStyle w:val="ListParagraph"/>
              <w:widowControl w:val="0"/>
              <w:numPr>
                <w:ilvl w:val="0"/>
                <w:numId w:val="10"/>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BA0BDC">
            <w:pPr>
              <w:pStyle w:val="ListParagraph"/>
              <w:widowControl w:val="0"/>
              <w:numPr>
                <w:ilvl w:val="0"/>
                <w:numId w:val="10"/>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BA0BDC">
            <w:pPr>
              <w:pStyle w:val="ListParagraph"/>
              <w:widowControl w:val="0"/>
              <w:numPr>
                <w:ilvl w:val="0"/>
                <w:numId w:val="10"/>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095ECB">
      <w:pgSz w:w="11906" w:h="16838"/>
      <w:pgMar w:top="1418" w:right="1134" w:bottom="1418"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231E7" w14:textId="77777777" w:rsidR="00A92754" w:rsidRDefault="00A92754" w:rsidP="00AF6EDB">
      <w:r>
        <w:separator/>
      </w:r>
    </w:p>
  </w:endnote>
  <w:endnote w:type="continuationSeparator" w:id="0">
    <w:p w14:paraId="011F4528" w14:textId="77777777" w:rsidR="00A92754" w:rsidRDefault="00A92754"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2AD8" w14:textId="3EB6899D" w:rsidR="007D4A4F" w:rsidRPr="00530FD4" w:rsidRDefault="007D4A4F" w:rsidP="00095ECB">
    <w:pPr>
      <w:pStyle w:val="Footer"/>
      <w:tabs>
        <w:tab w:val="clear" w:pos="9072"/>
        <w:tab w:val="right" w:pos="9638"/>
      </w:tabs>
      <w:rPr>
        <w:rFonts w:cs="Calibri"/>
        <w:color w:val="2F2F2F" w:themeColor="background2" w:themeShade="BF"/>
        <w:sz w:val="18"/>
        <w:szCs w:val="18"/>
      </w:rPr>
    </w:pPr>
    <w:r w:rsidRPr="00530FD4">
      <w:rPr>
        <w:color w:val="2F2F2F" w:themeColor="background2" w:themeShade="BF"/>
      </w:rPr>
      <w:t>D</w:t>
    </w:r>
    <w:r>
      <w:rPr>
        <w:color w:val="2F2F2F" w:themeColor="background2" w:themeShade="BF"/>
      </w:rPr>
      <w:t>6.2</w:t>
    </w:r>
    <w:r w:rsidRPr="00530FD4">
      <w:rPr>
        <w:color w:val="2F2F2F" w:themeColor="background2" w:themeShade="BF"/>
      </w:rPr>
      <w:t xml:space="preserve">– </w:t>
    </w:r>
    <w:r>
      <w:rPr>
        <w:color w:val="2F2F2F" w:themeColor="background2" w:themeShade="BF"/>
      </w:rPr>
      <w:t>Market Assessment</w:t>
    </w:r>
    <w:r w:rsidRPr="00530FD4">
      <w:rPr>
        <w:color w:val="2F2F2F" w:themeColor="background2" w:themeShade="BF"/>
      </w:rPr>
      <w:t xml:space="preserve"> – </w:t>
    </w:r>
    <w:r>
      <w:rPr>
        <w:color w:val="2F2F2F" w:themeColor="background2" w:themeShade="BF"/>
      </w:rPr>
      <w:t>CO/CI/PU</w:t>
    </w:r>
    <w:r w:rsidRPr="00530FD4">
      <w:rPr>
        <w:color w:val="2F2F2F" w:themeColor="background2" w:themeShade="BF"/>
      </w:rPr>
      <w:t xml:space="preserve">   </w:t>
    </w:r>
    <w:r>
      <w:rPr>
        <w:color w:val="2F2F2F" w:themeColor="background2" w:themeShade="BF"/>
      </w:rPr>
      <w:tab/>
    </w:r>
    <w:r>
      <w:rPr>
        <w:color w:val="2F2F2F" w:themeColor="background2" w:themeShade="BF"/>
      </w:rPr>
      <w:tab/>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00574D49">
      <w:rPr>
        <w:rFonts w:cs="Calibri"/>
        <w:noProof/>
        <w:color w:val="2F2F2F" w:themeColor="background2" w:themeShade="BF"/>
        <w:sz w:val="18"/>
        <w:szCs w:val="18"/>
      </w:rPr>
      <w:t>20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00574D49">
      <w:rPr>
        <w:rFonts w:cs="Calibri"/>
        <w:noProof/>
        <w:color w:val="2F2F2F" w:themeColor="background2" w:themeShade="BF"/>
        <w:sz w:val="18"/>
        <w:szCs w:val="18"/>
      </w:rPr>
      <w:t>38</w:t>
    </w:r>
    <w:r w:rsidRPr="00530FD4">
      <w:rPr>
        <w:rFonts w:cs="Calibri"/>
        <w:color w:val="2F2F2F" w:themeColor="background2" w:themeShade="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5CEA" w14:textId="77777777" w:rsidR="007D4A4F" w:rsidRDefault="007D4A4F" w:rsidP="007A4C09">
    <w:pPr>
      <w:jc w:val="left"/>
      <w:rPr>
        <w:i/>
        <w:iCs/>
      </w:rPr>
    </w:pPr>
  </w:p>
  <w:p w14:paraId="01F54B89" w14:textId="77777777" w:rsidR="007D4A4F" w:rsidRDefault="007D4A4F" w:rsidP="007A4C09">
    <w:pPr>
      <w:jc w:val="left"/>
      <w:rPr>
        <w:i/>
        <w:iCs/>
      </w:rPr>
    </w:pPr>
    <w:r w:rsidRPr="002821F1">
      <w:rPr>
        <w:i/>
        <w:iCs/>
        <w:noProof/>
        <w:color w:val="303030" w:themeColor="text1" w:themeTint="D9"/>
      </w:rPr>
      <w:drawing>
        <wp:anchor distT="0" distB="0" distL="114300" distR="114300" simplePos="0" relativeHeight="251683840" behindDoc="1" locked="0" layoutInCell="1" allowOverlap="1" wp14:anchorId="7DF27CC3" wp14:editId="5AA93E39">
          <wp:simplePos x="0" y="0"/>
          <wp:positionH relativeFrom="margin">
            <wp:posOffset>0</wp:posOffset>
          </wp:positionH>
          <wp:positionV relativeFrom="paragraph">
            <wp:posOffset>102235</wp:posOffset>
          </wp:positionV>
          <wp:extent cx="609600" cy="457200"/>
          <wp:effectExtent l="0" t="0" r="0" b="0"/>
          <wp:wrapTight wrapText="bothSides">
            <wp:wrapPolygon edited="0">
              <wp:start x="0" y="0"/>
              <wp:lineTo x="0" y="20700"/>
              <wp:lineTo x="20925" y="20700"/>
              <wp:lineTo x="20925" y="0"/>
              <wp:lineTo x="0" y="0"/>
            </wp:wrapPolygon>
          </wp:wrapTight>
          <wp:docPr id="19" name="Picture 11" descr="http://elastic.studioh2o.nl/image.php/userdata/image/ec_1.gif?width=150&amp;height=150&amp;image=/userdata/image/ec_1.gif">
            <a:extLst xmlns:a="http://schemas.openxmlformats.org/drawingml/2006/main">
              <a:ext uri="{FF2B5EF4-FFF2-40B4-BE49-F238E27FC236}">
                <a16:creationId xmlns:a16="http://schemas.microsoft.com/office/drawing/2014/main" id="{323BD298-D795-4995-9582-278327A86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ttp://elastic.studioh2o.nl/image.php/userdata/image/ec_1.gif?width=150&amp;height=150&amp;image=/userdata/image/ec_1.gif">
                    <a:extLst>
                      <a:ext uri="{FF2B5EF4-FFF2-40B4-BE49-F238E27FC236}">
                        <a16:creationId xmlns:a16="http://schemas.microsoft.com/office/drawing/2014/main" id="{323BD298-D795-4995-9582-278327A86B3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w="9525">
                    <a:noFill/>
                    <a:miter lim="800000"/>
                    <a:headEnd/>
                    <a:tailEnd/>
                  </a:ln>
                </pic:spPr>
              </pic:pic>
            </a:graphicData>
          </a:graphic>
        </wp:anchor>
      </w:drawing>
    </w:r>
  </w:p>
  <w:p w14:paraId="3A5F8808" w14:textId="77777777" w:rsidR="007D4A4F" w:rsidRPr="002821F1" w:rsidRDefault="007D4A4F" w:rsidP="007A4C09">
    <w:pPr>
      <w:jc w:val="left"/>
      <w:rPr>
        <w:color w:val="303030" w:themeColor="text1" w:themeTint="D9"/>
        <w:lang w:val="en-GB"/>
      </w:rPr>
    </w:pPr>
    <w:bookmarkStart w:id="10" w:name="_Hlk27465704"/>
    <w:r w:rsidRPr="00D36423">
      <w:rPr>
        <w:i/>
        <w:iCs/>
        <w:color w:val="303030" w:themeColor="text1" w:themeTint="D9"/>
      </w:rPr>
      <w:t xml:space="preserve">This project has received funding from the European Union’s Horizon 2020 research and innovation </w:t>
    </w:r>
    <w:proofErr w:type="spellStart"/>
    <w:r w:rsidRPr="00D36423">
      <w:rPr>
        <w:i/>
        <w:iCs/>
        <w:color w:val="303030" w:themeColor="text1" w:themeTint="D9"/>
      </w:rPr>
      <w:t>programme</w:t>
    </w:r>
    <w:proofErr w:type="spellEnd"/>
    <w:r w:rsidRPr="00D36423">
      <w:rPr>
        <w:i/>
        <w:iCs/>
        <w:color w:val="303030" w:themeColor="text1" w:themeTint="D9"/>
      </w:rPr>
      <w:t xml:space="preserve"> under grant agreement No 883753</w:t>
    </w:r>
  </w:p>
  <w:bookmarkEnd w:id="10"/>
  <w:p w14:paraId="574A5BF9" w14:textId="4C2150FA" w:rsidR="007D4A4F" w:rsidRPr="007A4C09" w:rsidRDefault="007D4A4F" w:rsidP="007A4C09">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5629C" w14:textId="77777777" w:rsidR="00A92754" w:rsidRDefault="00A92754" w:rsidP="00AF6EDB">
      <w:bookmarkStart w:id="0" w:name="_Hlk42782855"/>
      <w:bookmarkEnd w:id="0"/>
      <w:r>
        <w:separator/>
      </w:r>
    </w:p>
  </w:footnote>
  <w:footnote w:type="continuationSeparator" w:id="0">
    <w:p w14:paraId="066DCE2C" w14:textId="77777777" w:rsidR="00A92754" w:rsidRDefault="00A92754"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4EED" w14:textId="3758E29D" w:rsidR="007D4A4F" w:rsidRPr="00E646DE" w:rsidRDefault="007D4A4F" w:rsidP="00E646DE">
    <w:pPr>
      <w:pStyle w:val="Footer"/>
      <w:rPr>
        <w:color w:val="303030" w:themeColor="text1" w:themeTint="D9"/>
      </w:rPr>
    </w:pPr>
    <w:r w:rsidRPr="00B524B5">
      <w:rPr>
        <w:noProof/>
        <w:color w:val="181818" w:themeColor="text1" w:themeTint="F2"/>
      </w:rPr>
      <w:drawing>
        <wp:anchor distT="0" distB="0" distL="114300" distR="114300" simplePos="0" relativeHeight="25165721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FD3410F"/>
    <w:multiLevelType w:val="hybridMultilevel"/>
    <w:tmpl w:val="709CB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21775"/>
    <w:multiLevelType w:val="hybridMultilevel"/>
    <w:tmpl w:val="A3EAB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55AFE"/>
    <w:multiLevelType w:val="hybridMultilevel"/>
    <w:tmpl w:val="2F9AB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A45CB"/>
    <w:multiLevelType w:val="hybridMultilevel"/>
    <w:tmpl w:val="A0A68384"/>
    <w:lvl w:ilvl="0" w:tplc="EB5A7930">
      <w:start w:val="1"/>
      <w:numFmt w:val="bullet"/>
      <w:lvlText w:val="-"/>
      <w:lvlJc w:val="left"/>
      <w:pPr>
        <w:ind w:left="720" w:hanging="360"/>
      </w:pPr>
      <w:rPr>
        <w:rFonts w:ascii="Calibri" w:hAnsi="Calibri" w:hint="default"/>
      </w:rPr>
    </w:lvl>
    <w:lvl w:ilvl="1" w:tplc="9B441FAC">
      <w:start w:val="1"/>
      <w:numFmt w:val="bullet"/>
      <w:lvlText w:val="o"/>
      <w:lvlJc w:val="left"/>
      <w:pPr>
        <w:ind w:left="1440" w:hanging="360"/>
      </w:pPr>
      <w:rPr>
        <w:rFonts w:ascii="Courier New" w:hAnsi="Courier New" w:hint="default"/>
      </w:rPr>
    </w:lvl>
    <w:lvl w:ilvl="2" w:tplc="766EB99A">
      <w:start w:val="1"/>
      <w:numFmt w:val="bullet"/>
      <w:lvlText w:val=""/>
      <w:lvlJc w:val="left"/>
      <w:pPr>
        <w:ind w:left="2160" w:hanging="360"/>
      </w:pPr>
      <w:rPr>
        <w:rFonts w:ascii="Wingdings" w:hAnsi="Wingdings" w:hint="default"/>
      </w:rPr>
    </w:lvl>
    <w:lvl w:ilvl="3" w:tplc="ED9AF38C">
      <w:start w:val="1"/>
      <w:numFmt w:val="bullet"/>
      <w:lvlText w:val=""/>
      <w:lvlJc w:val="left"/>
      <w:pPr>
        <w:ind w:left="2880" w:hanging="360"/>
      </w:pPr>
      <w:rPr>
        <w:rFonts w:ascii="Symbol" w:hAnsi="Symbol" w:hint="default"/>
      </w:rPr>
    </w:lvl>
    <w:lvl w:ilvl="4" w:tplc="023E43B4">
      <w:start w:val="1"/>
      <w:numFmt w:val="bullet"/>
      <w:lvlText w:val="o"/>
      <w:lvlJc w:val="left"/>
      <w:pPr>
        <w:ind w:left="3600" w:hanging="360"/>
      </w:pPr>
      <w:rPr>
        <w:rFonts w:ascii="Courier New" w:hAnsi="Courier New" w:hint="default"/>
      </w:rPr>
    </w:lvl>
    <w:lvl w:ilvl="5" w:tplc="C33A3BFC">
      <w:start w:val="1"/>
      <w:numFmt w:val="bullet"/>
      <w:lvlText w:val=""/>
      <w:lvlJc w:val="left"/>
      <w:pPr>
        <w:ind w:left="4320" w:hanging="360"/>
      </w:pPr>
      <w:rPr>
        <w:rFonts w:ascii="Wingdings" w:hAnsi="Wingdings" w:hint="default"/>
      </w:rPr>
    </w:lvl>
    <w:lvl w:ilvl="6" w:tplc="93FCC23A">
      <w:start w:val="1"/>
      <w:numFmt w:val="bullet"/>
      <w:lvlText w:val=""/>
      <w:lvlJc w:val="left"/>
      <w:pPr>
        <w:ind w:left="5040" w:hanging="360"/>
      </w:pPr>
      <w:rPr>
        <w:rFonts w:ascii="Symbol" w:hAnsi="Symbol" w:hint="default"/>
      </w:rPr>
    </w:lvl>
    <w:lvl w:ilvl="7" w:tplc="BCFA3B5E">
      <w:start w:val="1"/>
      <w:numFmt w:val="bullet"/>
      <w:lvlText w:val="o"/>
      <w:lvlJc w:val="left"/>
      <w:pPr>
        <w:ind w:left="5760" w:hanging="360"/>
      </w:pPr>
      <w:rPr>
        <w:rFonts w:ascii="Courier New" w:hAnsi="Courier New" w:hint="default"/>
      </w:rPr>
    </w:lvl>
    <w:lvl w:ilvl="8" w:tplc="E722C26C">
      <w:start w:val="1"/>
      <w:numFmt w:val="bullet"/>
      <w:lvlText w:val=""/>
      <w:lvlJc w:val="left"/>
      <w:pPr>
        <w:ind w:left="6480" w:hanging="360"/>
      </w:pPr>
      <w:rPr>
        <w:rFonts w:ascii="Wingdings" w:hAnsi="Wingdings" w:hint="default"/>
      </w:rPr>
    </w:lvl>
  </w:abstractNum>
  <w:abstractNum w:abstractNumId="6" w15:restartNumberingAfterBreak="0">
    <w:nsid w:val="4D824B37"/>
    <w:multiLevelType w:val="hybridMultilevel"/>
    <w:tmpl w:val="885A80CA"/>
    <w:lvl w:ilvl="0" w:tplc="62B2A6BE">
      <w:start w:val="1"/>
      <w:numFmt w:val="decimal"/>
      <w:lvlText w:val="%1."/>
      <w:lvlJc w:val="left"/>
      <w:pPr>
        <w:ind w:left="1080" w:hanging="360"/>
      </w:pPr>
    </w:lvl>
    <w:lvl w:ilvl="1" w:tplc="3A121508">
      <w:start w:val="1"/>
      <w:numFmt w:val="lowerLetter"/>
      <w:lvlText w:val="%2."/>
      <w:lvlJc w:val="left"/>
      <w:pPr>
        <w:ind w:left="1800" w:hanging="360"/>
      </w:pPr>
    </w:lvl>
    <w:lvl w:ilvl="2" w:tplc="32A4399C">
      <w:start w:val="1"/>
      <w:numFmt w:val="lowerRoman"/>
      <w:lvlText w:val="%3."/>
      <w:lvlJc w:val="right"/>
      <w:pPr>
        <w:ind w:left="2520" w:hanging="180"/>
      </w:pPr>
    </w:lvl>
    <w:lvl w:ilvl="3" w:tplc="8FE6F2D4">
      <w:start w:val="1"/>
      <w:numFmt w:val="decimal"/>
      <w:lvlText w:val="%4."/>
      <w:lvlJc w:val="left"/>
      <w:pPr>
        <w:ind w:left="3240" w:hanging="360"/>
      </w:pPr>
    </w:lvl>
    <w:lvl w:ilvl="4" w:tplc="5EB83A66">
      <w:start w:val="1"/>
      <w:numFmt w:val="lowerLetter"/>
      <w:lvlText w:val="%5."/>
      <w:lvlJc w:val="left"/>
      <w:pPr>
        <w:ind w:left="3960" w:hanging="360"/>
      </w:pPr>
    </w:lvl>
    <w:lvl w:ilvl="5" w:tplc="E19A4B5A">
      <w:start w:val="1"/>
      <w:numFmt w:val="lowerRoman"/>
      <w:lvlText w:val="%6."/>
      <w:lvlJc w:val="right"/>
      <w:pPr>
        <w:ind w:left="4680" w:hanging="180"/>
      </w:pPr>
    </w:lvl>
    <w:lvl w:ilvl="6" w:tplc="351E0702">
      <w:start w:val="1"/>
      <w:numFmt w:val="decimal"/>
      <w:lvlText w:val="%7."/>
      <w:lvlJc w:val="left"/>
      <w:pPr>
        <w:ind w:left="5400" w:hanging="360"/>
      </w:pPr>
    </w:lvl>
    <w:lvl w:ilvl="7" w:tplc="270AEE74">
      <w:start w:val="1"/>
      <w:numFmt w:val="lowerLetter"/>
      <w:lvlText w:val="%8."/>
      <w:lvlJc w:val="left"/>
      <w:pPr>
        <w:ind w:left="6120" w:hanging="360"/>
      </w:pPr>
    </w:lvl>
    <w:lvl w:ilvl="8" w:tplc="6F768114">
      <w:start w:val="1"/>
      <w:numFmt w:val="lowerRoman"/>
      <w:lvlText w:val="%9."/>
      <w:lvlJc w:val="right"/>
      <w:pPr>
        <w:ind w:left="6840" w:hanging="180"/>
      </w:pPr>
    </w:lvl>
  </w:abstractNum>
  <w:abstractNum w:abstractNumId="7" w15:restartNumberingAfterBreak="0">
    <w:nsid w:val="4E6A7D73"/>
    <w:multiLevelType w:val="hybridMultilevel"/>
    <w:tmpl w:val="DB143FAE"/>
    <w:lvl w:ilvl="0" w:tplc="7868B3C2">
      <w:numFmt w:val="none"/>
      <w:lvlText w:val=""/>
      <w:lvlJc w:val="left"/>
      <w:pPr>
        <w:tabs>
          <w:tab w:val="num" w:pos="360"/>
        </w:tabs>
      </w:pPr>
    </w:lvl>
    <w:lvl w:ilvl="1" w:tplc="B8CCF05A">
      <w:start w:val="1"/>
      <w:numFmt w:val="lowerLetter"/>
      <w:lvlText w:val="%2."/>
      <w:lvlJc w:val="left"/>
      <w:pPr>
        <w:ind w:left="1440" w:hanging="360"/>
      </w:pPr>
    </w:lvl>
    <w:lvl w:ilvl="2" w:tplc="5DEEDFDE">
      <w:start w:val="1"/>
      <w:numFmt w:val="lowerRoman"/>
      <w:lvlText w:val="%3."/>
      <w:lvlJc w:val="right"/>
      <w:pPr>
        <w:ind w:left="2160" w:hanging="180"/>
      </w:pPr>
    </w:lvl>
    <w:lvl w:ilvl="3" w:tplc="DC0C7C3C">
      <w:start w:val="1"/>
      <w:numFmt w:val="decimal"/>
      <w:lvlText w:val="%4."/>
      <w:lvlJc w:val="left"/>
      <w:pPr>
        <w:ind w:left="2880" w:hanging="360"/>
      </w:pPr>
    </w:lvl>
    <w:lvl w:ilvl="4" w:tplc="8F4E0E5C">
      <w:start w:val="1"/>
      <w:numFmt w:val="lowerLetter"/>
      <w:lvlText w:val="%5."/>
      <w:lvlJc w:val="left"/>
      <w:pPr>
        <w:ind w:left="3600" w:hanging="360"/>
      </w:pPr>
    </w:lvl>
    <w:lvl w:ilvl="5" w:tplc="34AAC556">
      <w:start w:val="1"/>
      <w:numFmt w:val="lowerRoman"/>
      <w:lvlText w:val="%6."/>
      <w:lvlJc w:val="right"/>
      <w:pPr>
        <w:ind w:left="4320" w:hanging="180"/>
      </w:pPr>
    </w:lvl>
    <w:lvl w:ilvl="6" w:tplc="183C284E">
      <w:start w:val="1"/>
      <w:numFmt w:val="decimal"/>
      <w:lvlText w:val="%7."/>
      <w:lvlJc w:val="left"/>
      <w:pPr>
        <w:ind w:left="5040" w:hanging="360"/>
      </w:pPr>
    </w:lvl>
    <w:lvl w:ilvl="7" w:tplc="B3C6250C">
      <w:start w:val="1"/>
      <w:numFmt w:val="lowerLetter"/>
      <w:lvlText w:val="%8."/>
      <w:lvlJc w:val="left"/>
      <w:pPr>
        <w:ind w:left="5760" w:hanging="360"/>
      </w:pPr>
    </w:lvl>
    <w:lvl w:ilvl="8" w:tplc="8ACE796C">
      <w:start w:val="1"/>
      <w:numFmt w:val="lowerRoman"/>
      <w:lvlText w:val="%9."/>
      <w:lvlJc w:val="right"/>
      <w:pPr>
        <w:ind w:left="6480" w:hanging="180"/>
      </w:pPr>
    </w:lvl>
  </w:abstractNum>
  <w:abstractNum w:abstractNumId="8" w15:restartNumberingAfterBreak="0">
    <w:nsid w:val="51307164"/>
    <w:multiLevelType w:val="hybridMultilevel"/>
    <w:tmpl w:val="CBE6D1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63EF0792"/>
    <w:multiLevelType w:val="multilevel"/>
    <w:tmpl w:val="26FA95F4"/>
    <w:lvl w:ilvl="0">
      <w:start w:val="1"/>
      <w:numFmt w:val="decimal"/>
      <w:pStyle w:val="Heading1"/>
      <w:lvlText w:val="%1"/>
      <w:lvlJc w:val="left"/>
      <w:pPr>
        <w:ind w:left="727" w:hanging="431"/>
      </w:pPr>
      <w:rPr>
        <w:color w:val="002244"/>
      </w:rPr>
    </w:lvl>
    <w:lvl w:ilvl="1">
      <w:start w:val="1"/>
      <w:numFmt w:val="decimal"/>
      <w:pStyle w:val="Heading2"/>
      <w:lvlText w:val="%1.%2"/>
      <w:lvlJc w:val="left"/>
      <w:pPr>
        <w:ind w:left="444" w:hanging="431"/>
      </w:pPr>
      <w:rPr>
        <w:color w:val="0075B0"/>
      </w:rPr>
    </w:lvl>
    <w:lvl w:ilvl="2">
      <w:start w:val="1"/>
      <w:numFmt w:val="decimal"/>
      <w:pStyle w:val="Heading3"/>
      <w:lvlText w:val="%1.%2.%3"/>
      <w:lvlJc w:val="left"/>
      <w:pPr>
        <w:ind w:left="1511" w:hanging="431"/>
      </w:pPr>
      <w:rPr>
        <w:color w:val="0075B0"/>
      </w:rPr>
    </w:lvl>
    <w:lvl w:ilvl="3">
      <w:start w:val="1"/>
      <w:numFmt w:val="decimal"/>
      <w:pStyle w:val="Heading4"/>
      <w:lvlText w:val="%1.%2.%3.%4"/>
      <w:lvlJc w:val="left"/>
      <w:pPr>
        <w:ind w:left="444" w:hanging="431"/>
      </w:pPr>
    </w:lvl>
    <w:lvl w:ilvl="4">
      <w:start w:val="1"/>
      <w:numFmt w:val="decimal"/>
      <w:pStyle w:val="Heading5"/>
      <w:lvlText w:val="%1.%2.%3.%4.%5"/>
      <w:lvlJc w:val="left"/>
      <w:pPr>
        <w:ind w:left="444" w:hanging="431"/>
      </w:pPr>
    </w:lvl>
    <w:lvl w:ilvl="5">
      <w:start w:val="1"/>
      <w:numFmt w:val="decimal"/>
      <w:pStyle w:val="Heading6"/>
      <w:lvlText w:val="%1.%2.%3.%4.%5.%6"/>
      <w:lvlJc w:val="left"/>
      <w:pPr>
        <w:ind w:left="444" w:hanging="431"/>
      </w:pPr>
    </w:lvl>
    <w:lvl w:ilvl="6">
      <w:start w:val="1"/>
      <w:numFmt w:val="decimal"/>
      <w:lvlText w:val="%1.%2.%3.%4.%5.%6.%7"/>
      <w:lvlJc w:val="left"/>
      <w:pPr>
        <w:ind w:left="444" w:hanging="431"/>
      </w:pPr>
    </w:lvl>
    <w:lvl w:ilvl="7">
      <w:start w:val="1"/>
      <w:numFmt w:val="decimal"/>
      <w:lvlText w:val="%1.%2.%3.%4.%5.%6.%7.%8"/>
      <w:lvlJc w:val="left"/>
      <w:pPr>
        <w:ind w:left="444" w:hanging="431"/>
      </w:pPr>
    </w:lvl>
    <w:lvl w:ilvl="8">
      <w:start w:val="1"/>
      <w:numFmt w:val="decimal"/>
      <w:lvlText w:val="%1.%2.%3.%4.%5.%6.%7.%8.%9"/>
      <w:lvlJc w:val="left"/>
      <w:pPr>
        <w:ind w:left="444" w:hanging="431"/>
      </w:pPr>
    </w:lvl>
  </w:abstractNum>
  <w:abstractNum w:abstractNumId="11"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113D3E"/>
    <w:multiLevelType w:val="hybridMultilevel"/>
    <w:tmpl w:val="6D025AA0"/>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ED7430F"/>
    <w:multiLevelType w:val="hybridMultilevel"/>
    <w:tmpl w:val="3D0C4CD6"/>
    <w:lvl w:ilvl="0" w:tplc="69F69F2E">
      <w:start w:val="13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8"/>
  </w:num>
  <w:num w:numId="5">
    <w:abstractNumId w:val="9"/>
  </w:num>
  <w:num w:numId="6">
    <w:abstractNumId w:val="10"/>
  </w:num>
  <w:num w:numId="7">
    <w:abstractNumId w:val="1"/>
  </w:num>
  <w:num w:numId="8">
    <w:abstractNumId w:val="4"/>
  </w:num>
  <w:num w:numId="9">
    <w:abstractNumId w:val="0"/>
  </w:num>
  <w:num w:numId="10">
    <w:abstractNumId w:val="11"/>
  </w:num>
  <w:num w:numId="11">
    <w:abstractNumId w:val="12"/>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3"/>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NDcwtzAyNTWytDBS0lEKTi0uzszPAykwrAUAu2VZMiwAAAA="/>
  </w:docVars>
  <w:rsids>
    <w:rsidRoot w:val="0093640B"/>
    <w:rsid w:val="00000A29"/>
    <w:rsid w:val="0000120D"/>
    <w:rsid w:val="00001DE7"/>
    <w:rsid w:val="00004694"/>
    <w:rsid w:val="000067B3"/>
    <w:rsid w:val="00007050"/>
    <w:rsid w:val="0000757F"/>
    <w:rsid w:val="00012A70"/>
    <w:rsid w:val="00012BF4"/>
    <w:rsid w:val="00013041"/>
    <w:rsid w:val="00013D65"/>
    <w:rsid w:val="000170FF"/>
    <w:rsid w:val="00017D36"/>
    <w:rsid w:val="00020333"/>
    <w:rsid w:val="000205AF"/>
    <w:rsid w:val="00023DC2"/>
    <w:rsid w:val="00031F0B"/>
    <w:rsid w:val="00032649"/>
    <w:rsid w:val="00033047"/>
    <w:rsid w:val="000336AA"/>
    <w:rsid w:val="0003492A"/>
    <w:rsid w:val="00034A0A"/>
    <w:rsid w:val="00036667"/>
    <w:rsid w:val="00037058"/>
    <w:rsid w:val="000378E4"/>
    <w:rsid w:val="00037B04"/>
    <w:rsid w:val="00037DA9"/>
    <w:rsid w:val="00041AEA"/>
    <w:rsid w:val="00042270"/>
    <w:rsid w:val="00044EB3"/>
    <w:rsid w:val="00045982"/>
    <w:rsid w:val="000505E6"/>
    <w:rsid w:val="00050650"/>
    <w:rsid w:val="0005204F"/>
    <w:rsid w:val="00056EF1"/>
    <w:rsid w:val="0005FE0B"/>
    <w:rsid w:val="0006055E"/>
    <w:rsid w:val="00061ED1"/>
    <w:rsid w:val="0006215C"/>
    <w:rsid w:val="00063760"/>
    <w:rsid w:val="00065026"/>
    <w:rsid w:val="0006573F"/>
    <w:rsid w:val="0006589A"/>
    <w:rsid w:val="00070184"/>
    <w:rsid w:val="000733B1"/>
    <w:rsid w:val="00073D86"/>
    <w:rsid w:val="00073F25"/>
    <w:rsid w:val="00074443"/>
    <w:rsid w:val="00074D66"/>
    <w:rsid w:val="00074FBC"/>
    <w:rsid w:val="00075C14"/>
    <w:rsid w:val="000808D9"/>
    <w:rsid w:val="000841E2"/>
    <w:rsid w:val="00091493"/>
    <w:rsid w:val="00091678"/>
    <w:rsid w:val="00092038"/>
    <w:rsid w:val="000924CE"/>
    <w:rsid w:val="00092EB5"/>
    <w:rsid w:val="00093632"/>
    <w:rsid w:val="00095524"/>
    <w:rsid w:val="00095ECB"/>
    <w:rsid w:val="00096512"/>
    <w:rsid w:val="000966E5"/>
    <w:rsid w:val="000A128B"/>
    <w:rsid w:val="000A5C5F"/>
    <w:rsid w:val="000A6122"/>
    <w:rsid w:val="000A6226"/>
    <w:rsid w:val="000A688B"/>
    <w:rsid w:val="000A729C"/>
    <w:rsid w:val="000A72A2"/>
    <w:rsid w:val="000B2E7F"/>
    <w:rsid w:val="000B393A"/>
    <w:rsid w:val="000B40B6"/>
    <w:rsid w:val="000B46FF"/>
    <w:rsid w:val="000B4F44"/>
    <w:rsid w:val="000B56C1"/>
    <w:rsid w:val="000B6A1F"/>
    <w:rsid w:val="000C1930"/>
    <w:rsid w:val="000C2D0B"/>
    <w:rsid w:val="000C4706"/>
    <w:rsid w:val="000C6781"/>
    <w:rsid w:val="000C6BD3"/>
    <w:rsid w:val="000D093D"/>
    <w:rsid w:val="000D0B84"/>
    <w:rsid w:val="000D1B57"/>
    <w:rsid w:val="000D319F"/>
    <w:rsid w:val="000D4C23"/>
    <w:rsid w:val="000D7D19"/>
    <w:rsid w:val="000E166E"/>
    <w:rsid w:val="000E1923"/>
    <w:rsid w:val="000E35B6"/>
    <w:rsid w:val="000E539E"/>
    <w:rsid w:val="000E56EE"/>
    <w:rsid w:val="000F0990"/>
    <w:rsid w:val="000F2ADF"/>
    <w:rsid w:val="000F2BDB"/>
    <w:rsid w:val="000F4A5B"/>
    <w:rsid w:val="000F77DD"/>
    <w:rsid w:val="001008E6"/>
    <w:rsid w:val="001065BD"/>
    <w:rsid w:val="00106A9B"/>
    <w:rsid w:val="00106F23"/>
    <w:rsid w:val="00111D02"/>
    <w:rsid w:val="001135A2"/>
    <w:rsid w:val="0011416A"/>
    <w:rsid w:val="0011532E"/>
    <w:rsid w:val="00115433"/>
    <w:rsid w:val="00115841"/>
    <w:rsid w:val="001168F0"/>
    <w:rsid w:val="00121EAE"/>
    <w:rsid w:val="00131432"/>
    <w:rsid w:val="00131E03"/>
    <w:rsid w:val="001341C3"/>
    <w:rsid w:val="00135465"/>
    <w:rsid w:val="00136F65"/>
    <w:rsid w:val="00137154"/>
    <w:rsid w:val="00140821"/>
    <w:rsid w:val="001417A6"/>
    <w:rsid w:val="00143C14"/>
    <w:rsid w:val="001449EB"/>
    <w:rsid w:val="00146BF7"/>
    <w:rsid w:val="001517EB"/>
    <w:rsid w:val="00151A87"/>
    <w:rsid w:val="00152413"/>
    <w:rsid w:val="001534E1"/>
    <w:rsid w:val="001542BF"/>
    <w:rsid w:val="001552AF"/>
    <w:rsid w:val="001552F1"/>
    <w:rsid w:val="00156753"/>
    <w:rsid w:val="0015719B"/>
    <w:rsid w:val="001574DF"/>
    <w:rsid w:val="0015791B"/>
    <w:rsid w:val="00160DC6"/>
    <w:rsid w:val="001624E8"/>
    <w:rsid w:val="00164DD5"/>
    <w:rsid w:val="00164F88"/>
    <w:rsid w:val="00165FFA"/>
    <w:rsid w:val="00166C12"/>
    <w:rsid w:val="00172BB8"/>
    <w:rsid w:val="00181F4B"/>
    <w:rsid w:val="001824B0"/>
    <w:rsid w:val="00182583"/>
    <w:rsid w:val="00182601"/>
    <w:rsid w:val="00182E78"/>
    <w:rsid w:val="00184277"/>
    <w:rsid w:val="0018446B"/>
    <w:rsid w:val="00184EBA"/>
    <w:rsid w:val="0018643C"/>
    <w:rsid w:val="001908AE"/>
    <w:rsid w:val="0019357C"/>
    <w:rsid w:val="0019547B"/>
    <w:rsid w:val="00196C3B"/>
    <w:rsid w:val="001A05CB"/>
    <w:rsid w:val="001A23BA"/>
    <w:rsid w:val="001A33C3"/>
    <w:rsid w:val="001A5454"/>
    <w:rsid w:val="001A6FAE"/>
    <w:rsid w:val="001A6FD6"/>
    <w:rsid w:val="001A7DB9"/>
    <w:rsid w:val="001B1935"/>
    <w:rsid w:val="001B3050"/>
    <w:rsid w:val="001B3C27"/>
    <w:rsid w:val="001B711A"/>
    <w:rsid w:val="001B7BE0"/>
    <w:rsid w:val="001BB8ED"/>
    <w:rsid w:val="001C01FE"/>
    <w:rsid w:val="001C6F85"/>
    <w:rsid w:val="001C7BD7"/>
    <w:rsid w:val="001D2647"/>
    <w:rsid w:val="001D2DD5"/>
    <w:rsid w:val="001D4DD0"/>
    <w:rsid w:val="001D5822"/>
    <w:rsid w:val="001D5FD8"/>
    <w:rsid w:val="001E0893"/>
    <w:rsid w:val="001E0EAB"/>
    <w:rsid w:val="001E179D"/>
    <w:rsid w:val="001E32AF"/>
    <w:rsid w:val="001E71C5"/>
    <w:rsid w:val="001F4496"/>
    <w:rsid w:val="001F51CD"/>
    <w:rsid w:val="001F7AFF"/>
    <w:rsid w:val="002001F7"/>
    <w:rsid w:val="00200380"/>
    <w:rsid w:val="0020069D"/>
    <w:rsid w:val="00200B2B"/>
    <w:rsid w:val="002015DD"/>
    <w:rsid w:val="00204851"/>
    <w:rsid w:val="00213D1A"/>
    <w:rsid w:val="00215704"/>
    <w:rsid w:val="002161B6"/>
    <w:rsid w:val="002165E2"/>
    <w:rsid w:val="002174B6"/>
    <w:rsid w:val="00221F59"/>
    <w:rsid w:val="00223739"/>
    <w:rsid w:val="0022473B"/>
    <w:rsid w:val="00224C60"/>
    <w:rsid w:val="00226D9C"/>
    <w:rsid w:val="00233B02"/>
    <w:rsid w:val="002362A0"/>
    <w:rsid w:val="00236E60"/>
    <w:rsid w:val="00237FBC"/>
    <w:rsid w:val="002405DB"/>
    <w:rsid w:val="002412FC"/>
    <w:rsid w:val="002433E0"/>
    <w:rsid w:val="002445F6"/>
    <w:rsid w:val="00244B79"/>
    <w:rsid w:val="0024718A"/>
    <w:rsid w:val="00251036"/>
    <w:rsid w:val="00253BF1"/>
    <w:rsid w:val="00255BF0"/>
    <w:rsid w:val="00260E94"/>
    <w:rsid w:val="00261412"/>
    <w:rsid w:val="00261E05"/>
    <w:rsid w:val="002626D5"/>
    <w:rsid w:val="0026326A"/>
    <w:rsid w:val="0026511E"/>
    <w:rsid w:val="002679C9"/>
    <w:rsid w:val="00272780"/>
    <w:rsid w:val="00274C43"/>
    <w:rsid w:val="00274F0D"/>
    <w:rsid w:val="0027596C"/>
    <w:rsid w:val="00277726"/>
    <w:rsid w:val="0028142C"/>
    <w:rsid w:val="002821F1"/>
    <w:rsid w:val="00282551"/>
    <w:rsid w:val="00287BA4"/>
    <w:rsid w:val="002908EC"/>
    <w:rsid w:val="00295F62"/>
    <w:rsid w:val="002961F6"/>
    <w:rsid w:val="00296271"/>
    <w:rsid w:val="00297246"/>
    <w:rsid w:val="00297B5D"/>
    <w:rsid w:val="002A0A07"/>
    <w:rsid w:val="002A1BA0"/>
    <w:rsid w:val="002A2257"/>
    <w:rsid w:val="002A3813"/>
    <w:rsid w:val="002A4864"/>
    <w:rsid w:val="002A5ADC"/>
    <w:rsid w:val="002A5FAF"/>
    <w:rsid w:val="002A6960"/>
    <w:rsid w:val="002B00C0"/>
    <w:rsid w:val="002B02F7"/>
    <w:rsid w:val="002B3D1A"/>
    <w:rsid w:val="002B49CB"/>
    <w:rsid w:val="002B5A63"/>
    <w:rsid w:val="002C0DA4"/>
    <w:rsid w:val="002C1CDD"/>
    <w:rsid w:val="002C591F"/>
    <w:rsid w:val="002D0318"/>
    <w:rsid w:val="002D1131"/>
    <w:rsid w:val="002D131D"/>
    <w:rsid w:val="002D2C40"/>
    <w:rsid w:val="002D541D"/>
    <w:rsid w:val="002E0EBC"/>
    <w:rsid w:val="002E2B36"/>
    <w:rsid w:val="002E4890"/>
    <w:rsid w:val="002E78F9"/>
    <w:rsid w:val="002EA22A"/>
    <w:rsid w:val="002F001F"/>
    <w:rsid w:val="002F1723"/>
    <w:rsid w:val="002F2E21"/>
    <w:rsid w:val="002F528B"/>
    <w:rsid w:val="002F5C33"/>
    <w:rsid w:val="002F5D9F"/>
    <w:rsid w:val="002F60AD"/>
    <w:rsid w:val="002F73A3"/>
    <w:rsid w:val="002F760E"/>
    <w:rsid w:val="002F7E75"/>
    <w:rsid w:val="0030082F"/>
    <w:rsid w:val="003008C1"/>
    <w:rsid w:val="00301D15"/>
    <w:rsid w:val="00301F56"/>
    <w:rsid w:val="0030361A"/>
    <w:rsid w:val="003055BB"/>
    <w:rsid w:val="003066F9"/>
    <w:rsid w:val="00306967"/>
    <w:rsid w:val="00311698"/>
    <w:rsid w:val="0031380E"/>
    <w:rsid w:val="00315401"/>
    <w:rsid w:val="003171AF"/>
    <w:rsid w:val="00320083"/>
    <w:rsid w:val="003216CE"/>
    <w:rsid w:val="003226E3"/>
    <w:rsid w:val="0032316F"/>
    <w:rsid w:val="00323461"/>
    <w:rsid w:val="00324C57"/>
    <w:rsid w:val="00327122"/>
    <w:rsid w:val="00331EFA"/>
    <w:rsid w:val="00334617"/>
    <w:rsid w:val="0033563B"/>
    <w:rsid w:val="00336DB9"/>
    <w:rsid w:val="0034036F"/>
    <w:rsid w:val="00340A14"/>
    <w:rsid w:val="0034170A"/>
    <w:rsid w:val="00342B64"/>
    <w:rsid w:val="0034319B"/>
    <w:rsid w:val="00347B73"/>
    <w:rsid w:val="003500DA"/>
    <w:rsid w:val="00351318"/>
    <w:rsid w:val="00352671"/>
    <w:rsid w:val="00352F47"/>
    <w:rsid w:val="00357301"/>
    <w:rsid w:val="00364987"/>
    <w:rsid w:val="003655C3"/>
    <w:rsid w:val="00365985"/>
    <w:rsid w:val="00365E05"/>
    <w:rsid w:val="003667F9"/>
    <w:rsid w:val="003706AB"/>
    <w:rsid w:val="00370CF1"/>
    <w:rsid w:val="0037144D"/>
    <w:rsid w:val="00372792"/>
    <w:rsid w:val="00373BE4"/>
    <w:rsid w:val="00374C57"/>
    <w:rsid w:val="00375E04"/>
    <w:rsid w:val="003842FD"/>
    <w:rsid w:val="003869C4"/>
    <w:rsid w:val="003870A1"/>
    <w:rsid w:val="0039237F"/>
    <w:rsid w:val="0039263A"/>
    <w:rsid w:val="00393684"/>
    <w:rsid w:val="0039418C"/>
    <w:rsid w:val="00394CCB"/>
    <w:rsid w:val="003960CD"/>
    <w:rsid w:val="0039618E"/>
    <w:rsid w:val="00396378"/>
    <w:rsid w:val="00396AC7"/>
    <w:rsid w:val="00396E12"/>
    <w:rsid w:val="00397733"/>
    <w:rsid w:val="003A125E"/>
    <w:rsid w:val="003A21E5"/>
    <w:rsid w:val="003A2D2A"/>
    <w:rsid w:val="003A2F75"/>
    <w:rsid w:val="003A3931"/>
    <w:rsid w:val="003A3EB0"/>
    <w:rsid w:val="003A404B"/>
    <w:rsid w:val="003A4A25"/>
    <w:rsid w:val="003A6712"/>
    <w:rsid w:val="003A78CE"/>
    <w:rsid w:val="003B3E67"/>
    <w:rsid w:val="003B4A74"/>
    <w:rsid w:val="003B59FC"/>
    <w:rsid w:val="003B69A6"/>
    <w:rsid w:val="003B6E80"/>
    <w:rsid w:val="003C01AE"/>
    <w:rsid w:val="003C08FF"/>
    <w:rsid w:val="003C0D25"/>
    <w:rsid w:val="003C20A0"/>
    <w:rsid w:val="003C2E7D"/>
    <w:rsid w:val="003C2F0D"/>
    <w:rsid w:val="003C5F36"/>
    <w:rsid w:val="003D0C09"/>
    <w:rsid w:val="003D21C6"/>
    <w:rsid w:val="003D3C72"/>
    <w:rsid w:val="003D4521"/>
    <w:rsid w:val="003D5DE1"/>
    <w:rsid w:val="003D5F09"/>
    <w:rsid w:val="003E00F6"/>
    <w:rsid w:val="003E03DC"/>
    <w:rsid w:val="003E0693"/>
    <w:rsid w:val="003E17EA"/>
    <w:rsid w:val="003E20A1"/>
    <w:rsid w:val="003E3488"/>
    <w:rsid w:val="003E4861"/>
    <w:rsid w:val="003E531E"/>
    <w:rsid w:val="003E54BC"/>
    <w:rsid w:val="003E7AAC"/>
    <w:rsid w:val="003E7D8B"/>
    <w:rsid w:val="003F0947"/>
    <w:rsid w:val="003F1488"/>
    <w:rsid w:val="003F16EA"/>
    <w:rsid w:val="003F3946"/>
    <w:rsid w:val="003F6460"/>
    <w:rsid w:val="003F6BC5"/>
    <w:rsid w:val="0040065C"/>
    <w:rsid w:val="00400C75"/>
    <w:rsid w:val="00402078"/>
    <w:rsid w:val="0040379B"/>
    <w:rsid w:val="004048A8"/>
    <w:rsid w:val="004055F3"/>
    <w:rsid w:val="004064D3"/>
    <w:rsid w:val="004073E2"/>
    <w:rsid w:val="004123AF"/>
    <w:rsid w:val="00414443"/>
    <w:rsid w:val="00414C54"/>
    <w:rsid w:val="00414F43"/>
    <w:rsid w:val="00416CBA"/>
    <w:rsid w:val="00420F25"/>
    <w:rsid w:val="004216E0"/>
    <w:rsid w:val="00425CCC"/>
    <w:rsid w:val="00426573"/>
    <w:rsid w:val="004306D6"/>
    <w:rsid w:val="00433288"/>
    <w:rsid w:val="00433F18"/>
    <w:rsid w:val="0043415A"/>
    <w:rsid w:val="00434631"/>
    <w:rsid w:val="00435509"/>
    <w:rsid w:val="00435758"/>
    <w:rsid w:val="00435C76"/>
    <w:rsid w:val="004373E0"/>
    <w:rsid w:val="0043799B"/>
    <w:rsid w:val="00437C33"/>
    <w:rsid w:val="00443C5F"/>
    <w:rsid w:val="004450A2"/>
    <w:rsid w:val="0044535B"/>
    <w:rsid w:val="004453B9"/>
    <w:rsid w:val="00450406"/>
    <w:rsid w:val="00451C87"/>
    <w:rsid w:val="00452B7B"/>
    <w:rsid w:val="0045629F"/>
    <w:rsid w:val="00460032"/>
    <w:rsid w:val="004643B9"/>
    <w:rsid w:val="00473805"/>
    <w:rsid w:val="00474105"/>
    <w:rsid w:val="00476B01"/>
    <w:rsid w:val="00476C39"/>
    <w:rsid w:val="00477468"/>
    <w:rsid w:val="004774A4"/>
    <w:rsid w:val="00482636"/>
    <w:rsid w:val="00482E50"/>
    <w:rsid w:val="004834E2"/>
    <w:rsid w:val="00486410"/>
    <w:rsid w:val="00486E07"/>
    <w:rsid w:val="00487622"/>
    <w:rsid w:val="004907BD"/>
    <w:rsid w:val="00491B9B"/>
    <w:rsid w:val="00492572"/>
    <w:rsid w:val="004933B0"/>
    <w:rsid w:val="004934BA"/>
    <w:rsid w:val="004958E8"/>
    <w:rsid w:val="004A4F22"/>
    <w:rsid w:val="004B1348"/>
    <w:rsid w:val="004B39A6"/>
    <w:rsid w:val="004B5BAB"/>
    <w:rsid w:val="004B5E01"/>
    <w:rsid w:val="004B6159"/>
    <w:rsid w:val="004B81B7"/>
    <w:rsid w:val="004C0AD6"/>
    <w:rsid w:val="004C14E2"/>
    <w:rsid w:val="004C2A72"/>
    <w:rsid w:val="004C57FE"/>
    <w:rsid w:val="004C6EB7"/>
    <w:rsid w:val="004D4CE4"/>
    <w:rsid w:val="004D5B22"/>
    <w:rsid w:val="004D6533"/>
    <w:rsid w:val="004D7265"/>
    <w:rsid w:val="004E3CED"/>
    <w:rsid w:val="004E47B6"/>
    <w:rsid w:val="004E5873"/>
    <w:rsid w:val="004E5A2B"/>
    <w:rsid w:val="004E5C3D"/>
    <w:rsid w:val="004F2BC6"/>
    <w:rsid w:val="004F66B3"/>
    <w:rsid w:val="004F7508"/>
    <w:rsid w:val="00500078"/>
    <w:rsid w:val="005007D3"/>
    <w:rsid w:val="0050439D"/>
    <w:rsid w:val="00506D77"/>
    <w:rsid w:val="0051145B"/>
    <w:rsid w:val="0051273D"/>
    <w:rsid w:val="00512A9B"/>
    <w:rsid w:val="0051793C"/>
    <w:rsid w:val="005202D0"/>
    <w:rsid w:val="00523991"/>
    <w:rsid w:val="00523C7A"/>
    <w:rsid w:val="005260B5"/>
    <w:rsid w:val="00530FD4"/>
    <w:rsid w:val="00533B84"/>
    <w:rsid w:val="00534528"/>
    <w:rsid w:val="00534DA6"/>
    <w:rsid w:val="00535E88"/>
    <w:rsid w:val="005370BB"/>
    <w:rsid w:val="00537EEB"/>
    <w:rsid w:val="005422A7"/>
    <w:rsid w:val="00542E96"/>
    <w:rsid w:val="005435AF"/>
    <w:rsid w:val="00543777"/>
    <w:rsid w:val="0054596A"/>
    <w:rsid w:val="00545D1B"/>
    <w:rsid w:val="005460F0"/>
    <w:rsid w:val="00546171"/>
    <w:rsid w:val="00547654"/>
    <w:rsid w:val="005525CB"/>
    <w:rsid w:val="00553B46"/>
    <w:rsid w:val="00553C3C"/>
    <w:rsid w:val="00559408"/>
    <w:rsid w:val="00561068"/>
    <w:rsid w:val="0056168F"/>
    <w:rsid w:val="00561BDA"/>
    <w:rsid w:val="00562E59"/>
    <w:rsid w:val="005712EC"/>
    <w:rsid w:val="0057262F"/>
    <w:rsid w:val="00572DB8"/>
    <w:rsid w:val="00573EDB"/>
    <w:rsid w:val="00574D49"/>
    <w:rsid w:val="005764AB"/>
    <w:rsid w:val="00577F13"/>
    <w:rsid w:val="005807A1"/>
    <w:rsid w:val="00581868"/>
    <w:rsid w:val="00583F55"/>
    <w:rsid w:val="00584D96"/>
    <w:rsid w:val="00584E12"/>
    <w:rsid w:val="00585DEE"/>
    <w:rsid w:val="0058663D"/>
    <w:rsid w:val="00590100"/>
    <w:rsid w:val="00590AAA"/>
    <w:rsid w:val="00590C5F"/>
    <w:rsid w:val="00591747"/>
    <w:rsid w:val="00591C74"/>
    <w:rsid w:val="00592210"/>
    <w:rsid w:val="00592721"/>
    <w:rsid w:val="00597B64"/>
    <w:rsid w:val="005A24D1"/>
    <w:rsid w:val="005A2C5B"/>
    <w:rsid w:val="005A3669"/>
    <w:rsid w:val="005A3A79"/>
    <w:rsid w:val="005A5DC1"/>
    <w:rsid w:val="005A60F0"/>
    <w:rsid w:val="005A6766"/>
    <w:rsid w:val="005A6BFC"/>
    <w:rsid w:val="005A7931"/>
    <w:rsid w:val="005A7A1F"/>
    <w:rsid w:val="005A7A2C"/>
    <w:rsid w:val="005B382E"/>
    <w:rsid w:val="005B4BC3"/>
    <w:rsid w:val="005C36F8"/>
    <w:rsid w:val="005C5220"/>
    <w:rsid w:val="005D0FC1"/>
    <w:rsid w:val="005D3EAA"/>
    <w:rsid w:val="005D45BB"/>
    <w:rsid w:val="005D4798"/>
    <w:rsid w:val="005D5634"/>
    <w:rsid w:val="005D5B93"/>
    <w:rsid w:val="005D6854"/>
    <w:rsid w:val="005D7FBC"/>
    <w:rsid w:val="005E0093"/>
    <w:rsid w:val="005E1FE5"/>
    <w:rsid w:val="005E294E"/>
    <w:rsid w:val="005E4564"/>
    <w:rsid w:val="005E586D"/>
    <w:rsid w:val="005F04A1"/>
    <w:rsid w:val="005F107D"/>
    <w:rsid w:val="005F4385"/>
    <w:rsid w:val="005F508E"/>
    <w:rsid w:val="005F6405"/>
    <w:rsid w:val="005F6E4F"/>
    <w:rsid w:val="00602387"/>
    <w:rsid w:val="006047EB"/>
    <w:rsid w:val="00605250"/>
    <w:rsid w:val="0060636D"/>
    <w:rsid w:val="00606DF0"/>
    <w:rsid w:val="00607FA0"/>
    <w:rsid w:val="00607FF1"/>
    <w:rsid w:val="00611C6F"/>
    <w:rsid w:val="006137E9"/>
    <w:rsid w:val="00613CE3"/>
    <w:rsid w:val="0061477A"/>
    <w:rsid w:val="0061EAE4"/>
    <w:rsid w:val="0062045F"/>
    <w:rsid w:val="006224F9"/>
    <w:rsid w:val="00622CF8"/>
    <w:rsid w:val="006245CD"/>
    <w:rsid w:val="006311F4"/>
    <w:rsid w:val="006312E6"/>
    <w:rsid w:val="00634998"/>
    <w:rsid w:val="00634D7F"/>
    <w:rsid w:val="00635632"/>
    <w:rsid w:val="006357D7"/>
    <w:rsid w:val="00636727"/>
    <w:rsid w:val="00637B59"/>
    <w:rsid w:val="00637DD6"/>
    <w:rsid w:val="00640721"/>
    <w:rsid w:val="0064127C"/>
    <w:rsid w:val="00642C02"/>
    <w:rsid w:val="00643BE2"/>
    <w:rsid w:val="00644793"/>
    <w:rsid w:val="00645867"/>
    <w:rsid w:val="006459D8"/>
    <w:rsid w:val="00645D6D"/>
    <w:rsid w:val="006468A3"/>
    <w:rsid w:val="00650B23"/>
    <w:rsid w:val="0065136E"/>
    <w:rsid w:val="0065365F"/>
    <w:rsid w:val="00655761"/>
    <w:rsid w:val="006569ED"/>
    <w:rsid w:val="00657DB7"/>
    <w:rsid w:val="00660F37"/>
    <w:rsid w:val="00663E00"/>
    <w:rsid w:val="0066402D"/>
    <w:rsid w:val="0066578C"/>
    <w:rsid w:val="00665AC2"/>
    <w:rsid w:val="00667846"/>
    <w:rsid w:val="00671FF9"/>
    <w:rsid w:val="00672453"/>
    <w:rsid w:val="006732B2"/>
    <w:rsid w:val="0067376F"/>
    <w:rsid w:val="00673908"/>
    <w:rsid w:val="0067430A"/>
    <w:rsid w:val="0067451E"/>
    <w:rsid w:val="006776E9"/>
    <w:rsid w:val="0068051A"/>
    <w:rsid w:val="00681472"/>
    <w:rsid w:val="00681948"/>
    <w:rsid w:val="00681C49"/>
    <w:rsid w:val="006852EF"/>
    <w:rsid w:val="0068583B"/>
    <w:rsid w:val="0068794A"/>
    <w:rsid w:val="006928C2"/>
    <w:rsid w:val="006937CD"/>
    <w:rsid w:val="00694B02"/>
    <w:rsid w:val="00697070"/>
    <w:rsid w:val="006A05E9"/>
    <w:rsid w:val="006A21C8"/>
    <w:rsid w:val="006A5BF0"/>
    <w:rsid w:val="006A72D0"/>
    <w:rsid w:val="006B02AF"/>
    <w:rsid w:val="006B02F8"/>
    <w:rsid w:val="006B3FE0"/>
    <w:rsid w:val="006B4541"/>
    <w:rsid w:val="006B4F51"/>
    <w:rsid w:val="006B5B33"/>
    <w:rsid w:val="006B68CE"/>
    <w:rsid w:val="006B6994"/>
    <w:rsid w:val="006B6B24"/>
    <w:rsid w:val="006B6F0D"/>
    <w:rsid w:val="006B7DF1"/>
    <w:rsid w:val="006C24DC"/>
    <w:rsid w:val="006C3CC7"/>
    <w:rsid w:val="006C622D"/>
    <w:rsid w:val="006C7288"/>
    <w:rsid w:val="006C794C"/>
    <w:rsid w:val="006C7BD1"/>
    <w:rsid w:val="006D4736"/>
    <w:rsid w:val="006E03FB"/>
    <w:rsid w:val="006E0704"/>
    <w:rsid w:val="006E0E14"/>
    <w:rsid w:val="006E0F81"/>
    <w:rsid w:val="006E3784"/>
    <w:rsid w:val="006E3D75"/>
    <w:rsid w:val="006E3F77"/>
    <w:rsid w:val="006E6B77"/>
    <w:rsid w:val="006E744E"/>
    <w:rsid w:val="006F03B3"/>
    <w:rsid w:val="006F2997"/>
    <w:rsid w:val="006F332D"/>
    <w:rsid w:val="006F342F"/>
    <w:rsid w:val="006F3560"/>
    <w:rsid w:val="006F36D3"/>
    <w:rsid w:val="006F38DB"/>
    <w:rsid w:val="006F570C"/>
    <w:rsid w:val="00703BB7"/>
    <w:rsid w:val="00704DA8"/>
    <w:rsid w:val="007101AF"/>
    <w:rsid w:val="007104AD"/>
    <w:rsid w:val="00710F7F"/>
    <w:rsid w:val="00713C20"/>
    <w:rsid w:val="007152E6"/>
    <w:rsid w:val="00716141"/>
    <w:rsid w:val="00717603"/>
    <w:rsid w:val="00717E9A"/>
    <w:rsid w:val="00720985"/>
    <w:rsid w:val="007258A1"/>
    <w:rsid w:val="00725D15"/>
    <w:rsid w:val="00727034"/>
    <w:rsid w:val="007279A1"/>
    <w:rsid w:val="00730A38"/>
    <w:rsid w:val="007342A7"/>
    <w:rsid w:val="007345D4"/>
    <w:rsid w:val="00734EF5"/>
    <w:rsid w:val="007352F9"/>
    <w:rsid w:val="00736076"/>
    <w:rsid w:val="00740382"/>
    <w:rsid w:val="007425C2"/>
    <w:rsid w:val="00743D61"/>
    <w:rsid w:val="00744B51"/>
    <w:rsid w:val="0075226F"/>
    <w:rsid w:val="00753C7C"/>
    <w:rsid w:val="00757129"/>
    <w:rsid w:val="00761BBD"/>
    <w:rsid w:val="007659BF"/>
    <w:rsid w:val="00766981"/>
    <w:rsid w:val="00766A25"/>
    <w:rsid w:val="00766C30"/>
    <w:rsid w:val="00772DBC"/>
    <w:rsid w:val="00774389"/>
    <w:rsid w:val="007744AB"/>
    <w:rsid w:val="007751FB"/>
    <w:rsid w:val="00775A0F"/>
    <w:rsid w:val="007767DC"/>
    <w:rsid w:val="0078056B"/>
    <w:rsid w:val="0078088C"/>
    <w:rsid w:val="0078281B"/>
    <w:rsid w:val="00783503"/>
    <w:rsid w:val="00786F74"/>
    <w:rsid w:val="0078727D"/>
    <w:rsid w:val="007902D4"/>
    <w:rsid w:val="00792BEC"/>
    <w:rsid w:val="0079372A"/>
    <w:rsid w:val="00793B4C"/>
    <w:rsid w:val="00794EDD"/>
    <w:rsid w:val="00796C7C"/>
    <w:rsid w:val="00797148"/>
    <w:rsid w:val="007A0851"/>
    <w:rsid w:val="007A355B"/>
    <w:rsid w:val="007A35DB"/>
    <w:rsid w:val="007A48C3"/>
    <w:rsid w:val="007A4C09"/>
    <w:rsid w:val="007A56EA"/>
    <w:rsid w:val="007A5E42"/>
    <w:rsid w:val="007A6596"/>
    <w:rsid w:val="007A71C9"/>
    <w:rsid w:val="007A762A"/>
    <w:rsid w:val="007AC946"/>
    <w:rsid w:val="007B15E2"/>
    <w:rsid w:val="007B19E0"/>
    <w:rsid w:val="007B1C17"/>
    <w:rsid w:val="007B3D3C"/>
    <w:rsid w:val="007B44CD"/>
    <w:rsid w:val="007B4B4D"/>
    <w:rsid w:val="007B4F4D"/>
    <w:rsid w:val="007B5BF4"/>
    <w:rsid w:val="007C0F3E"/>
    <w:rsid w:val="007C11BA"/>
    <w:rsid w:val="007C44F9"/>
    <w:rsid w:val="007C7194"/>
    <w:rsid w:val="007D014B"/>
    <w:rsid w:val="007D04E3"/>
    <w:rsid w:val="007D4A4F"/>
    <w:rsid w:val="007D6385"/>
    <w:rsid w:val="007E0A3E"/>
    <w:rsid w:val="007E36EE"/>
    <w:rsid w:val="007E37EB"/>
    <w:rsid w:val="007E4A0F"/>
    <w:rsid w:val="007E58F0"/>
    <w:rsid w:val="007E7278"/>
    <w:rsid w:val="007F0264"/>
    <w:rsid w:val="007F0302"/>
    <w:rsid w:val="007F05D6"/>
    <w:rsid w:val="007F0A29"/>
    <w:rsid w:val="007F14C7"/>
    <w:rsid w:val="007F5D1D"/>
    <w:rsid w:val="007F7821"/>
    <w:rsid w:val="00800848"/>
    <w:rsid w:val="00800CAC"/>
    <w:rsid w:val="008070BB"/>
    <w:rsid w:val="00807B11"/>
    <w:rsid w:val="00810DED"/>
    <w:rsid w:val="00811AD7"/>
    <w:rsid w:val="00813688"/>
    <w:rsid w:val="008142A9"/>
    <w:rsid w:val="00814EE1"/>
    <w:rsid w:val="00816FB2"/>
    <w:rsid w:val="00820805"/>
    <w:rsid w:val="00820B51"/>
    <w:rsid w:val="00822320"/>
    <w:rsid w:val="00822F32"/>
    <w:rsid w:val="008230C0"/>
    <w:rsid w:val="0082349F"/>
    <w:rsid w:val="00823CCD"/>
    <w:rsid w:val="00832D38"/>
    <w:rsid w:val="00835085"/>
    <w:rsid w:val="008405D8"/>
    <w:rsid w:val="00840D22"/>
    <w:rsid w:val="00841EE8"/>
    <w:rsid w:val="008435E6"/>
    <w:rsid w:val="008438ED"/>
    <w:rsid w:val="00843B16"/>
    <w:rsid w:val="008469FD"/>
    <w:rsid w:val="0084761F"/>
    <w:rsid w:val="0085072E"/>
    <w:rsid w:val="00850CA2"/>
    <w:rsid w:val="0085137F"/>
    <w:rsid w:val="00855362"/>
    <w:rsid w:val="00855644"/>
    <w:rsid w:val="008560D5"/>
    <w:rsid w:val="008602FB"/>
    <w:rsid w:val="00860423"/>
    <w:rsid w:val="00862D32"/>
    <w:rsid w:val="00867E85"/>
    <w:rsid w:val="00870736"/>
    <w:rsid w:val="00870890"/>
    <w:rsid w:val="00871769"/>
    <w:rsid w:val="008737B9"/>
    <w:rsid w:val="00873D13"/>
    <w:rsid w:val="00874F83"/>
    <w:rsid w:val="008826E9"/>
    <w:rsid w:val="00882970"/>
    <w:rsid w:val="008830FF"/>
    <w:rsid w:val="00883C67"/>
    <w:rsid w:val="00884BDE"/>
    <w:rsid w:val="008903DA"/>
    <w:rsid w:val="00893014"/>
    <w:rsid w:val="00894099"/>
    <w:rsid w:val="008940B3"/>
    <w:rsid w:val="00897725"/>
    <w:rsid w:val="008A07D4"/>
    <w:rsid w:val="008A0DFD"/>
    <w:rsid w:val="008A1518"/>
    <w:rsid w:val="008A1580"/>
    <w:rsid w:val="008A2200"/>
    <w:rsid w:val="008A30D2"/>
    <w:rsid w:val="008A5AB7"/>
    <w:rsid w:val="008B3EEE"/>
    <w:rsid w:val="008B66AF"/>
    <w:rsid w:val="008B6A2F"/>
    <w:rsid w:val="008D0A4A"/>
    <w:rsid w:val="008D1746"/>
    <w:rsid w:val="008D3584"/>
    <w:rsid w:val="008D46BF"/>
    <w:rsid w:val="008D4804"/>
    <w:rsid w:val="008D480E"/>
    <w:rsid w:val="008D543C"/>
    <w:rsid w:val="008D63D0"/>
    <w:rsid w:val="008D6C57"/>
    <w:rsid w:val="008E1BF8"/>
    <w:rsid w:val="008E3076"/>
    <w:rsid w:val="008E36D9"/>
    <w:rsid w:val="008E63C7"/>
    <w:rsid w:val="008E6C0F"/>
    <w:rsid w:val="008F10BC"/>
    <w:rsid w:val="008F1FE8"/>
    <w:rsid w:val="008F2676"/>
    <w:rsid w:val="008F3164"/>
    <w:rsid w:val="008F3AE6"/>
    <w:rsid w:val="008F4B3E"/>
    <w:rsid w:val="008F4F1A"/>
    <w:rsid w:val="008F6319"/>
    <w:rsid w:val="008F7E36"/>
    <w:rsid w:val="00900D52"/>
    <w:rsid w:val="009031D4"/>
    <w:rsid w:val="0090353C"/>
    <w:rsid w:val="00905FA5"/>
    <w:rsid w:val="0090605B"/>
    <w:rsid w:val="00911091"/>
    <w:rsid w:val="00914A15"/>
    <w:rsid w:val="00916415"/>
    <w:rsid w:val="0091719F"/>
    <w:rsid w:val="00917F1B"/>
    <w:rsid w:val="00924435"/>
    <w:rsid w:val="00926819"/>
    <w:rsid w:val="00926FAA"/>
    <w:rsid w:val="009275AC"/>
    <w:rsid w:val="00933EA7"/>
    <w:rsid w:val="0093640B"/>
    <w:rsid w:val="009404A9"/>
    <w:rsid w:val="00941137"/>
    <w:rsid w:val="009416C9"/>
    <w:rsid w:val="00943136"/>
    <w:rsid w:val="00943179"/>
    <w:rsid w:val="00944A6A"/>
    <w:rsid w:val="00945B67"/>
    <w:rsid w:val="00947267"/>
    <w:rsid w:val="00947ABE"/>
    <w:rsid w:val="009541F7"/>
    <w:rsid w:val="00954A50"/>
    <w:rsid w:val="00954F40"/>
    <w:rsid w:val="0095684A"/>
    <w:rsid w:val="00960D35"/>
    <w:rsid w:val="00962A6E"/>
    <w:rsid w:val="00962E46"/>
    <w:rsid w:val="00963F36"/>
    <w:rsid w:val="0096409F"/>
    <w:rsid w:val="009651B8"/>
    <w:rsid w:val="009652B5"/>
    <w:rsid w:val="00965960"/>
    <w:rsid w:val="00965FA1"/>
    <w:rsid w:val="00970A56"/>
    <w:rsid w:val="00971909"/>
    <w:rsid w:val="00975D79"/>
    <w:rsid w:val="0098273D"/>
    <w:rsid w:val="00983230"/>
    <w:rsid w:val="009843C0"/>
    <w:rsid w:val="00987396"/>
    <w:rsid w:val="009875C6"/>
    <w:rsid w:val="00987645"/>
    <w:rsid w:val="00990C66"/>
    <w:rsid w:val="00994550"/>
    <w:rsid w:val="00995612"/>
    <w:rsid w:val="00995D0D"/>
    <w:rsid w:val="009969CA"/>
    <w:rsid w:val="00996DD4"/>
    <w:rsid w:val="00997134"/>
    <w:rsid w:val="009A00E0"/>
    <w:rsid w:val="009A0677"/>
    <w:rsid w:val="009A4938"/>
    <w:rsid w:val="009A4A2C"/>
    <w:rsid w:val="009A577B"/>
    <w:rsid w:val="009A5E4B"/>
    <w:rsid w:val="009A62B2"/>
    <w:rsid w:val="009A67FD"/>
    <w:rsid w:val="009A6D7A"/>
    <w:rsid w:val="009B102F"/>
    <w:rsid w:val="009B1D39"/>
    <w:rsid w:val="009B3A1C"/>
    <w:rsid w:val="009B3EDE"/>
    <w:rsid w:val="009B4880"/>
    <w:rsid w:val="009B6923"/>
    <w:rsid w:val="009C14CE"/>
    <w:rsid w:val="009C1C87"/>
    <w:rsid w:val="009C1FC8"/>
    <w:rsid w:val="009C2AA5"/>
    <w:rsid w:val="009C5D07"/>
    <w:rsid w:val="009C6F92"/>
    <w:rsid w:val="009D0C05"/>
    <w:rsid w:val="009D1633"/>
    <w:rsid w:val="009D4BA5"/>
    <w:rsid w:val="009D6A43"/>
    <w:rsid w:val="009D7351"/>
    <w:rsid w:val="009E3767"/>
    <w:rsid w:val="009E392F"/>
    <w:rsid w:val="009E3D26"/>
    <w:rsid w:val="009E587F"/>
    <w:rsid w:val="009F0AF9"/>
    <w:rsid w:val="009F1716"/>
    <w:rsid w:val="009F4643"/>
    <w:rsid w:val="009F5417"/>
    <w:rsid w:val="009F7EC4"/>
    <w:rsid w:val="00A00171"/>
    <w:rsid w:val="00A006B3"/>
    <w:rsid w:val="00A00808"/>
    <w:rsid w:val="00A02602"/>
    <w:rsid w:val="00A10084"/>
    <w:rsid w:val="00A101D8"/>
    <w:rsid w:val="00A11736"/>
    <w:rsid w:val="00A229E5"/>
    <w:rsid w:val="00A24536"/>
    <w:rsid w:val="00A2470A"/>
    <w:rsid w:val="00A2498B"/>
    <w:rsid w:val="00A258FA"/>
    <w:rsid w:val="00A2642E"/>
    <w:rsid w:val="00A30857"/>
    <w:rsid w:val="00A3142F"/>
    <w:rsid w:val="00A33772"/>
    <w:rsid w:val="00A3464B"/>
    <w:rsid w:val="00A34BEB"/>
    <w:rsid w:val="00A35B38"/>
    <w:rsid w:val="00A362C4"/>
    <w:rsid w:val="00A363BD"/>
    <w:rsid w:val="00A369AF"/>
    <w:rsid w:val="00A36FDC"/>
    <w:rsid w:val="00A41A2A"/>
    <w:rsid w:val="00A445C6"/>
    <w:rsid w:val="00A45E46"/>
    <w:rsid w:val="00A462E7"/>
    <w:rsid w:val="00A4799E"/>
    <w:rsid w:val="00A52BD1"/>
    <w:rsid w:val="00A566AD"/>
    <w:rsid w:val="00A5724A"/>
    <w:rsid w:val="00A573B2"/>
    <w:rsid w:val="00A5754A"/>
    <w:rsid w:val="00A60342"/>
    <w:rsid w:val="00A62242"/>
    <w:rsid w:val="00A6402B"/>
    <w:rsid w:val="00A64988"/>
    <w:rsid w:val="00A65172"/>
    <w:rsid w:val="00A65BCC"/>
    <w:rsid w:val="00A661E9"/>
    <w:rsid w:val="00A703A0"/>
    <w:rsid w:val="00A70565"/>
    <w:rsid w:val="00A724D2"/>
    <w:rsid w:val="00A755DD"/>
    <w:rsid w:val="00A811CD"/>
    <w:rsid w:val="00A81698"/>
    <w:rsid w:val="00A838F8"/>
    <w:rsid w:val="00A85AEF"/>
    <w:rsid w:val="00A86B6E"/>
    <w:rsid w:val="00A92320"/>
    <w:rsid w:val="00A92754"/>
    <w:rsid w:val="00A934B6"/>
    <w:rsid w:val="00A939A0"/>
    <w:rsid w:val="00A95942"/>
    <w:rsid w:val="00A95DB2"/>
    <w:rsid w:val="00A96B21"/>
    <w:rsid w:val="00AA043B"/>
    <w:rsid w:val="00AA06D2"/>
    <w:rsid w:val="00AA110C"/>
    <w:rsid w:val="00AA160E"/>
    <w:rsid w:val="00AA1F99"/>
    <w:rsid w:val="00AA2867"/>
    <w:rsid w:val="00AA320B"/>
    <w:rsid w:val="00AA3B57"/>
    <w:rsid w:val="00AA5D56"/>
    <w:rsid w:val="00AA6063"/>
    <w:rsid w:val="00AA7CE9"/>
    <w:rsid w:val="00AA7F72"/>
    <w:rsid w:val="00AB0D15"/>
    <w:rsid w:val="00AB23D1"/>
    <w:rsid w:val="00AB34CC"/>
    <w:rsid w:val="00AB3894"/>
    <w:rsid w:val="00AB6899"/>
    <w:rsid w:val="00AB6ACE"/>
    <w:rsid w:val="00AB7E5D"/>
    <w:rsid w:val="00AB7E60"/>
    <w:rsid w:val="00AC0145"/>
    <w:rsid w:val="00AC0D03"/>
    <w:rsid w:val="00AC0DD7"/>
    <w:rsid w:val="00AC1D87"/>
    <w:rsid w:val="00AC2851"/>
    <w:rsid w:val="00AC35CC"/>
    <w:rsid w:val="00AC5121"/>
    <w:rsid w:val="00AC5254"/>
    <w:rsid w:val="00AC5781"/>
    <w:rsid w:val="00AC5BEE"/>
    <w:rsid w:val="00AD1ED7"/>
    <w:rsid w:val="00AD1F8B"/>
    <w:rsid w:val="00AD21C8"/>
    <w:rsid w:val="00AD30A7"/>
    <w:rsid w:val="00AD3902"/>
    <w:rsid w:val="00AD52AB"/>
    <w:rsid w:val="00AD5EEC"/>
    <w:rsid w:val="00AD7450"/>
    <w:rsid w:val="00AD827F"/>
    <w:rsid w:val="00AE1B06"/>
    <w:rsid w:val="00AE30D9"/>
    <w:rsid w:val="00AE34BA"/>
    <w:rsid w:val="00AF0B9C"/>
    <w:rsid w:val="00AF14F9"/>
    <w:rsid w:val="00AF269A"/>
    <w:rsid w:val="00AF3ED0"/>
    <w:rsid w:val="00AF5204"/>
    <w:rsid w:val="00AF6646"/>
    <w:rsid w:val="00AF68FD"/>
    <w:rsid w:val="00AF6D46"/>
    <w:rsid w:val="00AF6EDB"/>
    <w:rsid w:val="00B00646"/>
    <w:rsid w:val="00B01C5A"/>
    <w:rsid w:val="00B0696A"/>
    <w:rsid w:val="00B0A0DC"/>
    <w:rsid w:val="00B10EE0"/>
    <w:rsid w:val="00B10FA9"/>
    <w:rsid w:val="00B12768"/>
    <w:rsid w:val="00B14BB9"/>
    <w:rsid w:val="00B151C0"/>
    <w:rsid w:val="00B159B4"/>
    <w:rsid w:val="00B2063F"/>
    <w:rsid w:val="00B225F8"/>
    <w:rsid w:val="00B24E7C"/>
    <w:rsid w:val="00B25E41"/>
    <w:rsid w:val="00B2773A"/>
    <w:rsid w:val="00B27CD1"/>
    <w:rsid w:val="00B3030C"/>
    <w:rsid w:val="00B30734"/>
    <w:rsid w:val="00B328A9"/>
    <w:rsid w:val="00B3418A"/>
    <w:rsid w:val="00B34C4C"/>
    <w:rsid w:val="00B3515B"/>
    <w:rsid w:val="00B37A32"/>
    <w:rsid w:val="00B407D2"/>
    <w:rsid w:val="00B41DE0"/>
    <w:rsid w:val="00B4242E"/>
    <w:rsid w:val="00B42739"/>
    <w:rsid w:val="00B42D82"/>
    <w:rsid w:val="00B452D8"/>
    <w:rsid w:val="00B46092"/>
    <w:rsid w:val="00B47AD3"/>
    <w:rsid w:val="00B513D9"/>
    <w:rsid w:val="00B524B5"/>
    <w:rsid w:val="00B52B47"/>
    <w:rsid w:val="00B53EA3"/>
    <w:rsid w:val="00B55ADC"/>
    <w:rsid w:val="00B55C12"/>
    <w:rsid w:val="00B6068B"/>
    <w:rsid w:val="00B60A7B"/>
    <w:rsid w:val="00B61C98"/>
    <w:rsid w:val="00B6331F"/>
    <w:rsid w:val="00B6649F"/>
    <w:rsid w:val="00B70B4F"/>
    <w:rsid w:val="00B70F9E"/>
    <w:rsid w:val="00B74EC8"/>
    <w:rsid w:val="00B74FD9"/>
    <w:rsid w:val="00B7687D"/>
    <w:rsid w:val="00B82A19"/>
    <w:rsid w:val="00B849AB"/>
    <w:rsid w:val="00B84F2A"/>
    <w:rsid w:val="00B877D7"/>
    <w:rsid w:val="00B90462"/>
    <w:rsid w:val="00B916C4"/>
    <w:rsid w:val="00B927E4"/>
    <w:rsid w:val="00B93976"/>
    <w:rsid w:val="00BA0BDC"/>
    <w:rsid w:val="00BA1BCD"/>
    <w:rsid w:val="00BA1CDE"/>
    <w:rsid w:val="00BA21C3"/>
    <w:rsid w:val="00BA28AF"/>
    <w:rsid w:val="00BA4A18"/>
    <w:rsid w:val="00BA6128"/>
    <w:rsid w:val="00BA669D"/>
    <w:rsid w:val="00BA7818"/>
    <w:rsid w:val="00BB1839"/>
    <w:rsid w:val="00BB2179"/>
    <w:rsid w:val="00BB55C7"/>
    <w:rsid w:val="00BB684C"/>
    <w:rsid w:val="00BB6E8E"/>
    <w:rsid w:val="00BC65D1"/>
    <w:rsid w:val="00BD0627"/>
    <w:rsid w:val="00BD3A02"/>
    <w:rsid w:val="00BD56BD"/>
    <w:rsid w:val="00BD56C6"/>
    <w:rsid w:val="00BD5A11"/>
    <w:rsid w:val="00BD5A63"/>
    <w:rsid w:val="00BD6542"/>
    <w:rsid w:val="00BE139D"/>
    <w:rsid w:val="00BE405D"/>
    <w:rsid w:val="00BE4A35"/>
    <w:rsid w:val="00BE6512"/>
    <w:rsid w:val="00BE6D6A"/>
    <w:rsid w:val="00BE6DDD"/>
    <w:rsid w:val="00BF14F8"/>
    <w:rsid w:val="00BF1C94"/>
    <w:rsid w:val="00BF287B"/>
    <w:rsid w:val="00BF2D47"/>
    <w:rsid w:val="00BF2FA3"/>
    <w:rsid w:val="00BF31CD"/>
    <w:rsid w:val="00BF40CA"/>
    <w:rsid w:val="00BF4637"/>
    <w:rsid w:val="00BF4E3D"/>
    <w:rsid w:val="00BF4F6D"/>
    <w:rsid w:val="00BF51FF"/>
    <w:rsid w:val="00BF5548"/>
    <w:rsid w:val="00BF55F2"/>
    <w:rsid w:val="00C020A1"/>
    <w:rsid w:val="00C03861"/>
    <w:rsid w:val="00C0391E"/>
    <w:rsid w:val="00C1103C"/>
    <w:rsid w:val="00C1182B"/>
    <w:rsid w:val="00C11B1C"/>
    <w:rsid w:val="00C11CBA"/>
    <w:rsid w:val="00C12A08"/>
    <w:rsid w:val="00C17FF9"/>
    <w:rsid w:val="00C1CC46"/>
    <w:rsid w:val="00C2384B"/>
    <w:rsid w:val="00C249D5"/>
    <w:rsid w:val="00C24CC4"/>
    <w:rsid w:val="00C253A4"/>
    <w:rsid w:val="00C2541A"/>
    <w:rsid w:val="00C25721"/>
    <w:rsid w:val="00C26A38"/>
    <w:rsid w:val="00C30922"/>
    <w:rsid w:val="00C30C09"/>
    <w:rsid w:val="00C3122B"/>
    <w:rsid w:val="00C31319"/>
    <w:rsid w:val="00C31BE4"/>
    <w:rsid w:val="00C31D66"/>
    <w:rsid w:val="00C33899"/>
    <w:rsid w:val="00C342FD"/>
    <w:rsid w:val="00C420D5"/>
    <w:rsid w:val="00C4271A"/>
    <w:rsid w:val="00C44342"/>
    <w:rsid w:val="00C45FEB"/>
    <w:rsid w:val="00C46354"/>
    <w:rsid w:val="00C47312"/>
    <w:rsid w:val="00C52F1D"/>
    <w:rsid w:val="00C5314B"/>
    <w:rsid w:val="00C53804"/>
    <w:rsid w:val="00C539E9"/>
    <w:rsid w:val="00C60FAE"/>
    <w:rsid w:val="00C61D3E"/>
    <w:rsid w:val="00C6257A"/>
    <w:rsid w:val="00C659F1"/>
    <w:rsid w:val="00C66DA5"/>
    <w:rsid w:val="00C678B0"/>
    <w:rsid w:val="00C67C39"/>
    <w:rsid w:val="00C7101E"/>
    <w:rsid w:val="00C71889"/>
    <w:rsid w:val="00C71AD5"/>
    <w:rsid w:val="00C7292F"/>
    <w:rsid w:val="00C72DA0"/>
    <w:rsid w:val="00C7350D"/>
    <w:rsid w:val="00C73A24"/>
    <w:rsid w:val="00C73E4C"/>
    <w:rsid w:val="00C751E2"/>
    <w:rsid w:val="00C84065"/>
    <w:rsid w:val="00C865D0"/>
    <w:rsid w:val="00C87968"/>
    <w:rsid w:val="00C907F3"/>
    <w:rsid w:val="00C9297A"/>
    <w:rsid w:val="00C932ED"/>
    <w:rsid w:val="00C943E0"/>
    <w:rsid w:val="00C94532"/>
    <w:rsid w:val="00C94A63"/>
    <w:rsid w:val="00C94D70"/>
    <w:rsid w:val="00C952EB"/>
    <w:rsid w:val="00C96E00"/>
    <w:rsid w:val="00C97BFB"/>
    <w:rsid w:val="00CA29F1"/>
    <w:rsid w:val="00CA44CA"/>
    <w:rsid w:val="00CB08C3"/>
    <w:rsid w:val="00CB0C3A"/>
    <w:rsid w:val="00CB0C54"/>
    <w:rsid w:val="00CB3D73"/>
    <w:rsid w:val="00CB3DCD"/>
    <w:rsid w:val="00CB41C2"/>
    <w:rsid w:val="00CB5085"/>
    <w:rsid w:val="00CC33DF"/>
    <w:rsid w:val="00CC4EE6"/>
    <w:rsid w:val="00CC737D"/>
    <w:rsid w:val="00CD0386"/>
    <w:rsid w:val="00CD1015"/>
    <w:rsid w:val="00CD3A84"/>
    <w:rsid w:val="00CD4923"/>
    <w:rsid w:val="00CE0C77"/>
    <w:rsid w:val="00CE0DB6"/>
    <w:rsid w:val="00CE1416"/>
    <w:rsid w:val="00CE169A"/>
    <w:rsid w:val="00CE1B9B"/>
    <w:rsid w:val="00CE431C"/>
    <w:rsid w:val="00CE546A"/>
    <w:rsid w:val="00CE5DA8"/>
    <w:rsid w:val="00CE7BBD"/>
    <w:rsid w:val="00CF09F7"/>
    <w:rsid w:val="00CF0CA7"/>
    <w:rsid w:val="00CF21B0"/>
    <w:rsid w:val="00CF341E"/>
    <w:rsid w:val="00CF3800"/>
    <w:rsid w:val="00CF5D33"/>
    <w:rsid w:val="00CF6B10"/>
    <w:rsid w:val="00CF7B93"/>
    <w:rsid w:val="00D03016"/>
    <w:rsid w:val="00D0363C"/>
    <w:rsid w:val="00D04411"/>
    <w:rsid w:val="00D044BB"/>
    <w:rsid w:val="00D10E5F"/>
    <w:rsid w:val="00D119A6"/>
    <w:rsid w:val="00D12428"/>
    <w:rsid w:val="00D13538"/>
    <w:rsid w:val="00D153E6"/>
    <w:rsid w:val="00D16898"/>
    <w:rsid w:val="00D16A2F"/>
    <w:rsid w:val="00D2116A"/>
    <w:rsid w:val="00D259E3"/>
    <w:rsid w:val="00D25B19"/>
    <w:rsid w:val="00D26AF2"/>
    <w:rsid w:val="00D27197"/>
    <w:rsid w:val="00D339B9"/>
    <w:rsid w:val="00D34E10"/>
    <w:rsid w:val="00D353D5"/>
    <w:rsid w:val="00D357B4"/>
    <w:rsid w:val="00D35FDB"/>
    <w:rsid w:val="00D36423"/>
    <w:rsid w:val="00D36470"/>
    <w:rsid w:val="00D36CAA"/>
    <w:rsid w:val="00D3702F"/>
    <w:rsid w:val="00D377B1"/>
    <w:rsid w:val="00D37B05"/>
    <w:rsid w:val="00D4069D"/>
    <w:rsid w:val="00D40FE5"/>
    <w:rsid w:val="00D411B8"/>
    <w:rsid w:val="00D413C0"/>
    <w:rsid w:val="00D41E0B"/>
    <w:rsid w:val="00D42D42"/>
    <w:rsid w:val="00D470BF"/>
    <w:rsid w:val="00D508B1"/>
    <w:rsid w:val="00D5102A"/>
    <w:rsid w:val="00D51087"/>
    <w:rsid w:val="00D533AC"/>
    <w:rsid w:val="00D536F8"/>
    <w:rsid w:val="00D54A2C"/>
    <w:rsid w:val="00D55FDB"/>
    <w:rsid w:val="00D56666"/>
    <w:rsid w:val="00D56862"/>
    <w:rsid w:val="00D56982"/>
    <w:rsid w:val="00D62160"/>
    <w:rsid w:val="00D63679"/>
    <w:rsid w:val="00D6557E"/>
    <w:rsid w:val="00D65D44"/>
    <w:rsid w:val="00D66652"/>
    <w:rsid w:val="00D707AB"/>
    <w:rsid w:val="00D72716"/>
    <w:rsid w:val="00D740E8"/>
    <w:rsid w:val="00D75C4A"/>
    <w:rsid w:val="00D75EC8"/>
    <w:rsid w:val="00D76356"/>
    <w:rsid w:val="00D76E48"/>
    <w:rsid w:val="00D77FA1"/>
    <w:rsid w:val="00D8002E"/>
    <w:rsid w:val="00D82B7C"/>
    <w:rsid w:val="00D83171"/>
    <w:rsid w:val="00D832F6"/>
    <w:rsid w:val="00D84E01"/>
    <w:rsid w:val="00D852D9"/>
    <w:rsid w:val="00D86787"/>
    <w:rsid w:val="00D875ED"/>
    <w:rsid w:val="00D913CB"/>
    <w:rsid w:val="00D9190A"/>
    <w:rsid w:val="00D92975"/>
    <w:rsid w:val="00D95481"/>
    <w:rsid w:val="00D9690F"/>
    <w:rsid w:val="00D96C42"/>
    <w:rsid w:val="00DA0F6B"/>
    <w:rsid w:val="00DA1114"/>
    <w:rsid w:val="00DA1B81"/>
    <w:rsid w:val="00DA2AEF"/>
    <w:rsid w:val="00DA2B00"/>
    <w:rsid w:val="00DA4322"/>
    <w:rsid w:val="00DA4726"/>
    <w:rsid w:val="00DA5B25"/>
    <w:rsid w:val="00DA6750"/>
    <w:rsid w:val="00DA707A"/>
    <w:rsid w:val="00DA70D5"/>
    <w:rsid w:val="00DA728D"/>
    <w:rsid w:val="00DB10B1"/>
    <w:rsid w:val="00DB1766"/>
    <w:rsid w:val="00DB2249"/>
    <w:rsid w:val="00DB3696"/>
    <w:rsid w:val="00DB37B3"/>
    <w:rsid w:val="00DB4F87"/>
    <w:rsid w:val="00DB525E"/>
    <w:rsid w:val="00DB6498"/>
    <w:rsid w:val="00DB7091"/>
    <w:rsid w:val="00DB7C38"/>
    <w:rsid w:val="00DC33DC"/>
    <w:rsid w:val="00DC4B5A"/>
    <w:rsid w:val="00DD0377"/>
    <w:rsid w:val="00DD22E2"/>
    <w:rsid w:val="00DD309C"/>
    <w:rsid w:val="00DD31B7"/>
    <w:rsid w:val="00DD4272"/>
    <w:rsid w:val="00DD5C73"/>
    <w:rsid w:val="00DD73DF"/>
    <w:rsid w:val="00DD7CBA"/>
    <w:rsid w:val="00DE102B"/>
    <w:rsid w:val="00DE1882"/>
    <w:rsid w:val="00DE31E8"/>
    <w:rsid w:val="00DE4E35"/>
    <w:rsid w:val="00DE6D44"/>
    <w:rsid w:val="00DE7A60"/>
    <w:rsid w:val="00DF381C"/>
    <w:rsid w:val="00DF3F0E"/>
    <w:rsid w:val="00DF540F"/>
    <w:rsid w:val="00DF5CAD"/>
    <w:rsid w:val="00DF6794"/>
    <w:rsid w:val="00DF6B1C"/>
    <w:rsid w:val="00DF7CBC"/>
    <w:rsid w:val="00E01478"/>
    <w:rsid w:val="00E031A7"/>
    <w:rsid w:val="00E04CB4"/>
    <w:rsid w:val="00E05878"/>
    <w:rsid w:val="00E071AB"/>
    <w:rsid w:val="00E07BD0"/>
    <w:rsid w:val="00E11705"/>
    <w:rsid w:val="00E12D87"/>
    <w:rsid w:val="00E14042"/>
    <w:rsid w:val="00E14108"/>
    <w:rsid w:val="00E14C73"/>
    <w:rsid w:val="00E159E4"/>
    <w:rsid w:val="00E15FFE"/>
    <w:rsid w:val="00E2099B"/>
    <w:rsid w:val="00E2229D"/>
    <w:rsid w:val="00E2319C"/>
    <w:rsid w:val="00E24A7E"/>
    <w:rsid w:val="00E24E04"/>
    <w:rsid w:val="00E300B0"/>
    <w:rsid w:val="00E30218"/>
    <w:rsid w:val="00E31F0F"/>
    <w:rsid w:val="00E34495"/>
    <w:rsid w:val="00E355CE"/>
    <w:rsid w:val="00E37C84"/>
    <w:rsid w:val="00E40784"/>
    <w:rsid w:val="00E41D89"/>
    <w:rsid w:val="00E42C76"/>
    <w:rsid w:val="00E4439E"/>
    <w:rsid w:val="00E45BE0"/>
    <w:rsid w:val="00E50E06"/>
    <w:rsid w:val="00E546CC"/>
    <w:rsid w:val="00E54BBD"/>
    <w:rsid w:val="00E554EE"/>
    <w:rsid w:val="00E577C0"/>
    <w:rsid w:val="00E62BB4"/>
    <w:rsid w:val="00E63052"/>
    <w:rsid w:val="00E64032"/>
    <w:rsid w:val="00E6432A"/>
    <w:rsid w:val="00E646DE"/>
    <w:rsid w:val="00E65064"/>
    <w:rsid w:val="00E677E0"/>
    <w:rsid w:val="00E677E4"/>
    <w:rsid w:val="00E70FDB"/>
    <w:rsid w:val="00E71140"/>
    <w:rsid w:val="00E7120E"/>
    <w:rsid w:val="00E73340"/>
    <w:rsid w:val="00E740F8"/>
    <w:rsid w:val="00E7656F"/>
    <w:rsid w:val="00E77A01"/>
    <w:rsid w:val="00E804E9"/>
    <w:rsid w:val="00E83428"/>
    <w:rsid w:val="00E83B32"/>
    <w:rsid w:val="00E84E70"/>
    <w:rsid w:val="00E85AC8"/>
    <w:rsid w:val="00E91C43"/>
    <w:rsid w:val="00E91CE5"/>
    <w:rsid w:val="00E928C7"/>
    <w:rsid w:val="00E97462"/>
    <w:rsid w:val="00EA03EC"/>
    <w:rsid w:val="00EA1C89"/>
    <w:rsid w:val="00EA2735"/>
    <w:rsid w:val="00EA4121"/>
    <w:rsid w:val="00EA4AC9"/>
    <w:rsid w:val="00EA524A"/>
    <w:rsid w:val="00EA55C8"/>
    <w:rsid w:val="00EA5EF1"/>
    <w:rsid w:val="00EA690D"/>
    <w:rsid w:val="00EA6B85"/>
    <w:rsid w:val="00EB074A"/>
    <w:rsid w:val="00EB2215"/>
    <w:rsid w:val="00EB2619"/>
    <w:rsid w:val="00EB27F1"/>
    <w:rsid w:val="00EB715E"/>
    <w:rsid w:val="00EC0343"/>
    <w:rsid w:val="00EC0977"/>
    <w:rsid w:val="00EC09D6"/>
    <w:rsid w:val="00EC27FC"/>
    <w:rsid w:val="00EC301A"/>
    <w:rsid w:val="00EC3F5A"/>
    <w:rsid w:val="00EC4E10"/>
    <w:rsid w:val="00EC607B"/>
    <w:rsid w:val="00EC6405"/>
    <w:rsid w:val="00EC6938"/>
    <w:rsid w:val="00EC6F11"/>
    <w:rsid w:val="00ED0F54"/>
    <w:rsid w:val="00ED15E4"/>
    <w:rsid w:val="00ED192B"/>
    <w:rsid w:val="00ED1C06"/>
    <w:rsid w:val="00ED3426"/>
    <w:rsid w:val="00ED5EBC"/>
    <w:rsid w:val="00ED614F"/>
    <w:rsid w:val="00ED64F9"/>
    <w:rsid w:val="00ED7115"/>
    <w:rsid w:val="00EDF983"/>
    <w:rsid w:val="00EE1594"/>
    <w:rsid w:val="00EE3EC7"/>
    <w:rsid w:val="00EE483E"/>
    <w:rsid w:val="00EE6FFC"/>
    <w:rsid w:val="00EF56D6"/>
    <w:rsid w:val="00EF5911"/>
    <w:rsid w:val="00EF63FE"/>
    <w:rsid w:val="00EF99C3"/>
    <w:rsid w:val="00F0229B"/>
    <w:rsid w:val="00F02E26"/>
    <w:rsid w:val="00F046F4"/>
    <w:rsid w:val="00F04821"/>
    <w:rsid w:val="00F05AD7"/>
    <w:rsid w:val="00F06D9C"/>
    <w:rsid w:val="00F130DE"/>
    <w:rsid w:val="00F1369C"/>
    <w:rsid w:val="00F224ED"/>
    <w:rsid w:val="00F22544"/>
    <w:rsid w:val="00F2653B"/>
    <w:rsid w:val="00F325B0"/>
    <w:rsid w:val="00F33AB7"/>
    <w:rsid w:val="00F36E82"/>
    <w:rsid w:val="00F37B1E"/>
    <w:rsid w:val="00F41672"/>
    <w:rsid w:val="00F47FE8"/>
    <w:rsid w:val="00F51403"/>
    <w:rsid w:val="00F56FF6"/>
    <w:rsid w:val="00F57978"/>
    <w:rsid w:val="00F616D7"/>
    <w:rsid w:val="00F70AF7"/>
    <w:rsid w:val="00F72E4D"/>
    <w:rsid w:val="00F809CB"/>
    <w:rsid w:val="00F81E10"/>
    <w:rsid w:val="00F82080"/>
    <w:rsid w:val="00F8262C"/>
    <w:rsid w:val="00F82656"/>
    <w:rsid w:val="00F82B1E"/>
    <w:rsid w:val="00F82CDE"/>
    <w:rsid w:val="00F846E7"/>
    <w:rsid w:val="00F84AA8"/>
    <w:rsid w:val="00F87665"/>
    <w:rsid w:val="00F911DE"/>
    <w:rsid w:val="00F928DB"/>
    <w:rsid w:val="00F931B6"/>
    <w:rsid w:val="00F979B0"/>
    <w:rsid w:val="00FA10D5"/>
    <w:rsid w:val="00FA18B8"/>
    <w:rsid w:val="00FA19A8"/>
    <w:rsid w:val="00FA2133"/>
    <w:rsid w:val="00FA3DB1"/>
    <w:rsid w:val="00FA4F70"/>
    <w:rsid w:val="00FA6B76"/>
    <w:rsid w:val="00FA7664"/>
    <w:rsid w:val="00FB13F3"/>
    <w:rsid w:val="00FB20B3"/>
    <w:rsid w:val="00FB23C1"/>
    <w:rsid w:val="00FB486E"/>
    <w:rsid w:val="00FB546B"/>
    <w:rsid w:val="00FB6156"/>
    <w:rsid w:val="00FC02B3"/>
    <w:rsid w:val="00FC02FE"/>
    <w:rsid w:val="00FC4958"/>
    <w:rsid w:val="00FC4A4E"/>
    <w:rsid w:val="00FC797D"/>
    <w:rsid w:val="00FC7DD1"/>
    <w:rsid w:val="00FD2B42"/>
    <w:rsid w:val="00FD3517"/>
    <w:rsid w:val="00FD52BF"/>
    <w:rsid w:val="00FD6683"/>
    <w:rsid w:val="00FD7079"/>
    <w:rsid w:val="00FE199B"/>
    <w:rsid w:val="00FE37AF"/>
    <w:rsid w:val="00FE4215"/>
    <w:rsid w:val="00FE4BFC"/>
    <w:rsid w:val="00FEBB3D"/>
    <w:rsid w:val="00FF0AFC"/>
    <w:rsid w:val="00FF14DE"/>
    <w:rsid w:val="00FF1F38"/>
    <w:rsid w:val="00FF3D7E"/>
    <w:rsid w:val="00FF6150"/>
    <w:rsid w:val="00FF65D9"/>
    <w:rsid w:val="00FF6F95"/>
    <w:rsid w:val="00FF7630"/>
    <w:rsid w:val="00FF7AAA"/>
    <w:rsid w:val="0107FCD6"/>
    <w:rsid w:val="0114E9EB"/>
    <w:rsid w:val="01151642"/>
    <w:rsid w:val="012A3FCC"/>
    <w:rsid w:val="0140ACCC"/>
    <w:rsid w:val="014340D2"/>
    <w:rsid w:val="014D1895"/>
    <w:rsid w:val="0150773B"/>
    <w:rsid w:val="01630D40"/>
    <w:rsid w:val="017F5150"/>
    <w:rsid w:val="01800F30"/>
    <w:rsid w:val="0188D81C"/>
    <w:rsid w:val="018E61D3"/>
    <w:rsid w:val="0191EBAF"/>
    <w:rsid w:val="01964E3C"/>
    <w:rsid w:val="01965CC0"/>
    <w:rsid w:val="01990876"/>
    <w:rsid w:val="019EFB9B"/>
    <w:rsid w:val="01A024B9"/>
    <w:rsid w:val="01B62AF2"/>
    <w:rsid w:val="01C5D94B"/>
    <w:rsid w:val="01C77E2E"/>
    <w:rsid w:val="01CD0D8D"/>
    <w:rsid w:val="01D74FFB"/>
    <w:rsid w:val="01E3683B"/>
    <w:rsid w:val="01E590D3"/>
    <w:rsid w:val="01F08893"/>
    <w:rsid w:val="0208BC7E"/>
    <w:rsid w:val="0215BA13"/>
    <w:rsid w:val="02182504"/>
    <w:rsid w:val="022669FE"/>
    <w:rsid w:val="02324E0A"/>
    <w:rsid w:val="023FB861"/>
    <w:rsid w:val="0242C329"/>
    <w:rsid w:val="0244E872"/>
    <w:rsid w:val="024B0944"/>
    <w:rsid w:val="0254A51D"/>
    <w:rsid w:val="025D696B"/>
    <w:rsid w:val="0265BB3A"/>
    <w:rsid w:val="02754EF3"/>
    <w:rsid w:val="02769A0C"/>
    <w:rsid w:val="029203A8"/>
    <w:rsid w:val="0299DB1C"/>
    <w:rsid w:val="02A7E831"/>
    <w:rsid w:val="02A80A2D"/>
    <w:rsid w:val="02B5AB00"/>
    <w:rsid w:val="02BC9049"/>
    <w:rsid w:val="02C79AA6"/>
    <w:rsid w:val="02CB2329"/>
    <w:rsid w:val="02CE8FCB"/>
    <w:rsid w:val="02D0D2C2"/>
    <w:rsid w:val="02D1BA6D"/>
    <w:rsid w:val="02D5D4DC"/>
    <w:rsid w:val="02D778BD"/>
    <w:rsid w:val="02DAC64A"/>
    <w:rsid w:val="02DAEBCB"/>
    <w:rsid w:val="02DCA38F"/>
    <w:rsid w:val="02E36301"/>
    <w:rsid w:val="02EBB14B"/>
    <w:rsid w:val="03018CFE"/>
    <w:rsid w:val="0302E6D7"/>
    <w:rsid w:val="03036CBB"/>
    <w:rsid w:val="03039D07"/>
    <w:rsid w:val="0304BD13"/>
    <w:rsid w:val="0308F75F"/>
    <w:rsid w:val="0322EC32"/>
    <w:rsid w:val="0342D2DE"/>
    <w:rsid w:val="0349FE4A"/>
    <w:rsid w:val="034AB748"/>
    <w:rsid w:val="034F358D"/>
    <w:rsid w:val="035901C6"/>
    <w:rsid w:val="035DA243"/>
    <w:rsid w:val="038229CA"/>
    <w:rsid w:val="0382AA05"/>
    <w:rsid w:val="038EC36B"/>
    <w:rsid w:val="03967885"/>
    <w:rsid w:val="0397291E"/>
    <w:rsid w:val="039894CE"/>
    <w:rsid w:val="03AC385B"/>
    <w:rsid w:val="03AE917C"/>
    <w:rsid w:val="03B09269"/>
    <w:rsid w:val="03B6F896"/>
    <w:rsid w:val="03C3ECFF"/>
    <w:rsid w:val="03C4A1AD"/>
    <w:rsid w:val="03C6C138"/>
    <w:rsid w:val="03C844E6"/>
    <w:rsid w:val="03C8CE8C"/>
    <w:rsid w:val="03CAD075"/>
    <w:rsid w:val="03D335C6"/>
    <w:rsid w:val="03E3DBA6"/>
    <w:rsid w:val="03E8AEDC"/>
    <w:rsid w:val="03EF8E47"/>
    <w:rsid w:val="03F310EB"/>
    <w:rsid w:val="03FD6715"/>
    <w:rsid w:val="0403E997"/>
    <w:rsid w:val="040D9D37"/>
    <w:rsid w:val="04308E7A"/>
    <w:rsid w:val="0442AE8B"/>
    <w:rsid w:val="0443B892"/>
    <w:rsid w:val="0445CEF7"/>
    <w:rsid w:val="044CDC60"/>
    <w:rsid w:val="0453FC8C"/>
    <w:rsid w:val="04703E6A"/>
    <w:rsid w:val="0478C07E"/>
    <w:rsid w:val="0487870C"/>
    <w:rsid w:val="049A93F0"/>
    <w:rsid w:val="049CECAA"/>
    <w:rsid w:val="049EEE62"/>
    <w:rsid w:val="04A092CC"/>
    <w:rsid w:val="04A9905F"/>
    <w:rsid w:val="04C0083E"/>
    <w:rsid w:val="04C00F58"/>
    <w:rsid w:val="04C85485"/>
    <w:rsid w:val="04D3F208"/>
    <w:rsid w:val="04F018E5"/>
    <w:rsid w:val="04F13027"/>
    <w:rsid w:val="04F46666"/>
    <w:rsid w:val="04F54E8E"/>
    <w:rsid w:val="04FACF0A"/>
    <w:rsid w:val="04FB8246"/>
    <w:rsid w:val="050D8EC3"/>
    <w:rsid w:val="0514AAA3"/>
    <w:rsid w:val="05157B12"/>
    <w:rsid w:val="051CE30A"/>
    <w:rsid w:val="051F2C1B"/>
    <w:rsid w:val="052524A9"/>
    <w:rsid w:val="052A21D6"/>
    <w:rsid w:val="052B7305"/>
    <w:rsid w:val="0532077F"/>
    <w:rsid w:val="053C2E4E"/>
    <w:rsid w:val="0564430F"/>
    <w:rsid w:val="05644B01"/>
    <w:rsid w:val="056C4D2F"/>
    <w:rsid w:val="05813700"/>
    <w:rsid w:val="0583D05B"/>
    <w:rsid w:val="05853F81"/>
    <w:rsid w:val="0591A1A1"/>
    <w:rsid w:val="05A68BAA"/>
    <w:rsid w:val="05AB7D3A"/>
    <w:rsid w:val="05B902E3"/>
    <w:rsid w:val="05BA8940"/>
    <w:rsid w:val="05BB9299"/>
    <w:rsid w:val="05CFF7FA"/>
    <w:rsid w:val="05D13E6C"/>
    <w:rsid w:val="05EFC854"/>
    <w:rsid w:val="05F3196D"/>
    <w:rsid w:val="05FA1695"/>
    <w:rsid w:val="060560F3"/>
    <w:rsid w:val="0608A6F7"/>
    <w:rsid w:val="0610DF70"/>
    <w:rsid w:val="06173069"/>
    <w:rsid w:val="061AF290"/>
    <w:rsid w:val="061BB85A"/>
    <w:rsid w:val="062C51C5"/>
    <w:rsid w:val="0633784C"/>
    <w:rsid w:val="063ED9CB"/>
    <w:rsid w:val="063FE0B1"/>
    <w:rsid w:val="064927BE"/>
    <w:rsid w:val="064D56F0"/>
    <w:rsid w:val="065E1061"/>
    <w:rsid w:val="06683212"/>
    <w:rsid w:val="0670780D"/>
    <w:rsid w:val="06731530"/>
    <w:rsid w:val="067CD33F"/>
    <w:rsid w:val="0681C6F4"/>
    <w:rsid w:val="0682A1CA"/>
    <w:rsid w:val="068CA8D7"/>
    <w:rsid w:val="0696E64C"/>
    <w:rsid w:val="069BA89B"/>
    <w:rsid w:val="06A22143"/>
    <w:rsid w:val="06AD68C1"/>
    <w:rsid w:val="06C61BD3"/>
    <w:rsid w:val="06D44FC7"/>
    <w:rsid w:val="06ECE042"/>
    <w:rsid w:val="06F8DF4A"/>
    <w:rsid w:val="06FF3BE2"/>
    <w:rsid w:val="07038CB6"/>
    <w:rsid w:val="070BD393"/>
    <w:rsid w:val="071C68ED"/>
    <w:rsid w:val="071EF526"/>
    <w:rsid w:val="072BFB2A"/>
    <w:rsid w:val="072C159C"/>
    <w:rsid w:val="073C46F5"/>
    <w:rsid w:val="073CFB7C"/>
    <w:rsid w:val="073DC7CD"/>
    <w:rsid w:val="07474D9B"/>
    <w:rsid w:val="0759F12B"/>
    <w:rsid w:val="075E15FD"/>
    <w:rsid w:val="076B8AF6"/>
    <w:rsid w:val="076BDFA5"/>
    <w:rsid w:val="076FB65D"/>
    <w:rsid w:val="077CD413"/>
    <w:rsid w:val="07A582B7"/>
    <w:rsid w:val="07A88EDF"/>
    <w:rsid w:val="07B26339"/>
    <w:rsid w:val="07B4712F"/>
    <w:rsid w:val="07B61D04"/>
    <w:rsid w:val="07BB9B8B"/>
    <w:rsid w:val="07C6C974"/>
    <w:rsid w:val="07D539A9"/>
    <w:rsid w:val="07D82ACD"/>
    <w:rsid w:val="07DB3AB7"/>
    <w:rsid w:val="07DBABA3"/>
    <w:rsid w:val="07F02BB6"/>
    <w:rsid w:val="07F138A3"/>
    <w:rsid w:val="07F28C68"/>
    <w:rsid w:val="081C1FB0"/>
    <w:rsid w:val="082B4C2C"/>
    <w:rsid w:val="08410017"/>
    <w:rsid w:val="084D7821"/>
    <w:rsid w:val="0856C0A7"/>
    <w:rsid w:val="085F0F81"/>
    <w:rsid w:val="0877E7C5"/>
    <w:rsid w:val="087D9CEA"/>
    <w:rsid w:val="08859DC8"/>
    <w:rsid w:val="088A69B9"/>
    <w:rsid w:val="089815AB"/>
    <w:rsid w:val="0898E46E"/>
    <w:rsid w:val="089B3095"/>
    <w:rsid w:val="08A0192C"/>
    <w:rsid w:val="08A2FFAF"/>
    <w:rsid w:val="08A64EC5"/>
    <w:rsid w:val="08AEA32E"/>
    <w:rsid w:val="08AF64C8"/>
    <w:rsid w:val="08CCDE2B"/>
    <w:rsid w:val="08DD154F"/>
    <w:rsid w:val="08E78DA6"/>
    <w:rsid w:val="08E96D98"/>
    <w:rsid w:val="08FA71EB"/>
    <w:rsid w:val="08FD1F0A"/>
    <w:rsid w:val="091CD3A3"/>
    <w:rsid w:val="09313E1B"/>
    <w:rsid w:val="093EF26F"/>
    <w:rsid w:val="0944AB2D"/>
    <w:rsid w:val="09565137"/>
    <w:rsid w:val="0957DA36"/>
    <w:rsid w:val="0971F8B8"/>
    <w:rsid w:val="0973AE6F"/>
    <w:rsid w:val="0974B4AF"/>
    <w:rsid w:val="0980F4C0"/>
    <w:rsid w:val="098B2115"/>
    <w:rsid w:val="09A37D19"/>
    <w:rsid w:val="09A42A12"/>
    <w:rsid w:val="09B3A356"/>
    <w:rsid w:val="09B55EB1"/>
    <w:rsid w:val="09CB18BC"/>
    <w:rsid w:val="09EAE9F0"/>
    <w:rsid w:val="09EBED6D"/>
    <w:rsid w:val="09EEE739"/>
    <w:rsid w:val="09F257A6"/>
    <w:rsid w:val="09F4A593"/>
    <w:rsid w:val="0A03F9CA"/>
    <w:rsid w:val="0A0EEECE"/>
    <w:rsid w:val="0A1DAB49"/>
    <w:rsid w:val="0A25D721"/>
    <w:rsid w:val="0A30EBCD"/>
    <w:rsid w:val="0A321BF5"/>
    <w:rsid w:val="0A3D86E9"/>
    <w:rsid w:val="0A4B3529"/>
    <w:rsid w:val="0A4C3577"/>
    <w:rsid w:val="0A51E9C1"/>
    <w:rsid w:val="0A53CD12"/>
    <w:rsid w:val="0A5C5C45"/>
    <w:rsid w:val="0A673259"/>
    <w:rsid w:val="0A709C12"/>
    <w:rsid w:val="0A7CCD09"/>
    <w:rsid w:val="0A7FF474"/>
    <w:rsid w:val="0A840A8C"/>
    <w:rsid w:val="0A8B5337"/>
    <w:rsid w:val="0A92EB3B"/>
    <w:rsid w:val="0AA57F3C"/>
    <w:rsid w:val="0AB3F2A3"/>
    <w:rsid w:val="0AB73768"/>
    <w:rsid w:val="0AE28D66"/>
    <w:rsid w:val="0AED347C"/>
    <w:rsid w:val="0AF0E56F"/>
    <w:rsid w:val="0B0542B8"/>
    <w:rsid w:val="0B06C6C2"/>
    <w:rsid w:val="0B0A626B"/>
    <w:rsid w:val="0B1BCC0B"/>
    <w:rsid w:val="0B1C51FB"/>
    <w:rsid w:val="0B280162"/>
    <w:rsid w:val="0B3846CE"/>
    <w:rsid w:val="0B4E206D"/>
    <w:rsid w:val="0B4F0741"/>
    <w:rsid w:val="0B5DCFC0"/>
    <w:rsid w:val="0B6D38F4"/>
    <w:rsid w:val="0B890991"/>
    <w:rsid w:val="0B8E36AF"/>
    <w:rsid w:val="0B94F711"/>
    <w:rsid w:val="0B99F792"/>
    <w:rsid w:val="0B9DA3BA"/>
    <w:rsid w:val="0BAC7C27"/>
    <w:rsid w:val="0BACE6A1"/>
    <w:rsid w:val="0BB86068"/>
    <w:rsid w:val="0BC3263D"/>
    <w:rsid w:val="0BC571B3"/>
    <w:rsid w:val="0BD7B9EE"/>
    <w:rsid w:val="0BE7F9C2"/>
    <w:rsid w:val="0BE91AA4"/>
    <w:rsid w:val="0BF2DBC6"/>
    <w:rsid w:val="0BF3B196"/>
    <w:rsid w:val="0BF93C80"/>
    <w:rsid w:val="0C047EED"/>
    <w:rsid w:val="0C0F7048"/>
    <w:rsid w:val="0C159B1C"/>
    <w:rsid w:val="0C294DAF"/>
    <w:rsid w:val="0C456F32"/>
    <w:rsid w:val="0C5754D2"/>
    <w:rsid w:val="0C5A3D89"/>
    <w:rsid w:val="0C65ACDE"/>
    <w:rsid w:val="0C68A5B4"/>
    <w:rsid w:val="0C6A17E9"/>
    <w:rsid w:val="0C775B9A"/>
    <w:rsid w:val="0C81A3C9"/>
    <w:rsid w:val="0C81DAC4"/>
    <w:rsid w:val="0C85DD4E"/>
    <w:rsid w:val="0C8A6DF5"/>
    <w:rsid w:val="0C9D943B"/>
    <w:rsid w:val="0CAA2562"/>
    <w:rsid w:val="0CAF7001"/>
    <w:rsid w:val="0CB215E8"/>
    <w:rsid w:val="0CB6C6DE"/>
    <w:rsid w:val="0CBDA4E7"/>
    <w:rsid w:val="0CCF2B11"/>
    <w:rsid w:val="0CD9948E"/>
    <w:rsid w:val="0CE5A389"/>
    <w:rsid w:val="0CE5A548"/>
    <w:rsid w:val="0CE7EB89"/>
    <w:rsid w:val="0CEC1949"/>
    <w:rsid w:val="0CF55954"/>
    <w:rsid w:val="0D033B8F"/>
    <w:rsid w:val="0D0C11BE"/>
    <w:rsid w:val="0D20E944"/>
    <w:rsid w:val="0D23D228"/>
    <w:rsid w:val="0D28E95B"/>
    <w:rsid w:val="0D3DD536"/>
    <w:rsid w:val="0D3DF785"/>
    <w:rsid w:val="0D500EB4"/>
    <w:rsid w:val="0D50BE88"/>
    <w:rsid w:val="0D5EF69E"/>
    <w:rsid w:val="0D7FDC00"/>
    <w:rsid w:val="0D816265"/>
    <w:rsid w:val="0D95529D"/>
    <w:rsid w:val="0DAD5EA3"/>
    <w:rsid w:val="0DB024FF"/>
    <w:rsid w:val="0DC19F41"/>
    <w:rsid w:val="0DC414C8"/>
    <w:rsid w:val="0DD23606"/>
    <w:rsid w:val="0DDB9E35"/>
    <w:rsid w:val="0DECA11C"/>
    <w:rsid w:val="0DFB1B72"/>
    <w:rsid w:val="0DFB420D"/>
    <w:rsid w:val="0E05E84A"/>
    <w:rsid w:val="0E091B9D"/>
    <w:rsid w:val="0E0B16F6"/>
    <w:rsid w:val="0E169B47"/>
    <w:rsid w:val="0E1D4A82"/>
    <w:rsid w:val="0E21ADAF"/>
    <w:rsid w:val="0E4655E7"/>
    <w:rsid w:val="0E51D936"/>
    <w:rsid w:val="0E523C37"/>
    <w:rsid w:val="0E5538E4"/>
    <w:rsid w:val="0E572D5C"/>
    <w:rsid w:val="0E6875D6"/>
    <w:rsid w:val="0E6E7D45"/>
    <w:rsid w:val="0E76BEE7"/>
    <w:rsid w:val="0E8BE8CC"/>
    <w:rsid w:val="0E8CD8D9"/>
    <w:rsid w:val="0E9664E5"/>
    <w:rsid w:val="0E9F1F1F"/>
    <w:rsid w:val="0E9F33B3"/>
    <w:rsid w:val="0EAF53C6"/>
    <w:rsid w:val="0EB4C161"/>
    <w:rsid w:val="0EBEEF65"/>
    <w:rsid w:val="0ED3159B"/>
    <w:rsid w:val="0ED4D891"/>
    <w:rsid w:val="0ED87A90"/>
    <w:rsid w:val="0EDE5DCB"/>
    <w:rsid w:val="0EEAC3DD"/>
    <w:rsid w:val="0EEF2DCD"/>
    <w:rsid w:val="0EFB744E"/>
    <w:rsid w:val="0F03A809"/>
    <w:rsid w:val="0F0D60C4"/>
    <w:rsid w:val="0F0F50BD"/>
    <w:rsid w:val="0F30D0AA"/>
    <w:rsid w:val="0F37149F"/>
    <w:rsid w:val="0F430B9D"/>
    <w:rsid w:val="0F494C82"/>
    <w:rsid w:val="0F525228"/>
    <w:rsid w:val="0F5593E7"/>
    <w:rsid w:val="0F56992E"/>
    <w:rsid w:val="0F67AC78"/>
    <w:rsid w:val="0F6AB179"/>
    <w:rsid w:val="0F75BCCB"/>
    <w:rsid w:val="0F7A4727"/>
    <w:rsid w:val="0F80C5A7"/>
    <w:rsid w:val="0F8EACF3"/>
    <w:rsid w:val="0F8FE80C"/>
    <w:rsid w:val="0FA153C1"/>
    <w:rsid w:val="0FA2D46D"/>
    <w:rsid w:val="0FA98621"/>
    <w:rsid w:val="0FBB1576"/>
    <w:rsid w:val="0FBC46CA"/>
    <w:rsid w:val="0FBD751E"/>
    <w:rsid w:val="0FBEEA6D"/>
    <w:rsid w:val="0FC06797"/>
    <w:rsid w:val="0FD8B3DB"/>
    <w:rsid w:val="0FDF9605"/>
    <w:rsid w:val="0FF08AC6"/>
    <w:rsid w:val="1009CC7F"/>
    <w:rsid w:val="101D460A"/>
    <w:rsid w:val="10368829"/>
    <w:rsid w:val="1037CACD"/>
    <w:rsid w:val="10383DA8"/>
    <w:rsid w:val="10489EC2"/>
    <w:rsid w:val="104BD45A"/>
    <w:rsid w:val="104D4894"/>
    <w:rsid w:val="10571E42"/>
    <w:rsid w:val="1067DFA8"/>
    <w:rsid w:val="106A2524"/>
    <w:rsid w:val="106AC49E"/>
    <w:rsid w:val="106F8672"/>
    <w:rsid w:val="107ABDEB"/>
    <w:rsid w:val="109496C3"/>
    <w:rsid w:val="1094A63D"/>
    <w:rsid w:val="109656E5"/>
    <w:rsid w:val="1096AA4B"/>
    <w:rsid w:val="10C136D8"/>
    <w:rsid w:val="10C55C77"/>
    <w:rsid w:val="10CCD0E4"/>
    <w:rsid w:val="10D10162"/>
    <w:rsid w:val="10D39616"/>
    <w:rsid w:val="10D59C11"/>
    <w:rsid w:val="10DBFF80"/>
    <w:rsid w:val="10DCD163"/>
    <w:rsid w:val="10E3F49F"/>
    <w:rsid w:val="10EEF310"/>
    <w:rsid w:val="10FBB58A"/>
    <w:rsid w:val="1105CB31"/>
    <w:rsid w:val="11183AA0"/>
    <w:rsid w:val="1125933B"/>
    <w:rsid w:val="1126BFEC"/>
    <w:rsid w:val="112E1D33"/>
    <w:rsid w:val="11317E4D"/>
    <w:rsid w:val="11400296"/>
    <w:rsid w:val="1142BB65"/>
    <w:rsid w:val="114AB3B4"/>
    <w:rsid w:val="115134B3"/>
    <w:rsid w:val="11526884"/>
    <w:rsid w:val="1159F18C"/>
    <w:rsid w:val="1180FFA4"/>
    <w:rsid w:val="118622B5"/>
    <w:rsid w:val="1188FC6C"/>
    <w:rsid w:val="1191FB97"/>
    <w:rsid w:val="11A02D70"/>
    <w:rsid w:val="11CF52E6"/>
    <w:rsid w:val="11F904E8"/>
    <w:rsid w:val="11FDF4FF"/>
    <w:rsid w:val="120B0C3F"/>
    <w:rsid w:val="1212E24F"/>
    <w:rsid w:val="12175F18"/>
    <w:rsid w:val="1237965F"/>
    <w:rsid w:val="12393985"/>
    <w:rsid w:val="12462DEE"/>
    <w:rsid w:val="124AE974"/>
    <w:rsid w:val="124C8B18"/>
    <w:rsid w:val="1252E173"/>
    <w:rsid w:val="126A5CEC"/>
    <w:rsid w:val="126B8FF0"/>
    <w:rsid w:val="12713DA0"/>
    <w:rsid w:val="1282E462"/>
    <w:rsid w:val="1290CD4C"/>
    <w:rsid w:val="129485FB"/>
    <w:rsid w:val="1297EF91"/>
    <w:rsid w:val="129D9D9C"/>
    <w:rsid w:val="12B55FAD"/>
    <w:rsid w:val="12B5F079"/>
    <w:rsid w:val="12C8FAF3"/>
    <w:rsid w:val="12CDF479"/>
    <w:rsid w:val="12EB43BF"/>
    <w:rsid w:val="12F0DB7A"/>
    <w:rsid w:val="130022AD"/>
    <w:rsid w:val="1301B0B2"/>
    <w:rsid w:val="1305DD1B"/>
    <w:rsid w:val="130FC49B"/>
    <w:rsid w:val="13208DDD"/>
    <w:rsid w:val="132329F2"/>
    <w:rsid w:val="1324D0A1"/>
    <w:rsid w:val="13310DE9"/>
    <w:rsid w:val="134F2C45"/>
    <w:rsid w:val="13544EB1"/>
    <w:rsid w:val="135CCA84"/>
    <w:rsid w:val="1369B7A7"/>
    <w:rsid w:val="1371CA5F"/>
    <w:rsid w:val="1375CB5A"/>
    <w:rsid w:val="1382C208"/>
    <w:rsid w:val="138E6FF3"/>
    <w:rsid w:val="13960378"/>
    <w:rsid w:val="13B681B7"/>
    <w:rsid w:val="13B9770F"/>
    <w:rsid w:val="13B9E98E"/>
    <w:rsid w:val="13CBAA2B"/>
    <w:rsid w:val="13CE8FD4"/>
    <w:rsid w:val="13CEE2B3"/>
    <w:rsid w:val="13CEFE82"/>
    <w:rsid w:val="13D0E680"/>
    <w:rsid w:val="13D7CE13"/>
    <w:rsid w:val="13E15F7A"/>
    <w:rsid w:val="13ED244C"/>
    <w:rsid w:val="13FC3521"/>
    <w:rsid w:val="1401CB7D"/>
    <w:rsid w:val="1407A30D"/>
    <w:rsid w:val="140BF50A"/>
    <w:rsid w:val="1412130C"/>
    <w:rsid w:val="141B9612"/>
    <w:rsid w:val="141C0CCC"/>
    <w:rsid w:val="141C8A07"/>
    <w:rsid w:val="142230B5"/>
    <w:rsid w:val="142564AD"/>
    <w:rsid w:val="142F60AE"/>
    <w:rsid w:val="1448C6C2"/>
    <w:rsid w:val="144FBD09"/>
    <w:rsid w:val="1461EBDE"/>
    <w:rsid w:val="14685CFF"/>
    <w:rsid w:val="146AAA83"/>
    <w:rsid w:val="1473B799"/>
    <w:rsid w:val="1477B701"/>
    <w:rsid w:val="1477C6D6"/>
    <w:rsid w:val="14784FDE"/>
    <w:rsid w:val="147FB1A2"/>
    <w:rsid w:val="14871420"/>
    <w:rsid w:val="149205D4"/>
    <w:rsid w:val="149A9F51"/>
    <w:rsid w:val="14A23CF8"/>
    <w:rsid w:val="14AC24FE"/>
    <w:rsid w:val="14B41284"/>
    <w:rsid w:val="14DA67DE"/>
    <w:rsid w:val="14ED9E03"/>
    <w:rsid w:val="14F31A54"/>
    <w:rsid w:val="14F81158"/>
    <w:rsid w:val="15043627"/>
    <w:rsid w:val="1504D0F9"/>
    <w:rsid w:val="15068DE7"/>
    <w:rsid w:val="150A8A30"/>
    <w:rsid w:val="1511A610"/>
    <w:rsid w:val="151359FB"/>
    <w:rsid w:val="1515B8E9"/>
    <w:rsid w:val="15209289"/>
    <w:rsid w:val="1527193F"/>
    <w:rsid w:val="15425B57"/>
    <w:rsid w:val="1546E781"/>
    <w:rsid w:val="15485346"/>
    <w:rsid w:val="155F8D06"/>
    <w:rsid w:val="156362EC"/>
    <w:rsid w:val="15677A8C"/>
    <w:rsid w:val="1568ECC1"/>
    <w:rsid w:val="156C2153"/>
    <w:rsid w:val="157DCEB0"/>
    <w:rsid w:val="1583E484"/>
    <w:rsid w:val="15842BDA"/>
    <w:rsid w:val="1590053C"/>
    <w:rsid w:val="1592BB93"/>
    <w:rsid w:val="1592D067"/>
    <w:rsid w:val="15A0BB56"/>
    <w:rsid w:val="15AC2722"/>
    <w:rsid w:val="15B6739A"/>
    <w:rsid w:val="15B71F9C"/>
    <w:rsid w:val="15B9104E"/>
    <w:rsid w:val="15B97D8B"/>
    <w:rsid w:val="15BB6D4C"/>
    <w:rsid w:val="15BC5B99"/>
    <w:rsid w:val="15BFC6A3"/>
    <w:rsid w:val="15C95E29"/>
    <w:rsid w:val="15D9DA7B"/>
    <w:rsid w:val="15DA7ACC"/>
    <w:rsid w:val="15FDBC3F"/>
    <w:rsid w:val="1607E78D"/>
    <w:rsid w:val="160905AD"/>
    <w:rsid w:val="161773D2"/>
    <w:rsid w:val="1624391A"/>
    <w:rsid w:val="162F55C0"/>
    <w:rsid w:val="163CEF29"/>
    <w:rsid w:val="163D555E"/>
    <w:rsid w:val="163FA500"/>
    <w:rsid w:val="16493A3C"/>
    <w:rsid w:val="165FCC4A"/>
    <w:rsid w:val="166681CD"/>
    <w:rsid w:val="166A5F0E"/>
    <w:rsid w:val="166B9680"/>
    <w:rsid w:val="168164CB"/>
    <w:rsid w:val="16942775"/>
    <w:rsid w:val="169ACE58"/>
    <w:rsid w:val="16ACAFE4"/>
    <w:rsid w:val="16AD407E"/>
    <w:rsid w:val="16D04753"/>
    <w:rsid w:val="16D55526"/>
    <w:rsid w:val="170076B4"/>
    <w:rsid w:val="17073559"/>
    <w:rsid w:val="170A99B5"/>
    <w:rsid w:val="171FFC3B"/>
    <w:rsid w:val="17207995"/>
    <w:rsid w:val="172E5CF3"/>
    <w:rsid w:val="173C987B"/>
    <w:rsid w:val="174D4C3B"/>
    <w:rsid w:val="1767FF7C"/>
    <w:rsid w:val="1769465F"/>
    <w:rsid w:val="176C8EFC"/>
    <w:rsid w:val="1781059B"/>
    <w:rsid w:val="17A10EC5"/>
    <w:rsid w:val="17BA6BC4"/>
    <w:rsid w:val="17CC9698"/>
    <w:rsid w:val="17F600E6"/>
    <w:rsid w:val="180797B2"/>
    <w:rsid w:val="1815BA50"/>
    <w:rsid w:val="18186EB3"/>
    <w:rsid w:val="181D6297"/>
    <w:rsid w:val="181E589B"/>
    <w:rsid w:val="182BA598"/>
    <w:rsid w:val="182D778D"/>
    <w:rsid w:val="1835EAA7"/>
    <w:rsid w:val="184490E0"/>
    <w:rsid w:val="18465178"/>
    <w:rsid w:val="1846876C"/>
    <w:rsid w:val="184CC12E"/>
    <w:rsid w:val="18513458"/>
    <w:rsid w:val="18534EB9"/>
    <w:rsid w:val="18623CDB"/>
    <w:rsid w:val="187486A6"/>
    <w:rsid w:val="18762BE9"/>
    <w:rsid w:val="187978B3"/>
    <w:rsid w:val="188B9561"/>
    <w:rsid w:val="1893C0B4"/>
    <w:rsid w:val="189E6515"/>
    <w:rsid w:val="18B32CBC"/>
    <w:rsid w:val="18BD052D"/>
    <w:rsid w:val="18C4301F"/>
    <w:rsid w:val="18E2EA67"/>
    <w:rsid w:val="18E45254"/>
    <w:rsid w:val="18E6781C"/>
    <w:rsid w:val="18EF4F24"/>
    <w:rsid w:val="18F1886A"/>
    <w:rsid w:val="18F941C6"/>
    <w:rsid w:val="190B92B6"/>
    <w:rsid w:val="1912C20A"/>
    <w:rsid w:val="1920A23E"/>
    <w:rsid w:val="19308E56"/>
    <w:rsid w:val="19355D01"/>
    <w:rsid w:val="193802F6"/>
    <w:rsid w:val="1938DEF2"/>
    <w:rsid w:val="193B2CB9"/>
    <w:rsid w:val="193CF1D1"/>
    <w:rsid w:val="194CFE43"/>
    <w:rsid w:val="1951B724"/>
    <w:rsid w:val="19548939"/>
    <w:rsid w:val="19575EDE"/>
    <w:rsid w:val="19613E5A"/>
    <w:rsid w:val="19645764"/>
    <w:rsid w:val="19747EB3"/>
    <w:rsid w:val="198B2659"/>
    <w:rsid w:val="19900A08"/>
    <w:rsid w:val="19A41918"/>
    <w:rsid w:val="19A4E9CC"/>
    <w:rsid w:val="19A7FEE7"/>
    <w:rsid w:val="19B5B502"/>
    <w:rsid w:val="19BC15AA"/>
    <w:rsid w:val="19BE4BB1"/>
    <w:rsid w:val="19C3C1F3"/>
    <w:rsid w:val="19C65451"/>
    <w:rsid w:val="19CE0723"/>
    <w:rsid w:val="19D00CEB"/>
    <w:rsid w:val="19D45ECE"/>
    <w:rsid w:val="19FA8A62"/>
    <w:rsid w:val="19FB5234"/>
    <w:rsid w:val="1A0C6EA6"/>
    <w:rsid w:val="1A26FFA7"/>
    <w:rsid w:val="1A2F11AD"/>
    <w:rsid w:val="1A2F22BF"/>
    <w:rsid w:val="1A32B6C6"/>
    <w:rsid w:val="1A3BF8FA"/>
    <w:rsid w:val="1A404E3A"/>
    <w:rsid w:val="1A43A108"/>
    <w:rsid w:val="1A4E8182"/>
    <w:rsid w:val="1A54AF5F"/>
    <w:rsid w:val="1A61ABC1"/>
    <w:rsid w:val="1A6B2C95"/>
    <w:rsid w:val="1A75682E"/>
    <w:rsid w:val="1A80CA6D"/>
    <w:rsid w:val="1A899612"/>
    <w:rsid w:val="1AB26A4B"/>
    <w:rsid w:val="1AB4C33B"/>
    <w:rsid w:val="1AB901AA"/>
    <w:rsid w:val="1AC51D15"/>
    <w:rsid w:val="1ACC7581"/>
    <w:rsid w:val="1AE2F91D"/>
    <w:rsid w:val="1B074D79"/>
    <w:rsid w:val="1B0F8561"/>
    <w:rsid w:val="1B125AF8"/>
    <w:rsid w:val="1B1382AF"/>
    <w:rsid w:val="1B1D48CD"/>
    <w:rsid w:val="1B25E3AB"/>
    <w:rsid w:val="1B2831E5"/>
    <w:rsid w:val="1B361068"/>
    <w:rsid w:val="1B3F6174"/>
    <w:rsid w:val="1B51E554"/>
    <w:rsid w:val="1B6A26BD"/>
    <w:rsid w:val="1B80FBAE"/>
    <w:rsid w:val="1B89CF1E"/>
    <w:rsid w:val="1B8CA659"/>
    <w:rsid w:val="1B9D7F75"/>
    <w:rsid w:val="1BAF401F"/>
    <w:rsid w:val="1BB13DDC"/>
    <w:rsid w:val="1BC98122"/>
    <w:rsid w:val="1BD3A356"/>
    <w:rsid w:val="1BE2DFF8"/>
    <w:rsid w:val="1BF3EAB8"/>
    <w:rsid w:val="1C024A6B"/>
    <w:rsid w:val="1C0DB7F3"/>
    <w:rsid w:val="1C118673"/>
    <w:rsid w:val="1C1497A4"/>
    <w:rsid w:val="1C2B5785"/>
    <w:rsid w:val="1C3CB778"/>
    <w:rsid w:val="1C4C3C56"/>
    <w:rsid w:val="1C53B9E5"/>
    <w:rsid w:val="1C595714"/>
    <w:rsid w:val="1C5DC23E"/>
    <w:rsid w:val="1C631924"/>
    <w:rsid w:val="1C6CFB65"/>
    <w:rsid w:val="1C6EA51C"/>
    <w:rsid w:val="1C7C252A"/>
    <w:rsid w:val="1C7D329A"/>
    <w:rsid w:val="1C8B5E9C"/>
    <w:rsid w:val="1C9C8E62"/>
    <w:rsid w:val="1CA31864"/>
    <w:rsid w:val="1CAC96E2"/>
    <w:rsid w:val="1CAD5840"/>
    <w:rsid w:val="1CB565E3"/>
    <w:rsid w:val="1CC442F3"/>
    <w:rsid w:val="1CDFC025"/>
    <w:rsid w:val="1CE48E13"/>
    <w:rsid w:val="1CE69D86"/>
    <w:rsid w:val="1CEB8464"/>
    <w:rsid w:val="1CEE622A"/>
    <w:rsid w:val="1CF89BC5"/>
    <w:rsid w:val="1D199026"/>
    <w:rsid w:val="1D24A57B"/>
    <w:rsid w:val="1D24BEB5"/>
    <w:rsid w:val="1D29C892"/>
    <w:rsid w:val="1D2B1CEE"/>
    <w:rsid w:val="1D2D22A6"/>
    <w:rsid w:val="1D2EE96B"/>
    <w:rsid w:val="1D3A48A6"/>
    <w:rsid w:val="1D3AF2F2"/>
    <w:rsid w:val="1D47B474"/>
    <w:rsid w:val="1D5A5CB5"/>
    <w:rsid w:val="1D5DAB88"/>
    <w:rsid w:val="1D5EA069"/>
    <w:rsid w:val="1D622C50"/>
    <w:rsid w:val="1D657211"/>
    <w:rsid w:val="1D7D7430"/>
    <w:rsid w:val="1D93D24D"/>
    <w:rsid w:val="1DB5C4B7"/>
    <w:rsid w:val="1DC20919"/>
    <w:rsid w:val="1DC23991"/>
    <w:rsid w:val="1DC43565"/>
    <w:rsid w:val="1DCC6454"/>
    <w:rsid w:val="1DCCB2E9"/>
    <w:rsid w:val="1DD8C24A"/>
    <w:rsid w:val="1DE349A6"/>
    <w:rsid w:val="1DFC5A22"/>
    <w:rsid w:val="1E029AF7"/>
    <w:rsid w:val="1E3603CD"/>
    <w:rsid w:val="1E379522"/>
    <w:rsid w:val="1E3CD2B4"/>
    <w:rsid w:val="1E3F4414"/>
    <w:rsid w:val="1E439817"/>
    <w:rsid w:val="1E484C32"/>
    <w:rsid w:val="1E4875AB"/>
    <w:rsid w:val="1E4DE410"/>
    <w:rsid w:val="1E596BC7"/>
    <w:rsid w:val="1E5A4B28"/>
    <w:rsid w:val="1E7C5F48"/>
    <w:rsid w:val="1E83A912"/>
    <w:rsid w:val="1E95EFDD"/>
    <w:rsid w:val="1EA396D5"/>
    <w:rsid w:val="1EAD2A53"/>
    <w:rsid w:val="1EBE15E1"/>
    <w:rsid w:val="1ECA496C"/>
    <w:rsid w:val="1ED8619B"/>
    <w:rsid w:val="1ED8FB02"/>
    <w:rsid w:val="1EDA1ECE"/>
    <w:rsid w:val="1EDFC740"/>
    <w:rsid w:val="1EEB157E"/>
    <w:rsid w:val="1EF784E4"/>
    <w:rsid w:val="1EF8B663"/>
    <w:rsid w:val="1EF8EBAB"/>
    <w:rsid w:val="1F0121E4"/>
    <w:rsid w:val="1F1B4334"/>
    <w:rsid w:val="1F1EB7ED"/>
    <w:rsid w:val="1F2BC186"/>
    <w:rsid w:val="1F302D2D"/>
    <w:rsid w:val="1F3D2C25"/>
    <w:rsid w:val="1F40DEDC"/>
    <w:rsid w:val="1F46B765"/>
    <w:rsid w:val="1F473774"/>
    <w:rsid w:val="1F57A8E4"/>
    <w:rsid w:val="1F62F847"/>
    <w:rsid w:val="1F718D56"/>
    <w:rsid w:val="1F7FE9C1"/>
    <w:rsid w:val="1F82DB80"/>
    <w:rsid w:val="1F8B5AA7"/>
    <w:rsid w:val="1F8E8139"/>
    <w:rsid w:val="1F941FAA"/>
    <w:rsid w:val="1F969CA2"/>
    <w:rsid w:val="1FA6BF97"/>
    <w:rsid w:val="1FB9A345"/>
    <w:rsid w:val="1FBA5DF7"/>
    <w:rsid w:val="1FC0F8A8"/>
    <w:rsid w:val="1FC448A1"/>
    <w:rsid w:val="1FD03ACC"/>
    <w:rsid w:val="1FD363FE"/>
    <w:rsid w:val="1FD5CBEB"/>
    <w:rsid w:val="1FDFEFED"/>
    <w:rsid w:val="1FE26611"/>
    <w:rsid w:val="1FE437A4"/>
    <w:rsid w:val="1FEF0E6A"/>
    <w:rsid w:val="1FF03790"/>
    <w:rsid w:val="20001910"/>
    <w:rsid w:val="200F692B"/>
    <w:rsid w:val="2014078D"/>
    <w:rsid w:val="20182FA9"/>
    <w:rsid w:val="203B575A"/>
    <w:rsid w:val="20500224"/>
    <w:rsid w:val="2050195E"/>
    <w:rsid w:val="2088763B"/>
    <w:rsid w:val="2089B407"/>
    <w:rsid w:val="208B4629"/>
    <w:rsid w:val="208D97C2"/>
    <w:rsid w:val="20934825"/>
    <w:rsid w:val="2093CCE2"/>
    <w:rsid w:val="209A7E96"/>
    <w:rsid w:val="209C6E02"/>
    <w:rsid w:val="209CF245"/>
    <w:rsid w:val="20A45D65"/>
    <w:rsid w:val="20A51644"/>
    <w:rsid w:val="20AFBFD8"/>
    <w:rsid w:val="20B0DD52"/>
    <w:rsid w:val="20BBB7D3"/>
    <w:rsid w:val="20C6F0A2"/>
    <w:rsid w:val="20CAE605"/>
    <w:rsid w:val="20D0BC9A"/>
    <w:rsid w:val="20DEA968"/>
    <w:rsid w:val="20E6368A"/>
    <w:rsid w:val="20E9FC11"/>
    <w:rsid w:val="20FC0DD7"/>
    <w:rsid w:val="2110DD78"/>
    <w:rsid w:val="211FF98E"/>
    <w:rsid w:val="21211895"/>
    <w:rsid w:val="21225A18"/>
    <w:rsid w:val="2124497D"/>
    <w:rsid w:val="212D1D87"/>
    <w:rsid w:val="212E934B"/>
    <w:rsid w:val="212FF00B"/>
    <w:rsid w:val="2132E446"/>
    <w:rsid w:val="21397CEA"/>
    <w:rsid w:val="213B1CEC"/>
    <w:rsid w:val="213C78F6"/>
    <w:rsid w:val="2143E969"/>
    <w:rsid w:val="215895B0"/>
    <w:rsid w:val="21599852"/>
    <w:rsid w:val="2160A13B"/>
    <w:rsid w:val="2162FA4D"/>
    <w:rsid w:val="2180D552"/>
    <w:rsid w:val="21A37B53"/>
    <w:rsid w:val="21B3CCF6"/>
    <w:rsid w:val="21C9D027"/>
    <w:rsid w:val="21D7CD33"/>
    <w:rsid w:val="21EE9448"/>
    <w:rsid w:val="21FE6973"/>
    <w:rsid w:val="22076743"/>
    <w:rsid w:val="2211F164"/>
    <w:rsid w:val="2215ED7D"/>
    <w:rsid w:val="221D539B"/>
    <w:rsid w:val="22462F6A"/>
    <w:rsid w:val="224A896B"/>
    <w:rsid w:val="22536F2D"/>
    <w:rsid w:val="2255B62A"/>
    <w:rsid w:val="225D8B1A"/>
    <w:rsid w:val="225F4F31"/>
    <w:rsid w:val="22724AD2"/>
    <w:rsid w:val="22772104"/>
    <w:rsid w:val="227A2B06"/>
    <w:rsid w:val="228BA7E9"/>
    <w:rsid w:val="229CB893"/>
    <w:rsid w:val="22B5DE90"/>
    <w:rsid w:val="22C019DE"/>
    <w:rsid w:val="22DF5E22"/>
    <w:rsid w:val="22EBA170"/>
    <w:rsid w:val="22F05090"/>
    <w:rsid w:val="22F539EC"/>
    <w:rsid w:val="22FA07C5"/>
    <w:rsid w:val="2317A504"/>
    <w:rsid w:val="231830E6"/>
    <w:rsid w:val="2321A8AC"/>
    <w:rsid w:val="23230848"/>
    <w:rsid w:val="23288E5D"/>
    <w:rsid w:val="232CC800"/>
    <w:rsid w:val="234B6F1D"/>
    <w:rsid w:val="234F569E"/>
    <w:rsid w:val="23508578"/>
    <w:rsid w:val="235B9BAF"/>
    <w:rsid w:val="236D8147"/>
    <w:rsid w:val="239C93C9"/>
    <w:rsid w:val="23ADAEB0"/>
    <w:rsid w:val="23C2234B"/>
    <w:rsid w:val="23C3A977"/>
    <w:rsid w:val="23C9B2E3"/>
    <w:rsid w:val="23D1332C"/>
    <w:rsid w:val="23DC5A99"/>
    <w:rsid w:val="23E87E14"/>
    <w:rsid w:val="23EA0443"/>
    <w:rsid w:val="23EB2DB0"/>
    <w:rsid w:val="2400743D"/>
    <w:rsid w:val="24090083"/>
    <w:rsid w:val="2418E5C4"/>
    <w:rsid w:val="2419958D"/>
    <w:rsid w:val="24206777"/>
    <w:rsid w:val="242F55DD"/>
    <w:rsid w:val="243C50D2"/>
    <w:rsid w:val="247B2E83"/>
    <w:rsid w:val="248E16A7"/>
    <w:rsid w:val="248EDECC"/>
    <w:rsid w:val="24969FBB"/>
    <w:rsid w:val="249BD49C"/>
    <w:rsid w:val="24A6415A"/>
    <w:rsid w:val="24A8DD78"/>
    <w:rsid w:val="24AB231C"/>
    <w:rsid w:val="24B012B4"/>
    <w:rsid w:val="24BC6ECB"/>
    <w:rsid w:val="24CB27BC"/>
    <w:rsid w:val="24CBB102"/>
    <w:rsid w:val="24CD2B67"/>
    <w:rsid w:val="24CF1E57"/>
    <w:rsid w:val="24D6AA63"/>
    <w:rsid w:val="24D9B650"/>
    <w:rsid w:val="24DDDAC1"/>
    <w:rsid w:val="24E2D5CF"/>
    <w:rsid w:val="24F18E9E"/>
    <w:rsid w:val="251E8EFA"/>
    <w:rsid w:val="2520ADFA"/>
    <w:rsid w:val="2528549F"/>
    <w:rsid w:val="25319552"/>
    <w:rsid w:val="253EF7C5"/>
    <w:rsid w:val="254A76E3"/>
    <w:rsid w:val="254DF25D"/>
    <w:rsid w:val="255F2B75"/>
    <w:rsid w:val="256BA7BB"/>
    <w:rsid w:val="259B030A"/>
    <w:rsid w:val="25A37B65"/>
    <w:rsid w:val="25A3E083"/>
    <w:rsid w:val="25AB2149"/>
    <w:rsid w:val="25BEEAAF"/>
    <w:rsid w:val="25C47A55"/>
    <w:rsid w:val="25CE3B94"/>
    <w:rsid w:val="25EBAE96"/>
    <w:rsid w:val="25FBFA50"/>
    <w:rsid w:val="2604AB43"/>
    <w:rsid w:val="2614A655"/>
    <w:rsid w:val="261FC8E6"/>
    <w:rsid w:val="262F08ED"/>
    <w:rsid w:val="263758F2"/>
    <w:rsid w:val="2639AFD5"/>
    <w:rsid w:val="263E6C24"/>
    <w:rsid w:val="26495D62"/>
    <w:rsid w:val="26581588"/>
    <w:rsid w:val="2671931F"/>
    <w:rsid w:val="2686F143"/>
    <w:rsid w:val="26A84BD7"/>
    <w:rsid w:val="26B6C0B9"/>
    <w:rsid w:val="26C927C6"/>
    <w:rsid w:val="26C9CBF9"/>
    <w:rsid w:val="26D26A98"/>
    <w:rsid w:val="26D8D405"/>
    <w:rsid w:val="26DD5913"/>
    <w:rsid w:val="26E1FB6E"/>
    <w:rsid w:val="26E33824"/>
    <w:rsid w:val="26EB0919"/>
    <w:rsid w:val="27046BC2"/>
    <w:rsid w:val="2711C010"/>
    <w:rsid w:val="272FE35B"/>
    <w:rsid w:val="274323A9"/>
    <w:rsid w:val="27464845"/>
    <w:rsid w:val="27474826"/>
    <w:rsid w:val="274BF171"/>
    <w:rsid w:val="275321CF"/>
    <w:rsid w:val="27608B91"/>
    <w:rsid w:val="27636720"/>
    <w:rsid w:val="2763E1A2"/>
    <w:rsid w:val="27711812"/>
    <w:rsid w:val="277E3315"/>
    <w:rsid w:val="27808188"/>
    <w:rsid w:val="2784A019"/>
    <w:rsid w:val="2787B44B"/>
    <w:rsid w:val="278CE0D7"/>
    <w:rsid w:val="27970C8B"/>
    <w:rsid w:val="27997AAA"/>
    <w:rsid w:val="27A40103"/>
    <w:rsid w:val="27A7257C"/>
    <w:rsid w:val="27ACB35E"/>
    <w:rsid w:val="27C07DA8"/>
    <w:rsid w:val="27D80ED2"/>
    <w:rsid w:val="27DFC9BF"/>
    <w:rsid w:val="27E0A919"/>
    <w:rsid w:val="27E440AB"/>
    <w:rsid w:val="27F13514"/>
    <w:rsid w:val="27F9A0DB"/>
    <w:rsid w:val="27F9FEDE"/>
    <w:rsid w:val="27FC103D"/>
    <w:rsid w:val="27FEED42"/>
    <w:rsid w:val="28002D35"/>
    <w:rsid w:val="2810BA9B"/>
    <w:rsid w:val="2817B89C"/>
    <w:rsid w:val="281883A0"/>
    <w:rsid w:val="282ABBDD"/>
    <w:rsid w:val="283BA584"/>
    <w:rsid w:val="283FDD7A"/>
    <w:rsid w:val="284713E5"/>
    <w:rsid w:val="2847FC0D"/>
    <w:rsid w:val="284ACBD8"/>
    <w:rsid w:val="285093EF"/>
    <w:rsid w:val="28528D12"/>
    <w:rsid w:val="28593E3F"/>
    <w:rsid w:val="2860B5A4"/>
    <w:rsid w:val="286604A4"/>
    <w:rsid w:val="286ABA9E"/>
    <w:rsid w:val="286B9A3F"/>
    <w:rsid w:val="286D9DB9"/>
    <w:rsid w:val="286FEB13"/>
    <w:rsid w:val="28788233"/>
    <w:rsid w:val="287BE663"/>
    <w:rsid w:val="287F8E9C"/>
    <w:rsid w:val="28811CC8"/>
    <w:rsid w:val="28870B2A"/>
    <w:rsid w:val="288A69EB"/>
    <w:rsid w:val="288CD71F"/>
    <w:rsid w:val="289B6DBD"/>
    <w:rsid w:val="28A3E120"/>
    <w:rsid w:val="28B14AEB"/>
    <w:rsid w:val="28B5EAA0"/>
    <w:rsid w:val="28BAE73D"/>
    <w:rsid w:val="28C89B9F"/>
    <w:rsid w:val="28CF7E4E"/>
    <w:rsid w:val="28D2D249"/>
    <w:rsid w:val="28E12C3A"/>
    <w:rsid w:val="28ED5053"/>
    <w:rsid w:val="28FAB88D"/>
    <w:rsid w:val="2912F4EF"/>
    <w:rsid w:val="291443B9"/>
    <w:rsid w:val="291C6E8B"/>
    <w:rsid w:val="2926A047"/>
    <w:rsid w:val="292DE634"/>
    <w:rsid w:val="2937426D"/>
    <w:rsid w:val="293F5384"/>
    <w:rsid w:val="2946AEDB"/>
    <w:rsid w:val="294A0E21"/>
    <w:rsid w:val="295C0608"/>
    <w:rsid w:val="2964E41A"/>
    <w:rsid w:val="296F48F2"/>
    <w:rsid w:val="29713727"/>
    <w:rsid w:val="2979FD4C"/>
    <w:rsid w:val="2985B001"/>
    <w:rsid w:val="2989D637"/>
    <w:rsid w:val="298FB64A"/>
    <w:rsid w:val="29AEA53C"/>
    <w:rsid w:val="29B1A87C"/>
    <w:rsid w:val="29BAFE86"/>
    <w:rsid w:val="29C0F08C"/>
    <w:rsid w:val="29E0E13F"/>
    <w:rsid w:val="29EC7EB0"/>
    <w:rsid w:val="29ED62A2"/>
    <w:rsid w:val="2A1548B2"/>
    <w:rsid w:val="2A20F34C"/>
    <w:rsid w:val="2A28DF93"/>
    <w:rsid w:val="2A2B9DA1"/>
    <w:rsid w:val="2A2FDF7C"/>
    <w:rsid w:val="2A320DCE"/>
    <w:rsid w:val="2A323C43"/>
    <w:rsid w:val="2A341694"/>
    <w:rsid w:val="2A37D4F1"/>
    <w:rsid w:val="2A38F467"/>
    <w:rsid w:val="2A46C621"/>
    <w:rsid w:val="2A4B43A3"/>
    <w:rsid w:val="2A4CD13C"/>
    <w:rsid w:val="2A4FD384"/>
    <w:rsid w:val="2A51BB01"/>
    <w:rsid w:val="2A5CFBED"/>
    <w:rsid w:val="2A5EB5DF"/>
    <w:rsid w:val="2A6520E7"/>
    <w:rsid w:val="2A801F81"/>
    <w:rsid w:val="2A8F9469"/>
    <w:rsid w:val="2A9B2E0E"/>
    <w:rsid w:val="2A9E9761"/>
    <w:rsid w:val="2AA170B9"/>
    <w:rsid w:val="2AA39CE1"/>
    <w:rsid w:val="2AA8D484"/>
    <w:rsid w:val="2AAC6148"/>
    <w:rsid w:val="2AB2230C"/>
    <w:rsid w:val="2ABEB99C"/>
    <w:rsid w:val="2AC28B1A"/>
    <w:rsid w:val="2AC9810B"/>
    <w:rsid w:val="2AD6D251"/>
    <w:rsid w:val="2AE4DB9D"/>
    <w:rsid w:val="2AE6C571"/>
    <w:rsid w:val="2AF21D04"/>
    <w:rsid w:val="2AFA4DF2"/>
    <w:rsid w:val="2B26DF90"/>
    <w:rsid w:val="2B29660E"/>
    <w:rsid w:val="2B2B86AB"/>
    <w:rsid w:val="2B2BC845"/>
    <w:rsid w:val="2B36C867"/>
    <w:rsid w:val="2B43174F"/>
    <w:rsid w:val="2B4810E5"/>
    <w:rsid w:val="2B50A843"/>
    <w:rsid w:val="2B5F2C98"/>
    <w:rsid w:val="2B6E7CD5"/>
    <w:rsid w:val="2B7495B0"/>
    <w:rsid w:val="2B75E480"/>
    <w:rsid w:val="2B8A024B"/>
    <w:rsid w:val="2B8D2F93"/>
    <w:rsid w:val="2B964F06"/>
    <w:rsid w:val="2BA802F0"/>
    <w:rsid w:val="2BDB663F"/>
    <w:rsid w:val="2BE3E04A"/>
    <w:rsid w:val="2BE7F583"/>
    <w:rsid w:val="2BF63F95"/>
    <w:rsid w:val="2BF64F72"/>
    <w:rsid w:val="2BFB6BD3"/>
    <w:rsid w:val="2C04BC36"/>
    <w:rsid w:val="2C1AAD3E"/>
    <w:rsid w:val="2C1E6569"/>
    <w:rsid w:val="2C258AA8"/>
    <w:rsid w:val="2C2B3087"/>
    <w:rsid w:val="2C303B93"/>
    <w:rsid w:val="2C3178F8"/>
    <w:rsid w:val="2C32CBD9"/>
    <w:rsid w:val="2C376347"/>
    <w:rsid w:val="2C3999D1"/>
    <w:rsid w:val="2C3B111E"/>
    <w:rsid w:val="2C3BBB4F"/>
    <w:rsid w:val="2C4105C0"/>
    <w:rsid w:val="2C44B947"/>
    <w:rsid w:val="2C471C7D"/>
    <w:rsid w:val="2C4EA608"/>
    <w:rsid w:val="2C54AC8A"/>
    <w:rsid w:val="2C55CAED"/>
    <w:rsid w:val="2C6039E0"/>
    <w:rsid w:val="2C64E29D"/>
    <w:rsid w:val="2C65CBB3"/>
    <w:rsid w:val="2C66539A"/>
    <w:rsid w:val="2C7352FD"/>
    <w:rsid w:val="2C864068"/>
    <w:rsid w:val="2C9FDA06"/>
    <w:rsid w:val="2CA6F95C"/>
    <w:rsid w:val="2CAB15B5"/>
    <w:rsid w:val="2CB0E5FF"/>
    <w:rsid w:val="2CBB6202"/>
    <w:rsid w:val="2CC40D5C"/>
    <w:rsid w:val="2CC4E314"/>
    <w:rsid w:val="2CC71AE6"/>
    <w:rsid w:val="2CCAA832"/>
    <w:rsid w:val="2CD5D5C8"/>
    <w:rsid w:val="2CE13AAF"/>
    <w:rsid w:val="2CE39584"/>
    <w:rsid w:val="2CE4A918"/>
    <w:rsid w:val="2CE626E0"/>
    <w:rsid w:val="2CED261A"/>
    <w:rsid w:val="2CF68A35"/>
    <w:rsid w:val="2CFAE9A1"/>
    <w:rsid w:val="2D003D35"/>
    <w:rsid w:val="2D04FD8B"/>
    <w:rsid w:val="2D0AB0C1"/>
    <w:rsid w:val="2D10C027"/>
    <w:rsid w:val="2D1127CC"/>
    <w:rsid w:val="2D13EC01"/>
    <w:rsid w:val="2D256906"/>
    <w:rsid w:val="2D2744F0"/>
    <w:rsid w:val="2D2C464D"/>
    <w:rsid w:val="2D3A2715"/>
    <w:rsid w:val="2D4512EF"/>
    <w:rsid w:val="2D48ACF9"/>
    <w:rsid w:val="2D4C235D"/>
    <w:rsid w:val="2D5AD8E5"/>
    <w:rsid w:val="2D606006"/>
    <w:rsid w:val="2D62F4ED"/>
    <w:rsid w:val="2D6C1ACA"/>
    <w:rsid w:val="2D6EF327"/>
    <w:rsid w:val="2D7B754D"/>
    <w:rsid w:val="2D88B03B"/>
    <w:rsid w:val="2DAD038D"/>
    <w:rsid w:val="2DBFCC2E"/>
    <w:rsid w:val="2DC7614B"/>
    <w:rsid w:val="2DC97863"/>
    <w:rsid w:val="2DCEBBD1"/>
    <w:rsid w:val="2DD70051"/>
    <w:rsid w:val="2DF810EC"/>
    <w:rsid w:val="2DFE0EDC"/>
    <w:rsid w:val="2E018C9B"/>
    <w:rsid w:val="2E047A06"/>
    <w:rsid w:val="2E071198"/>
    <w:rsid w:val="2E144F76"/>
    <w:rsid w:val="2E1B9F99"/>
    <w:rsid w:val="2E1CCC31"/>
    <w:rsid w:val="2E361851"/>
    <w:rsid w:val="2E66AF50"/>
    <w:rsid w:val="2E77A886"/>
    <w:rsid w:val="2EBE6E07"/>
    <w:rsid w:val="2ECB7ED3"/>
    <w:rsid w:val="2EDA242F"/>
    <w:rsid w:val="2EE00593"/>
    <w:rsid w:val="2EE27CC7"/>
    <w:rsid w:val="2EE86280"/>
    <w:rsid w:val="2EEE673A"/>
    <w:rsid w:val="2EF0EB05"/>
    <w:rsid w:val="2F189532"/>
    <w:rsid w:val="2F481614"/>
    <w:rsid w:val="2F5AD4E7"/>
    <w:rsid w:val="2F606D7F"/>
    <w:rsid w:val="2F7258BB"/>
    <w:rsid w:val="2F7FF4A2"/>
    <w:rsid w:val="2F97306C"/>
    <w:rsid w:val="2FA1ACBB"/>
    <w:rsid w:val="2FA76B5E"/>
    <w:rsid w:val="2FB31856"/>
    <w:rsid w:val="2FBC2321"/>
    <w:rsid w:val="2FC362A3"/>
    <w:rsid w:val="2FC4B507"/>
    <w:rsid w:val="2FC82EEE"/>
    <w:rsid w:val="2FDC57BE"/>
    <w:rsid w:val="2FDF3863"/>
    <w:rsid w:val="2FE06804"/>
    <w:rsid w:val="2FE09F78"/>
    <w:rsid w:val="2FEDB9A8"/>
    <w:rsid w:val="2FEF1C0E"/>
    <w:rsid w:val="2FF1AA38"/>
    <w:rsid w:val="2FF64CD0"/>
    <w:rsid w:val="300248F4"/>
    <w:rsid w:val="30026651"/>
    <w:rsid w:val="3016068E"/>
    <w:rsid w:val="304780E0"/>
    <w:rsid w:val="3056F505"/>
    <w:rsid w:val="305BC034"/>
    <w:rsid w:val="305F947F"/>
    <w:rsid w:val="3060BDBD"/>
    <w:rsid w:val="306F3BE5"/>
    <w:rsid w:val="3077F792"/>
    <w:rsid w:val="307B6128"/>
    <w:rsid w:val="307B6CC7"/>
    <w:rsid w:val="308600ED"/>
    <w:rsid w:val="308BB5AF"/>
    <w:rsid w:val="30963F7C"/>
    <w:rsid w:val="3096DB89"/>
    <w:rsid w:val="30A2C068"/>
    <w:rsid w:val="30AB67FC"/>
    <w:rsid w:val="30BA3EB9"/>
    <w:rsid w:val="30C54C43"/>
    <w:rsid w:val="30C73FDF"/>
    <w:rsid w:val="30DFC221"/>
    <w:rsid w:val="30E7838B"/>
    <w:rsid w:val="30F009EC"/>
    <w:rsid w:val="310D7DA4"/>
    <w:rsid w:val="310E5675"/>
    <w:rsid w:val="311209CF"/>
    <w:rsid w:val="3112F7AC"/>
    <w:rsid w:val="312D02E1"/>
    <w:rsid w:val="3136C4CC"/>
    <w:rsid w:val="31373AE7"/>
    <w:rsid w:val="31572394"/>
    <w:rsid w:val="316D01E7"/>
    <w:rsid w:val="3171CB78"/>
    <w:rsid w:val="31766C2D"/>
    <w:rsid w:val="317C1B7B"/>
    <w:rsid w:val="318D2551"/>
    <w:rsid w:val="318DB0A5"/>
    <w:rsid w:val="318FAFAF"/>
    <w:rsid w:val="31918206"/>
    <w:rsid w:val="3197CBF1"/>
    <w:rsid w:val="319D6B8E"/>
    <w:rsid w:val="31A87CC4"/>
    <w:rsid w:val="31B0FB77"/>
    <w:rsid w:val="31B4E4AC"/>
    <w:rsid w:val="31B88772"/>
    <w:rsid w:val="31B9DD54"/>
    <w:rsid w:val="31BB4A89"/>
    <w:rsid w:val="31C847B9"/>
    <w:rsid w:val="31C95627"/>
    <w:rsid w:val="31D6EC48"/>
    <w:rsid w:val="31D8E1A4"/>
    <w:rsid w:val="31DBCA4D"/>
    <w:rsid w:val="31DD8D28"/>
    <w:rsid w:val="31EAA101"/>
    <w:rsid w:val="31EDF62B"/>
    <w:rsid w:val="31FCEFA0"/>
    <w:rsid w:val="320180A8"/>
    <w:rsid w:val="3201FE64"/>
    <w:rsid w:val="320927F2"/>
    <w:rsid w:val="320CFBAF"/>
    <w:rsid w:val="320DBF09"/>
    <w:rsid w:val="320E5141"/>
    <w:rsid w:val="3213459D"/>
    <w:rsid w:val="32136496"/>
    <w:rsid w:val="32153139"/>
    <w:rsid w:val="3215568B"/>
    <w:rsid w:val="32159F55"/>
    <w:rsid w:val="32354375"/>
    <w:rsid w:val="323B1DE5"/>
    <w:rsid w:val="323C04A8"/>
    <w:rsid w:val="3242F901"/>
    <w:rsid w:val="32465FB3"/>
    <w:rsid w:val="32479B6D"/>
    <w:rsid w:val="32489465"/>
    <w:rsid w:val="324AE687"/>
    <w:rsid w:val="326358AB"/>
    <w:rsid w:val="3268152F"/>
    <w:rsid w:val="326B91C0"/>
    <w:rsid w:val="327813F6"/>
    <w:rsid w:val="328A0FCB"/>
    <w:rsid w:val="32905C22"/>
    <w:rsid w:val="3293E628"/>
    <w:rsid w:val="329B185C"/>
    <w:rsid w:val="32A82AD8"/>
    <w:rsid w:val="32B3FACB"/>
    <w:rsid w:val="3325E648"/>
    <w:rsid w:val="33339C6A"/>
    <w:rsid w:val="333F9A93"/>
    <w:rsid w:val="33420791"/>
    <w:rsid w:val="33526082"/>
    <w:rsid w:val="33550B85"/>
    <w:rsid w:val="33589847"/>
    <w:rsid w:val="336340D8"/>
    <w:rsid w:val="3370D476"/>
    <w:rsid w:val="33777D72"/>
    <w:rsid w:val="33795ECF"/>
    <w:rsid w:val="3391DF2A"/>
    <w:rsid w:val="339B25A4"/>
    <w:rsid w:val="33AD4B15"/>
    <w:rsid w:val="33C05681"/>
    <w:rsid w:val="33D64CA2"/>
    <w:rsid w:val="33DB5C4E"/>
    <w:rsid w:val="33DE6B4F"/>
    <w:rsid w:val="33E7CBF8"/>
    <w:rsid w:val="33E957CA"/>
    <w:rsid w:val="33EE18AE"/>
    <w:rsid w:val="33EFA12E"/>
    <w:rsid w:val="33F99308"/>
    <w:rsid w:val="33F9ED4E"/>
    <w:rsid w:val="33FA7740"/>
    <w:rsid w:val="33FF8953"/>
    <w:rsid w:val="3405FBF0"/>
    <w:rsid w:val="340AC704"/>
    <w:rsid w:val="340C032D"/>
    <w:rsid w:val="3410A3AA"/>
    <w:rsid w:val="341497BD"/>
    <w:rsid w:val="34290040"/>
    <w:rsid w:val="3436835F"/>
    <w:rsid w:val="344048DE"/>
    <w:rsid w:val="3452065F"/>
    <w:rsid w:val="3461C46B"/>
    <w:rsid w:val="34719C44"/>
    <w:rsid w:val="3473CAF9"/>
    <w:rsid w:val="34747F5A"/>
    <w:rsid w:val="3478ED4D"/>
    <w:rsid w:val="34870C9E"/>
    <w:rsid w:val="3492A902"/>
    <w:rsid w:val="349B4BF4"/>
    <w:rsid w:val="349EFA78"/>
    <w:rsid w:val="349F9CC7"/>
    <w:rsid w:val="34B410FD"/>
    <w:rsid w:val="34BD1F20"/>
    <w:rsid w:val="34C2DDB8"/>
    <w:rsid w:val="34C95484"/>
    <w:rsid w:val="34CBE9C5"/>
    <w:rsid w:val="34D53375"/>
    <w:rsid w:val="34DE8918"/>
    <w:rsid w:val="34E94465"/>
    <w:rsid w:val="34EBE688"/>
    <w:rsid w:val="34F113A2"/>
    <w:rsid w:val="34F93385"/>
    <w:rsid w:val="34F9A78F"/>
    <w:rsid w:val="34FCA6EB"/>
    <w:rsid w:val="34FF1139"/>
    <w:rsid w:val="35039854"/>
    <w:rsid w:val="351363D1"/>
    <w:rsid w:val="35149007"/>
    <w:rsid w:val="3518A4B0"/>
    <w:rsid w:val="3529BE3B"/>
    <w:rsid w:val="352DB864"/>
    <w:rsid w:val="352E9AEA"/>
    <w:rsid w:val="3535BCD9"/>
    <w:rsid w:val="3538FEBA"/>
    <w:rsid w:val="353DB55A"/>
    <w:rsid w:val="35411192"/>
    <w:rsid w:val="3565B46F"/>
    <w:rsid w:val="3570970F"/>
    <w:rsid w:val="3574131A"/>
    <w:rsid w:val="35805D56"/>
    <w:rsid w:val="358DF64A"/>
    <w:rsid w:val="3592FC5D"/>
    <w:rsid w:val="3595CDAD"/>
    <w:rsid w:val="3597CFE1"/>
    <w:rsid w:val="35A47CB6"/>
    <w:rsid w:val="35B9145A"/>
    <w:rsid w:val="35C56B16"/>
    <w:rsid w:val="35CB9096"/>
    <w:rsid w:val="35CF36AF"/>
    <w:rsid w:val="35D90D98"/>
    <w:rsid w:val="35DB8914"/>
    <w:rsid w:val="35EA336A"/>
    <w:rsid w:val="35F04B1B"/>
    <w:rsid w:val="35FCEE24"/>
    <w:rsid w:val="36133361"/>
    <w:rsid w:val="361C9B13"/>
    <w:rsid w:val="362825FA"/>
    <w:rsid w:val="362A3EC5"/>
    <w:rsid w:val="362CDDCC"/>
    <w:rsid w:val="36399E1D"/>
    <w:rsid w:val="36405C4C"/>
    <w:rsid w:val="36531A35"/>
    <w:rsid w:val="36574C5B"/>
    <w:rsid w:val="3676EB90"/>
    <w:rsid w:val="367DAC02"/>
    <w:rsid w:val="3696FF2A"/>
    <w:rsid w:val="36A8A86D"/>
    <w:rsid w:val="36A9093A"/>
    <w:rsid w:val="36A9A421"/>
    <w:rsid w:val="36B70121"/>
    <w:rsid w:val="36B74857"/>
    <w:rsid w:val="36C8AFEB"/>
    <w:rsid w:val="36CCBF47"/>
    <w:rsid w:val="36D4ED86"/>
    <w:rsid w:val="36D7E18D"/>
    <w:rsid w:val="36DDCAB4"/>
    <w:rsid w:val="36E38565"/>
    <w:rsid w:val="36FD5474"/>
    <w:rsid w:val="370BA423"/>
    <w:rsid w:val="370E69C2"/>
    <w:rsid w:val="3710F14C"/>
    <w:rsid w:val="371E57AA"/>
    <w:rsid w:val="371EA94A"/>
    <w:rsid w:val="372E7D96"/>
    <w:rsid w:val="373B7EF5"/>
    <w:rsid w:val="373E3026"/>
    <w:rsid w:val="3749A90C"/>
    <w:rsid w:val="374E33A1"/>
    <w:rsid w:val="375B0991"/>
    <w:rsid w:val="376391DE"/>
    <w:rsid w:val="376DD452"/>
    <w:rsid w:val="3779B58F"/>
    <w:rsid w:val="377F60F9"/>
    <w:rsid w:val="37951E97"/>
    <w:rsid w:val="379625AB"/>
    <w:rsid w:val="37984156"/>
    <w:rsid w:val="37A48608"/>
    <w:rsid w:val="37B6FA84"/>
    <w:rsid w:val="37C824F6"/>
    <w:rsid w:val="37E2818F"/>
    <w:rsid w:val="37EE770F"/>
    <w:rsid w:val="37F2E79D"/>
    <w:rsid w:val="38028723"/>
    <w:rsid w:val="3803EC18"/>
    <w:rsid w:val="38051628"/>
    <w:rsid w:val="3806171F"/>
    <w:rsid w:val="381D0838"/>
    <w:rsid w:val="381DD13D"/>
    <w:rsid w:val="381EA8A9"/>
    <w:rsid w:val="38203CFB"/>
    <w:rsid w:val="384E4D5C"/>
    <w:rsid w:val="38579038"/>
    <w:rsid w:val="385A234F"/>
    <w:rsid w:val="385B66AF"/>
    <w:rsid w:val="385E44FA"/>
    <w:rsid w:val="385EAAC6"/>
    <w:rsid w:val="3865F3CD"/>
    <w:rsid w:val="386808D6"/>
    <w:rsid w:val="386AA664"/>
    <w:rsid w:val="3874DDCE"/>
    <w:rsid w:val="388B0007"/>
    <w:rsid w:val="3892D19D"/>
    <w:rsid w:val="38A039B1"/>
    <w:rsid w:val="38A2D3F8"/>
    <w:rsid w:val="38B06108"/>
    <w:rsid w:val="38BA280B"/>
    <w:rsid w:val="38C6568B"/>
    <w:rsid w:val="38CDC120"/>
    <w:rsid w:val="38D25035"/>
    <w:rsid w:val="38E7A47C"/>
    <w:rsid w:val="38EA0402"/>
    <w:rsid w:val="38F0B51C"/>
    <w:rsid w:val="38FEF831"/>
    <w:rsid w:val="3911AF53"/>
    <w:rsid w:val="39246BD3"/>
    <w:rsid w:val="39268EC6"/>
    <w:rsid w:val="3937752B"/>
    <w:rsid w:val="3938723C"/>
    <w:rsid w:val="3945B7F2"/>
    <w:rsid w:val="3951C37D"/>
    <w:rsid w:val="39534C42"/>
    <w:rsid w:val="39543246"/>
    <w:rsid w:val="3958035D"/>
    <w:rsid w:val="396E21ED"/>
    <w:rsid w:val="3972F9DE"/>
    <w:rsid w:val="397805D9"/>
    <w:rsid w:val="3989DC45"/>
    <w:rsid w:val="3991FDAA"/>
    <w:rsid w:val="399470AE"/>
    <w:rsid w:val="3994A97E"/>
    <w:rsid w:val="3998D1DE"/>
    <w:rsid w:val="399D1EB7"/>
    <w:rsid w:val="39A381D2"/>
    <w:rsid w:val="39AADBD0"/>
    <w:rsid w:val="39AED2F2"/>
    <w:rsid w:val="39BF6F46"/>
    <w:rsid w:val="39D3B11A"/>
    <w:rsid w:val="39D3CADC"/>
    <w:rsid w:val="39D3D3D1"/>
    <w:rsid w:val="39DCCBF3"/>
    <w:rsid w:val="39E081CB"/>
    <w:rsid w:val="39F05572"/>
    <w:rsid w:val="3A0D1049"/>
    <w:rsid w:val="3A186842"/>
    <w:rsid w:val="3A1E1AAA"/>
    <w:rsid w:val="3A29924E"/>
    <w:rsid w:val="3A3AF06C"/>
    <w:rsid w:val="3A3BA874"/>
    <w:rsid w:val="3A4428AD"/>
    <w:rsid w:val="3A451002"/>
    <w:rsid w:val="3A487F76"/>
    <w:rsid w:val="3A4E168D"/>
    <w:rsid w:val="3A614F21"/>
    <w:rsid w:val="3A63ED6D"/>
    <w:rsid w:val="3A6FDC26"/>
    <w:rsid w:val="3A72AFE6"/>
    <w:rsid w:val="3A785816"/>
    <w:rsid w:val="3A8C26CA"/>
    <w:rsid w:val="3A9D271D"/>
    <w:rsid w:val="3A9DCFA8"/>
    <w:rsid w:val="3AB2328F"/>
    <w:rsid w:val="3ADFA837"/>
    <w:rsid w:val="3AE5B469"/>
    <w:rsid w:val="3AEE511E"/>
    <w:rsid w:val="3AF69E07"/>
    <w:rsid w:val="3AFFCEE9"/>
    <w:rsid w:val="3B23547D"/>
    <w:rsid w:val="3B23BDDB"/>
    <w:rsid w:val="3B3357CB"/>
    <w:rsid w:val="3B345DEB"/>
    <w:rsid w:val="3B3E813D"/>
    <w:rsid w:val="3B42B02D"/>
    <w:rsid w:val="3B4A16AA"/>
    <w:rsid w:val="3B6F4DB0"/>
    <w:rsid w:val="3B6F817B"/>
    <w:rsid w:val="3B71A248"/>
    <w:rsid w:val="3B7D5F31"/>
    <w:rsid w:val="3B8651F4"/>
    <w:rsid w:val="3B98F9FF"/>
    <w:rsid w:val="3B990D97"/>
    <w:rsid w:val="3B9BA5BC"/>
    <w:rsid w:val="3BA47D13"/>
    <w:rsid w:val="3BC1CF91"/>
    <w:rsid w:val="3BCA309D"/>
    <w:rsid w:val="3BD4F261"/>
    <w:rsid w:val="3BE9C60B"/>
    <w:rsid w:val="3BF11294"/>
    <w:rsid w:val="3BFB6245"/>
    <w:rsid w:val="3C1410EB"/>
    <w:rsid w:val="3C20C831"/>
    <w:rsid w:val="3C29D90F"/>
    <w:rsid w:val="3C2C8606"/>
    <w:rsid w:val="3C3024A0"/>
    <w:rsid w:val="3C32BC93"/>
    <w:rsid w:val="3C34D7CC"/>
    <w:rsid w:val="3C3BE6B2"/>
    <w:rsid w:val="3C417E8D"/>
    <w:rsid w:val="3C6079C7"/>
    <w:rsid w:val="3C71E799"/>
    <w:rsid w:val="3C75E940"/>
    <w:rsid w:val="3C850D74"/>
    <w:rsid w:val="3C894D24"/>
    <w:rsid w:val="3C9A417D"/>
    <w:rsid w:val="3C9AC7C7"/>
    <w:rsid w:val="3CAD31CD"/>
    <w:rsid w:val="3CAF28BE"/>
    <w:rsid w:val="3CB37800"/>
    <w:rsid w:val="3CBAF995"/>
    <w:rsid w:val="3CBB34E2"/>
    <w:rsid w:val="3CBBE742"/>
    <w:rsid w:val="3CC108C9"/>
    <w:rsid w:val="3CD030F3"/>
    <w:rsid w:val="3CD16272"/>
    <w:rsid w:val="3CD187C9"/>
    <w:rsid w:val="3CE544DF"/>
    <w:rsid w:val="3CE99AFD"/>
    <w:rsid w:val="3CF00E2D"/>
    <w:rsid w:val="3CF412DE"/>
    <w:rsid w:val="3D018EA8"/>
    <w:rsid w:val="3D104A0A"/>
    <w:rsid w:val="3D186899"/>
    <w:rsid w:val="3D1FC48E"/>
    <w:rsid w:val="3D20A864"/>
    <w:rsid w:val="3D275B0D"/>
    <w:rsid w:val="3D5918CA"/>
    <w:rsid w:val="3D60225F"/>
    <w:rsid w:val="3D76CA7A"/>
    <w:rsid w:val="3D78800E"/>
    <w:rsid w:val="3D7E906C"/>
    <w:rsid w:val="3D8D433C"/>
    <w:rsid w:val="3D8D992E"/>
    <w:rsid w:val="3D9652A7"/>
    <w:rsid w:val="3D9DDA01"/>
    <w:rsid w:val="3DBA9A8B"/>
    <w:rsid w:val="3DBB159F"/>
    <w:rsid w:val="3DD094FB"/>
    <w:rsid w:val="3DD4DD8C"/>
    <w:rsid w:val="3DDAA034"/>
    <w:rsid w:val="3DE378EB"/>
    <w:rsid w:val="3DFEDD9E"/>
    <w:rsid w:val="3E1A4CCE"/>
    <w:rsid w:val="3E1F9147"/>
    <w:rsid w:val="3E1FB59D"/>
    <w:rsid w:val="3E3F37EA"/>
    <w:rsid w:val="3E44AAA7"/>
    <w:rsid w:val="3E4FC720"/>
    <w:rsid w:val="3E528D59"/>
    <w:rsid w:val="3E5CDC77"/>
    <w:rsid w:val="3E643561"/>
    <w:rsid w:val="3E66467A"/>
    <w:rsid w:val="3E6F4FA4"/>
    <w:rsid w:val="3E7CE717"/>
    <w:rsid w:val="3E852125"/>
    <w:rsid w:val="3E856B5E"/>
    <w:rsid w:val="3E88264C"/>
    <w:rsid w:val="3E8F7E7F"/>
    <w:rsid w:val="3E9F00B3"/>
    <w:rsid w:val="3EA0CCDF"/>
    <w:rsid w:val="3EA59407"/>
    <w:rsid w:val="3EB5600D"/>
    <w:rsid w:val="3EC05675"/>
    <w:rsid w:val="3EC9B2EB"/>
    <w:rsid w:val="3EDAF1C1"/>
    <w:rsid w:val="3EDF1082"/>
    <w:rsid w:val="3EECA352"/>
    <w:rsid w:val="3EFDC85A"/>
    <w:rsid w:val="3F066BC5"/>
    <w:rsid w:val="3F08C3FC"/>
    <w:rsid w:val="3F09015E"/>
    <w:rsid w:val="3F10EA5C"/>
    <w:rsid w:val="3F11B608"/>
    <w:rsid w:val="3F34A2E3"/>
    <w:rsid w:val="3F469837"/>
    <w:rsid w:val="3F681A9F"/>
    <w:rsid w:val="3F6E528B"/>
    <w:rsid w:val="3F6F13E4"/>
    <w:rsid w:val="3F713C6B"/>
    <w:rsid w:val="3F7F6364"/>
    <w:rsid w:val="3F92B411"/>
    <w:rsid w:val="3F9444B4"/>
    <w:rsid w:val="3F9BE7A0"/>
    <w:rsid w:val="3FA5692B"/>
    <w:rsid w:val="3FA5EC56"/>
    <w:rsid w:val="3FA790BC"/>
    <w:rsid w:val="3FB61D2F"/>
    <w:rsid w:val="3FB684BA"/>
    <w:rsid w:val="3FBB5726"/>
    <w:rsid w:val="3FC67022"/>
    <w:rsid w:val="3FCC607C"/>
    <w:rsid w:val="3FCCA3BE"/>
    <w:rsid w:val="3FDCE6CD"/>
    <w:rsid w:val="3FDF8E80"/>
    <w:rsid w:val="3FE7D9BC"/>
    <w:rsid w:val="4006D5C2"/>
    <w:rsid w:val="4017E9B3"/>
    <w:rsid w:val="4023F31B"/>
    <w:rsid w:val="40248E48"/>
    <w:rsid w:val="402B4EE0"/>
    <w:rsid w:val="402D6669"/>
    <w:rsid w:val="40368B8D"/>
    <w:rsid w:val="405D7761"/>
    <w:rsid w:val="4061121B"/>
    <w:rsid w:val="407752FA"/>
    <w:rsid w:val="40847561"/>
    <w:rsid w:val="40852536"/>
    <w:rsid w:val="40925852"/>
    <w:rsid w:val="4092C5C3"/>
    <w:rsid w:val="40AD8669"/>
    <w:rsid w:val="40B7CE50"/>
    <w:rsid w:val="40BA8DC2"/>
    <w:rsid w:val="40C175EF"/>
    <w:rsid w:val="40C6BA03"/>
    <w:rsid w:val="40CF2A36"/>
    <w:rsid w:val="40DD1F2F"/>
    <w:rsid w:val="40F2BD2E"/>
    <w:rsid w:val="410E12CE"/>
    <w:rsid w:val="4121BA56"/>
    <w:rsid w:val="413929EF"/>
    <w:rsid w:val="413EFBAB"/>
    <w:rsid w:val="4141A187"/>
    <w:rsid w:val="414FDDEE"/>
    <w:rsid w:val="4151ED90"/>
    <w:rsid w:val="41531F64"/>
    <w:rsid w:val="4156F99F"/>
    <w:rsid w:val="415EFDA2"/>
    <w:rsid w:val="418C0B6C"/>
    <w:rsid w:val="418F969D"/>
    <w:rsid w:val="419CFEAA"/>
    <w:rsid w:val="41A38514"/>
    <w:rsid w:val="41B83420"/>
    <w:rsid w:val="41C69C04"/>
    <w:rsid w:val="41CBC001"/>
    <w:rsid w:val="41D5E414"/>
    <w:rsid w:val="41E50EBA"/>
    <w:rsid w:val="41E5D49B"/>
    <w:rsid w:val="41E892F4"/>
    <w:rsid w:val="41F25BB6"/>
    <w:rsid w:val="41F7D9AA"/>
    <w:rsid w:val="4203F22A"/>
    <w:rsid w:val="421EC41E"/>
    <w:rsid w:val="4223337E"/>
    <w:rsid w:val="4227A01C"/>
    <w:rsid w:val="4234A2E4"/>
    <w:rsid w:val="423F5359"/>
    <w:rsid w:val="42463F6D"/>
    <w:rsid w:val="424FAC59"/>
    <w:rsid w:val="4253832C"/>
    <w:rsid w:val="4263A530"/>
    <w:rsid w:val="426448CA"/>
    <w:rsid w:val="42651BAE"/>
    <w:rsid w:val="4265235B"/>
    <w:rsid w:val="426ED719"/>
    <w:rsid w:val="4273E572"/>
    <w:rsid w:val="427B88AD"/>
    <w:rsid w:val="42931C6A"/>
    <w:rsid w:val="429EC17A"/>
    <w:rsid w:val="42A30E03"/>
    <w:rsid w:val="42A5A50E"/>
    <w:rsid w:val="42A7ACA7"/>
    <w:rsid w:val="42A810C9"/>
    <w:rsid w:val="42A8DD2D"/>
    <w:rsid w:val="42B5A1A0"/>
    <w:rsid w:val="42B96D69"/>
    <w:rsid w:val="42C6BE30"/>
    <w:rsid w:val="42C7A7D1"/>
    <w:rsid w:val="42D044B8"/>
    <w:rsid w:val="42D13BE4"/>
    <w:rsid w:val="42D9E1B2"/>
    <w:rsid w:val="42DE61FD"/>
    <w:rsid w:val="42FFE02E"/>
    <w:rsid w:val="430334E1"/>
    <w:rsid w:val="431005C7"/>
    <w:rsid w:val="4315D5B0"/>
    <w:rsid w:val="43176FD0"/>
    <w:rsid w:val="4324AE6B"/>
    <w:rsid w:val="4340E13C"/>
    <w:rsid w:val="434972AA"/>
    <w:rsid w:val="43550F07"/>
    <w:rsid w:val="436E2777"/>
    <w:rsid w:val="4396E2E1"/>
    <w:rsid w:val="43AEF3BC"/>
    <w:rsid w:val="43AFBFEB"/>
    <w:rsid w:val="43D1E69A"/>
    <w:rsid w:val="43DAE3F3"/>
    <w:rsid w:val="43DC7BEA"/>
    <w:rsid w:val="43E5272B"/>
    <w:rsid w:val="43E71907"/>
    <w:rsid w:val="43ED38DE"/>
    <w:rsid w:val="43F9B2F4"/>
    <w:rsid w:val="44048467"/>
    <w:rsid w:val="44092916"/>
    <w:rsid w:val="440AA77A"/>
    <w:rsid w:val="4413A0B6"/>
    <w:rsid w:val="44173262"/>
    <w:rsid w:val="4417D4F3"/>
    <w:rsid w:val="441B247D"/>
    <w:rsid w:val="4427D842"/>
    <w:rsid w:val="4430DAF7"/>
    <w:rsid w:val="44332088"/>
    <w:rsid w:val="443C7BAF"/>
    <w:rsid w:val="4445CC3A"/>
    <w:rsid w:val="445815FC"/>
    <w:rsid w:val="4463ED83"/>
    <w:rsid w:val="44668384"/>
    <w:rsid w:val="44695676"/>
    <w:rsid w:val="4478C875"/>
    <w:rsid w:val="449ABED4"/>
    <w:rsid w:val="449BC5E7"/>
    <w:rsid w:val="44A5670F"/>
    <w:rsid w:val="44B4FB82"/>
    <w:rsid w:val="44C01A38"/>
    <w:rsid w:val="44C54708"/>
    <w:rsid w:val="44C66589"/>
    <w:rsid w:val="44CC1AAE"/>
    <w:rsid w:val="44D8E77D"/>
    <w:rsid w:val="44DCB19D"/>
    <w:rsid w:val="44ECBF5C"/>
    <w:rsid w:val="44EF3236"/>
    <w:rsid w:val="4500825A"/>
    <w:rsid w:val="451663C1"/>
    <w:rsid w:val="453B4010"/>
    <w:rsid w:val="45428EBC"/>
    <w:rsid w:val="4568E850"/>
    <w:rsid w:val="456B5167"/>
    <w:rsid w:val="457E4968"/>
    <w:rsid w:val="457EE940"/>
    <w:rsid w:val="457F921E"/>
    <w:rsid w:val="45832A42"/>
    <w:rsid w:val="4589E750"/>
    <w:rsid w:val="4595B4AA"/>
    <w:rsid w:val="45B0DDA9"/>
    <w:rsid w:val="45B1FDBB"/>
    <w:rsid w:val="45B4E5F7"/>
    <w:rsid w:val="45C70FEB"/>
    <w:rsid w:val="45C83AAC"/>
    <w:rsid w:val="45D84CC9"/>
    <w:rsid w:val="45D8BAAA"/>
    <w:rsid w:val="45E632FB"/>
    <w:rsid w:val="45F1ED80"/>
    <w:rsid w:val="45FBB915"/>
    <w:rsid w:val="4603DC75"/>
    <w:rsid w:val="460C1D33"/>
    <w:rsid w:val="46155869"/>
    <w:rsid w:val="461CD9D0"/>
    <w:rsid w:val="461D38E6"/>
    <w:rsid w:val="46509609"/>
    <w:rsid w:val="46531605"/>
    <w:rsid w:val="465335B9"/>
    <w:rsid w:val="4654C272"/>
    <w:rsid w:val="46554F72"/>
    <w:rsid w:val="46717EB4"/>
    <w:rsid w:val="467CA564"/>
    <w:rsid w:val="4681CCC7"/>
    <w:rsid w:val="46824F0F"/>
    <w:rsid w:val="46859939"/>
    <w:rsid w:val="4691DEEB"/>
    <w:rsid w:val="46A177F7"/>
    <w:rsid w:val="46A32C77"/>
    <w:rsid w:val="46A87C8C"/>
    <w:rsid w:val="46B23422"/>
    <w:rsid w:val="46BC1177"/>
    <w:rsid w:val="46C68432"/>
    <w:rsid w:val="46C73869"/>
    <w:rsid w:val="46D43D01"/>
    <w:rsid w:val="46D7DA99"/>
    <w:rsid w:val="46D92D24"/>
    <w:rsid w:val="46EE511C"/>
    <w:rsid w:val="46F08542"/>
    <w:rsid w:val="46F18107"/>
    <w:rsid w:val="46F57656"/>
    <w:rsid w:val="46FFE624"/>
    <w:rsid w:val="4710C7C5"/>
    <w:rsid w:val="4718CA9F"/>
    <w:rsid w:val="47231202"/>
    <w:rsid w:val="47231D7C"/>
    <w:rsid w:val="472C23CF"/>
    <w:rsid w:val="472E4984"/>
    <w:rsid w:val="473579AE"/>
    <w:rsid w:val="474EA255"/>
    <w:rsid w:val="4761A70C"/>
    <w:rsid w:val="4783DE98"/>
    <w:rsid w:val="4789BF5D"/>
    <w:rsid w:val="478B0F7B"/>
    <w:rsid w:val="4792DB23"/>
    <w:rsid w:val="47947E90"/>
    <w:rsid w:val="4797F877"/>
    <w:rsid w:val="47A1B00B"/>
    <w:rsid w:val="47A8794F"/>
    <w:rsid w:val="47AC6FFB"/>
    <w:rsid w:val="47ADED17"/>
    <w:rsid w:val="47AFDD2F"/>
    <w:rsid w:val="47B93739"/>
    <w:rsid w:val="47BDEDC8"/>
    <w:rsid w:val="47BF684F"/>
    <w:rsid w:val="47DD30AA"/>
    <w:rsid w:val="47DD75DA"/>
    <w:rsid w:val="47EFA469"/>
    <w:rsid w:val="47F12A8A"/>
    <w:rsid w:val="47F90F20"/>
    <w:rsid w:val="47F97ED8"/>
    <w:rsid w:val="47FAE839"/>
    <w:rsid w:val="4805061D"/>
    <w:rsid w:val="480A045E"/>
    <w:rsid w:val="480A2490"/>
    <w:rsid w:val="481C2182"/>
    <w:rsid w:val="482C4DA4"/>
    <w:rsid w:val="4834588E"/>
    <w:rsid w:val="4834C1B4"/>
    <w:rsid w:val="483FF03F"/>
    <w:rsid w:val="4840C737"/>
    <w:rsid w:val="4855BAD8"/>
    <w:rsid w:val="48669538"/>
    <w:rsid w:val="48718A79"/>
    <w:rsid w:val="48774A7E"/>
    <w:rsid w:val="487CAFCD"/>
    <w:rsid w:val="48878173"/>
    <w:rsid w:val="488A6229"/>
    <w:rsid w:val="48908ED0"/>
    <w:rsid w:val="489FACF0"/>
    <w:rsid w:val="48A0BD51"/>
    <w:rsid w:val="48AC88A5"/>
    <w:rsid w:val="48ACF72F"/>
    <w:rsid w:val="48B00A3E"/>
    <w:rsid w:val="48BFF3EF"/>
    <w:rsid w:val="48D4BFB9"/>
    <w:rsid w:val="48DBCDAD"/>
    <w:rsid w:val="48E1F604"/>
    <w:rsid w:val="48E442B5"/>
    <w:rsid w:val="48EDFFA4"/>
    <w:rsid w:val="48F560A6"/>
    <w:rsid w:val="48F9ABFA"/>
    <w:rsid w:val="490027CC"/>
    <w:rsid w:val="490E814A"/>
    <w:rsid w:val="4917B1FA"/>
    <w:rsid w:val="491B85D0"/>
    <w:rsid w:val="491BBFB9"/>
    <w:rsid w:val="492637D5"/>
    <w:rsid w:val="492F4A07"/>
    <w:rsid w:val="49395FD6"/>
    <w:rsid w:val="49493019"/>
    <w:rsid w:val="494DF0FF"/>
    <w:rsid w:val="49694F3F"/>
    <w:rsid w:val="496A8D21"/>
    <w:rsid w:val="49725198"/>
    <w:rsid w:val="4978A65C"/>
    <w:rsid w:val="497D3771"/>
    <w:rsid w:val="49843C13"/>
    <w:rsid w:val="4987488B"/>
    <w:rsid w:val="49B06A7E"/>
    <w:rsid w:val="49B0A269"/>
    <w:rsid w:val="49BCBD65"/>
    <w:rsid w:val="49BE5FC2"/>
    <w:rsid w:val="49C51C13"/>
    <w:rsid w:val="49C9FBF2"/>
    <w:rsid w:val="49CB4C7E"/>
    <w:rsid w:val="49CEF687"/>
    <w:rsid w:val="49D5DC5A"/>
    <w:rsid w:val="49DA063F"/>
    <w:rsid w:val="49DCFE27"/>
    <w:rsid w:val="49DF6D9D"/>
    <w:rsid w:val="49E8309A"/>
    <w:rsid w:val="49E91F3D"/>
    <w:rsid w:val="49E9C332"/>
    <w:rsid w:val="49EA6969"/>
    <w:rsid w:val="49F2758D"/>
    <w:rsid w:val="49F2AE53"/>
    <w:rsid w:val="49F862F9"/>
    <w:rsid w:val="49FD7FCE"/>
    <w:rsid w:val="4A1BD545"/>
    <w:rsid w:val="4A1CB3F2"/>
    <w:rsid w:val="4A256A03"/>
    <w:rsid w:val="4A29267E"/>
    <w:rsid w:val="4A313CE1"/>
    <w:rsid w:val="4A369244"/>
    <w:rsid w:val="4A410ACA"/>
    <w:rsid w:val="4A4140A0"/>
    <w:rsid w:val="4A49D1A0"/>
    <w:rsid w:val="4A4C348F"/>
    <w:rsid w:val="4A503B74"/>
    <w:rsid w:val="4A507EEE"/>
    <w:rsid w:val="4A532B7D"/>
    <w:rsid w:val="4A5787A3"/>
    <w:rsid w:val="4A5864BE"/>
    <w:rsid w:val="4A5C5394"/>
    <w:rsid w:val="4A652155"/>
    <w:rsid w:val="4A683ECF"/>
    <w:rsid w:val="4A6C4576"/>
    <w:rsid w:val="4A743B92"/>
    <w:rsid w:val="4A80B090"/>
    <w:rsid w:val="4A9470A5"/>
    <w:rsid w:val="4AAE1FE8"/>
    <w:rsid w:val="4AB5C184"/>
    <w:rsid w:val="4AC0CE90"/>
    <w:rsid w:val="4AC2A3C3"/>
    <w:rsid w:val="4ADB569D"/>
    <w:rsid w:val="4ADF8E56"/>
    <w:rsid w:val="4AE5DCBC"/>
    <w:rsid w:val="4AE6CB93"/>
    <w:rsid w:val="4AEAAE98"/>
    <w:rsid w:val="4AF2C27A"/>
    <w:rsid w:val="4B0AA93F"/>
    <w:rsid w:val="4B0F9838"/>
    <w:rsid w:val="4B13B9AD"/>
    <w:rsid w:val="4B28C095"/>
    <w:rsid w:val="4B2BE70A"/>
    <w:rsid w:val="4B31E78A"/>
    <w:rsid w:val="4B551C38"/>
    <w:rsid w:val="4B5A3023"/>
    <w:rsid w:val="4B5BAC0F"/>
    <w:rsid w:val="4B6153FF"/>
    <w:rsid w:val="4B6338F4"/>
    <w:rsid w:val="4B65500E"/>
    <w:rsid w:val="4B67AE91"/>
    <w:rsid w:val="4B69B05F"/>
    <w:rsid w:val="4B6C0311"/>
    <w:rsid w:val="4B6EF44D"/>
    <w:rsid w:val="4B753DE8"/>
    <w:rsid w:val="4B7CF253"/>
    <w:rsid w:val="4B803A3D"/>
    <w:rsid w:val="4B8D2033"/>
    <w:rsid w:val="4B9B202F"/>
    <w:rsid w:val="4BA35BCE"/>
    <w:rsid w:val="4BB7A5A6"/>
    <w:rsid w:val="4BC6895E"/>
    <w:rsid w:val="4BD829D4"/>
    <w:rsid w:val="4BDE0E20"/>
    <w:rsid w:val="4BE2FA61"/>
    <w:rsid w:val="4BE3E295"/>
    <w:rsid w:val="4BEF3E70"/>
    <w:rsid w:val="4BEFFF09"/>
    <w:rsid w:val="4BF15231"/>
    <w:rsid w:val="4BF9700A"/>
    <w:rsid w:val="4BFAB86C"/>
    <w:rsid w:val="4C184838"/>
    <w:rsid w:val="4C18B0FC"/>
    <w:rsid w:val="4C28A94C"/>
    <w:rsid w:val="4C369716"/>
    <w:rsid w:val="4C57693F"/>
    <w:rsid w:val="4C5A15EA"/>
    <w:rsid w:val="4C756988"/>
    <w:rsid w:val="4C763A96"/>
    <w:rsid w:val="4C8421FB"/>
    <w:rsid w:val="4C843D2E"/>
    <w:rsid w:val="4C883130"/>
    <w:rsid w:val="4C8C6FC5"/>
    <w:rsid w:val="4C9A946E"/>
    <w:rsid w:val="4CB8262E"/>
    <w:rsid w:val="4CC8ABF0"/>
    <w:rsid w:val="4CC8CDEC"/>
    <w:rsid w:val="4CCDB7EB"/>
    <w:rsid w:val="4CD2A433"/>
    <w:rsid w:val="4CE0DDC7"/>
    <w:rsid w:val="4CE9A30D"/>
    <w:rsid w:val="4CEFCEE3"/>
    <w:rsid w:val="4CFBE160"/>
    <w:rsid w:val="4CFF43DC"/>
    <w:rsid w:val="4CFFBEC7"/>
    <w:rsid w:val="4D035945"/>
    <w:rsid w:val="4D0AFED6"/>
    <w:rsid w:val="4D1A2B73"/>
    <w:rsid w:val="4D25BE48"/>
    <w:rsid w:val="4D3203D5"/>
    <w:rsid w:val="4D3BECBF"/>
    <w:rsid w:val="4D4B4942"/>
    <w:rsid w:val="4D56D82B"/>
    <w:rsid w:val="4D6FA5B0"/>
    <w:rsid w:val="4D73FA35"/>
    <w:rsid w:val="4D7959C4"/>
    <w:rsid w:val="4D8706AB"/>
    <w:rsid w:val="4D89188B"/>
    <w:rsid w:val="4D93F456"/>
    <w:rsid w:val="4D9DB589"/>
    <w:rsid w:val="4DB19A24"/>
    <w:rsid w:val="4DB7197F"/>
    <w:rsid w:val="4DC948F9"/>
    <w:rsid w:val="4DD1A792"/>
    <w:rsid w:val="4DD668C8"/>
    <w:rsid w:val="4DD87A1A"/>
    <w:rsid w:val="4DE65711"/>
    <w:rsid w:val="4DF2182F"/>
    <w:rsid w:val="4DF50309"/>
    <w:rsid w:val="4E07E56E"/>
    <w:rsid w:val="4E1124B9"/>
    <w:rsid w:val="4E1526E7"/>
    <w:rsid w:val="4E1938CA"/>
    <w:rsid w:val="4E1FF25C"/>
    <w:rsid w:val="4E221080"/>
    <w:rsid w:val="4E292D1E"/>
    <w:rsid w:val="4E297FD0"/>
    <w:rsid w:val="4E3634B5"/>
    <w:rsid w:val="4E441BDB"/>
    <w:rsid w:val="4E4695DF"/>
    <w:rsid w:val="4E57F727"/>
    <w:rsid w:val="4E5BBB07"/>
    <w:rsid w:val="4E711CA0"/>
    <w:rsid w:val="4E7BF960"/>
    <w:rsid w:val="4E7D2052"/>
    <w:rsid w:val="4E841BDB"/>
    <w:rsid w:val="4E99340C"/>
    <w:rsid w:val="4E9A982E"/>
    <w:rsid w:val="4EB839C9"/>
    <w:rsid w:val="4EC0BBBC"/>
    <w:rsid w:val="4EC3CD29"/>
    <w:rsid w:val="4ED91D25"/>
    <w:rsid w:val="4EE368B2"/>
    <w:rsid w:val="4EE5AFA1"/>
    <w:rsid w:val="4EE65395"/>
    <w:rsid w:val="4EED00CD"/>
    <w:rsid w:val="4EEF4668"/>
    <w:rsid w:val="4EFA6086"/>
    <w:rsid w:val="4F0438C2"/>
    <w:rsid w:val="4F15DBE5"/>
    <w:rsid w:val="4F2CB61F"/>
    <w:rsid w:val="4F2EAC33"/>
    <w:rsid w:val="4F3FB699"/>
    <w:rsid w:val="4F52E9E0"/>
    <w:rsid w:val="4F5BAB65"/>
    <w:rsid w:val="4F777618"/>
    <w:rsid w:val="4F7C05CA"/>
    <w:rsid w:val="4F7EE4DB"/>
    <w:rsid w:val="4F803CDF"/>
    <w:rsid w:val="4F81A4E3"/>
    <w:rsid w:val="4F822CD5"/>
    <w:rsid w:val="4F9D5CD5"/>
    <w:rsid w:val="4FAABEBB"/>
    <w:rsid w:val="4FAB1933"/>
    <w:rsid w:val="4FBF423B"/>
    <w:rsid w:val="4FC1D1DF"/>
    <w:rsid w:val="4FD6637E"/>
    <w:rsid w:val="4FE1F1F2"/>
    <w:rsid w:val="4FF345C5"/>
    <w:rsid w:val="4FF99587"/>
    <w:rsid w:val="50052A56"/>
    <w:rsid w:val="500A5F4D"/>
    <w:rsid w:val="501B353A"/>
    <w:rsid w:val="501CC8D1"/>
    <w:rsid w:val="50207D65"/>
    <w:rsid w:val="503D41F6"/>
    <w:rsid w:val="504865B7"/>
    <w:rsid w:val="504920AC"/>
    <w:rsid w:val="50632C43"/>
    <w:rsid w:val="5066379C"/>
    <w:rsid w:val="506E342E"/>
    <w:rsid w:val="5072B8D6"/>
    <w:rsid w:val="5076D2E4"/>
    <w:rsid w:val="50793F5B"/>
    <w:rsid w:val="50825BF1"/>
    <w:rsid w:val="508A39B1"/>
    <w:rsid w:val="509FA445"/>
    <w:rsid w:val="50ABB1C1"/>
    <w:rsid w:val="50B1003E"/>
    <w:rsid w:val="50B38534"/>
    <w:rsid w:val="50C15610"/>
    <w:rsid w:val="50C51DCF"/>
    <w:rsid w:val="50C92FD5"/>
    <w:rsid w:val="50CA5F9B"/>
    <w:rsid w:val="50D739F1"/>
    <w:rsid w:val="50F2623C"/>
    <w:rsid w:val="50F6CEC0"/>
    <w:rsid w:val="51060259"/>
    <w:rsid w:val="510F858A"/>
    <w:rsid w:val="510F987E"/>
    <w:rsid w:val="511EF2C1"/>
    <w:rsid w:val="512161FA"/>
    <w:rsid w:val="51277DC2"/>
    <w:rsid w:val="512B49A1"/>
    <w:rsid w:val="512ECF14"/>
    <w:rsid w:val="51350D26"/>
    <w:rsid w:val="513740FE"/>
    <w:rsid w:val="5152F340"/>
    <w:rsid w:val="51547C5F"/>
    <w:rsid w:val="5155B93B"/>
    <w:rsid w:val="5161A73A"/>
    <w:rsid w:val="516881EE"/>
    <w:rsid w:val="5179D6F6"/>
    <w:rsid w:val="517F7BCC"/>
    <w:rsid w:val="51907A1C"/>
    <w:rsid w:val="5190E4E5"/>
    <w:rsid w:val="519C8932"/>
    <w:rsid w:val="519CC967"/>
    <w:rsid w:val="51AAC24C"/>
    <w:rsid w:val="51B2A5AB"/>
    <w:rsid w:val="51BB2D82"/>
    <w:rsid w:val="51C21C38"/>
    <w:rsid w:val="51D9E27B"/>
    <w:rsid w:val="51E185A8"/>
    <w:rsid w:val="51EBDBCC"/>
    <w:rsid w:val="51F4E6C9"/>
    <w:rsid w:val="5205FC0A"/>
    <w:rsid w:val="520CDA07"/>
    <w:rsid w:val="52135B5F"/>
    <w:rsid w:val="5213F61D"/>
    <w:rsid w:val="521ADF97"/>
    <w:rsid w:val="522C76A6"/>
    <w:rsid w:val="522CAD19"/>
    <w:rsid w:val="522F7FCD"/>
    <w:rsid w:val="52402E8B"/>
    <w:rsid w:val="5243488E"/>
    <w:rsid w:val="5243B28B"/>
    <w:rsid w:val="524BE03C"/>
    <w:rsid w:val="524D7CA7"/>
    <w:rsid w:val="52676579"/>
    <w:rsid w:val="5267BFD3"/>
    <w:rsid w:val="5277575B"/>
    <w:rsid w:val="5277925B"/>
    <w:rsid w:val="527FE52F"/>
    <w:rsid w:val="52828B80"/>
    <w:rsid w:val="5295EA1E"/>
    <w:rsid w:val="529F97DF"/>
    <w:rsid w:val="52BBA1A2"/>
    <w:rsid w:val="52C01F03"/>
    <w:rsid w:val="52C0F1FD"/>
    <w:rsid w:val="52C21E8C"/>
    <w:rsid w:val="52C98B7A"/>
    <w:rsid w:val="52CA4566"/>
    <w:rsid w:val="52CE52A1"/>
    <w:rsid w:val="52CFDD2D"/>
    <w:rsid w:val="52E0B608"/>
    <w:rsid w:val="52E6C7F3"/>
    <w:rsid w:val="52F2120D"/>
    <w:rsid w:val="52F3EACC"/>
    <w:rsid w:val="52F44A55"/>
    <w:rsid w:val="52F7847D"/>
    <w:rsid w:val="52FCF9CC"/>
    <w:rsid w:val="52FD779B"/>
    <w:rsid w:val="52FDA588"/>
    <w:rsid w:val="530879E1"/>
    <w:rsid w:val="53123499"/>
    <w:rsid w:val="531EA328"/>
    <w:rsid w:val="53206C94"/>
    <w:rsid w:val="534AF0D9"/>
    <w:rsid w:val="53541FB6"/>
    <w:rsid w:val="536BE02D"/>
    <w:rsid w:val="536E58B7"/>
    <w:rsid w:val="536EF759"/>
    <w:rsid w:val="53844138"/>
    <w:rsid w:val="538442AB"/>
    <w:rsid w:val="538480F1"/>
    <w:rsid w:val="538AA353"/>
    <w:rsid w:val="538B2784"/>
    <w:rsid w:val="53921390"/>
    <w:rsid w:val="53972821"/>
    <w:rsid w:val="5397DEBF"/>
    <w:rsid w:val="53981A66"/>
    <w:rsid w:val="539D9CDE"/>
    <w:rsid w:val="539EE77B"/>
    <w:rsid w:val="53A91B58"/>
    <w:rsid w:val="53ABA094"/>
    <w:rsid w:val="53ACF4C0"/>
    <w:rsid w:val="53B3ECC9"/>
    <w:rsid w:val="53BFC483"/>
    <w:rsid w:val="53C2E38D"/>
    <w:rsid w:val="53D46715"/>
    <w:rsid w:val="53E2B58B"/>
    <w:rsid w:val="53F235B2"/>
    <w:rsid w:val="53FB764C"/>
    <w:rsid w:val="5408481D"/>
    <w:rsid w:val="5414E083"/>
    <w:rsid w:val="5441798E"/>
    <w:rsid w:val="544AC7F9"/>
    <w:rsid w:val="544BF648"/>
    <w:rsid w:val="546007EB"/>
    <w:rsid w:val="54643595"/>
    <w:rsid w:val="546ED497"/>
    <w:rsid w:val="54706F16"/>
    <w:rsid w:val="5484686B"/>
    <w:rsid w:val="548689BF"/>
    <w:rsid w:val="549A2276"/>
    <w:rsid w:val="54A9AFF4"/>
    <w:rsid w:val="54AAEE3C"/>
    <w:rsid w:val="54B34AD4"/>
    <w:rsid w:val="54C5CCF4"/>
    <w:rsid w:val="54C894CE"/>
    <w:rsid w:val="54DC596F"/>
    <w:rsid w:val="54F2ED51"/>
    <w:rsid w:val="5501C157"/>
    <w:rsid w:val="550B3553"/>
    <w:rsid w:val="550B66FE"/>
    <w:rsid w:val="550C2CA1"/>
    <w:rsid w:val="55102CC1"/>
    <w:rsid w:val="551B1583"/>
    <w:rsid w:val="5525B22E"/>
    <w:rsid w:val="5526CD6F"/>
    <w:rsid w:val="5526F7E5"/>
    <w:rsid w:val="55306893"/>
    <w:rsid w:val="55314922"/>
    <w:rsid w:val="55352834"/>
    <w:rsid w:val="5535C38E"/>
    <w:rsid w:val="5536D1E4"/>
    <w:rsid w:val="5536EC3E"/>
    <w:rsid w:val="5537DF0B"/>
    <w:rsid w:val="553B8E2A"/>
    <w:rsid w:val="553D867B"/>
    <w:rsid w:val="554770F5"/>
    <w:rsid w:val="554DC7E7"/>
    <w:rsid w:val="5551CB53"/>
    <w:rsid w:val="5557DEF3"/>
    <w:rsid w:val="55594ED7"/>
    <w:rsid w:val="5563DB0B"/>
    <w:rsid w:val="556A98A6"/>
    <w:rsid w:val="5570C20D"/>
    <w:rsid w:val="557F0C1A"/>
    <w:rsid w:val="55841C70"/>
    <w:rsid w:val="55846BA9"/>
    <w:rsid w:val="55A32D96"/>
    <w:rsid w:val="55A54013"/>
    <w:rsid w:val="55B1B9C6"/>
    <w:rsid w:val="55C05BF0"/>
    <w:rsid w:val="55C51A66"/>
    <w:rsid w:val="55C81087"/>
    <w:rsid w:val="55C8945D"/>
    <w:rsid w:val="55D5E08A"/>
    <w:rsid w:val="55DB81DC"/>
    <w:rsid w:val="55E2B8F1"/>
    <w:rsid w:val="55F15B94"/>
    <w:rsid w:val="55F4AB21"/>
    <w:rsid w:val="55FAB638"/>
    <w:rsid w:val="55FCE5DF"/>
    <w:rsid w:val="56000875"/>
    <w:rsid w:val="56056C21"/>
    <w:rsid w:val="5611CE2C"/>
    <w:rsid w:val="56147555"/>
    <w:rsid w:val="561A45FB"/>
    <w:rsid w:val="561F6A48"/>
    <w:rsid w:val="562038CC"/>
    <w:rsid w:val="562A6059"/>
    <w:rsid w:val="56310CE1"/>
    <w:rsid w:val="563B1257"/>
    <w:rsid w:val="56401EC4"/>
    <w:rsid w:val="56412A6E"/>
    <w:rsid w:val="56428022"/>
    <w:rsid w:val="5643159E"/>
    <w:rsid w:val="56457752"/>
    <w:rsid w:val="564A03A8"/>
    <w:rsid w:val="5656F433"/>
    <w:rsid w:val="56582097"/>
    <w:rsid w:val="566428A8"/>
    <w:rsid w:val="566E4FBA"/>
    <w:rsid w:val="56779DB8"/>
    <w:rsid w:val="568ADBA8"/>
    <w:rsid w:val="568D78B0"/>
    <w:rsid w:val="56987B56"/>
    <w:rsid w:val="569D5AFD"/>
    <w:rsid w:val="56A372CF"/>
    <w:rsid w:val="56ACAB7F"/>
    <w:rsid w:val="56C24415"/>
    <w:rsid w:val="56CD671C"/>
    <w:rsid w:val="56D033C0"/>
    <w:rsid w:val="56D28CA3"/>
    <w:rsid w:val="56E398F9"/>
    <w:rsid w:val="56E64B07"/>
    <w:rsid w:val="56EBB8BF"/>
    <w:rsid w:val="56F1418E"/>
    <w:rsid w:val="56F368C5"/>
    <w:rsid w:val="56F8E294"/>
    <w:rsid w:val="56FBD43D"/>
    <w:rsid w:val="5700FAB2"/>
    <w:rsid w:val="570682C9"/>
    <w:rsid w:val="570B00F9"/>
    <w:rsid w:val="570DC332"/>
    <w:rsid w:val="57168FAB"/>
    <w:rsid w:val="5716AE96"/>
    <w:rsid w:val="57196BD7"/>
    <w:rsid w:val="571A5B0F"/>
    <w:rsid w:val="571C918D"/>
    <w:rsid w:val="57204AB6"/>
    <w:rsid w:val="572BA955"/>
    <w:rsid w:val="5734253A"/>
    <w:rsid w:val="574704D2"/>
    <w:rsid w:val="5751802C"/>
    <w:rsid w:val="575A3C8A"/>
    <w:rsid w:val="5767CB1B"/>
    <w:rsid w:val="5770B778"/>
    <w:rsid w:val="5775D881"/>
    <w:rsid w:val="5776BECE"/>
    <w:rsid w:val="577B25B1"/>
    <w:rsid w:val="5787BC13"/>
    <w:rsid w:val="578D268E"/>
    <w:rsid w:val="578EEC06"/>
    <w:rsid w:val="57968699"/>
    <w:rsid w:val="57A09D96"/>
    <w:rsid w:val="57B1A3C3"/>
    <w:rsid w:val="57B264DF"/>
    <w:rsid w:val="57B3E99A"/>
    <w:rsid w:val="57B4D7D2"/>
    <w:rsid w:val="57B6165C"/>
    <w:rsid w:val="57BD7745"/>
    <w:rsid w:val="57C79948"/>
    <w:rsid w:val="57D84F9C"/>
    <w:rsid w:val="57E3DBAF"/>
    <w:rsid w:val="57ED05AE"/>
    <w:rsid w:val="57F3DDB7"/>
    <w:rsid w:val="57FAB67C"/>
    <w:rsid w:val="5801EBDA"/>
    <w:rsid w:val="580E9F6E"/>
    <w:rsid w:val="58138D04"/>
    <w:rsid w:val="5814ACF2"/>
    <w:rsid w:val="581596E2"/>
    <w:rsid w:val="584706BE"/>
    <w:rsid w:val="584DC810"/>
    <w:rsid w:val="58530738"/>
    <w:rsid w:val="5858DA11"/>
    <w:rsid w:val="586ED545"/>
    <w:rsid w:val="587A39C6"/>
    <w:rsid w:val="587FB558"/>
    <w:rsid w:val="588F2236"/>
    <w:rsid w:val="5891B7AE"/>
    <w:rsid w:val="58AC2D3C"/>
    <w:rsid w:val="58D6A6FD"/>
    <w:rsid w:val="58E74010"/>
    <w:rsid w:val="58FD6E63"/>
    <w:rsid w:val="58FDE720"/>
    <w:rsid w:val="58FEEB04"/>
    <w:rsid w:val="590B19C8"/>
    <w:rsid w:val="59110798"/>
    <w:rsid w:val="5916288E"/>
    <w:rsid w:val="59210357"/>
    <w:rsid w:val="592520AF"/>
    <w:rsid w:val="5926DE61"/>
    <w:rsid w:val="592C321F"/>
    <w:rsid w:val="5937A937"/>
    <w:rsid w:val="59401C0E"/>
    <w:rsid w:val="594BEA1D"/>
    <w:rsid w:val="594C8EE7"/>
    <w:rsid w:val="5957D98E"/>
    <w:rsid w:val="5957EB40"/>
    <w:rsid w:val="59587566"/>
    <w:rsid w:val="597C5579"/>
    <w:rsid w:val="597FB167"/>
    <w:rsid w:val="597FFD73"/>
    <w:rsid w:val="599A9F50"/>
    <w:rsid w:val="59A88B02"/>
    <w:rsid w:val="59BAFDA0"/>
    <w:rsid w:val="59C6498A"/>
    <w:rsid w:val="59C8892B"/>
    <w:rsid w:val="59CD2E1D"/>
    <w:rsid w:val="59D51BA3"/>
    <w:rsid w:val="59D77ED9"/>
    <w:rsid w:val="59E61F06"/>
    <w:rsid w:val="59EC7268"/>
    <w:rsid w:val="59F4C181"/>
    <w:rsid w:val="5A00B59B"/>
    <w:rsid w:val="5A09429A"/>
    <w:rsid w:val="5A181FFB"/>
    <w:rsid w:val="5A1B2658"/>
    <w:rsid w:val="5A1BEF7D"/>
    <w:rsid w:val="5A203480"/>
    <w:rsid w:val="5A28E250"/>
    <w:rsid w:val="5A318B8A"/>
    <w:rsid w:val="5A395067"/>
    <w:rsid w:val="5A39CB86"/>
    <w:rsid w:val="5A4F9133"/>
    <w:rsid w:val="5A74997B"/>
    <w:rsid w:val="5A92CD9D"/>
    <w:rsid w:val="5AA07E38"/>
    <w:rsid w:val="5AA9402E"/>
    <w:rsid w:val="5AC2780F"/>
    <w:rsid w:val="5AC2EF86"/>
    <w:rsid w:val="5B02269B"/>
    <w:rsid w:val="5B0674FE"/>
    <w:rsid w:val="5B0A515A"/>
    <w:rsid w:val="5B0EF3A0"/>
    <w:rsid w:val="5B226DE2"/>
    <w:rsid w:val="5B27391A"/>
    <w:rsid w:val="5B29D6FC"/>
    <w:rsid w:val="5B2B7E79"/>
    <w:rsid w:val="5B3AFF9B"/>
    <w:rsid w:val="5B4718EB"/>
    <w:rsid w:val="5B495EB0"/>
    <w:rsid w:val="5B6287BF"/>
    <w:rsid w:val="5B6FCEDD"/>
    <w:rsid w:val="5B76C2C9"/>
    <w:rsid w:val="5B7A1230"/>
    <w:rsid w:val="5B8AA7FA"/>
    <w:rsid w:val="5BAF9AFB"/>
    <w:rsid w:val="5BE54CA1"/>
    <w:rsid w:val="5BE7284A"/>
    <w:rsid w:val="5BE8DAFA"/>
    <w:rsid w:val="5BEB0AAA"/>
    <w:rsid w:val="5BFA6010"/>
    <w:rsid w:val="5BFD8209"/>
    <w:rsid w:val="5C06AF98"/>
    <w:rsid w:val="5C090E13"/>
    <w:rsid w:val="5C0FDE09"/>
    <w:rsid w:val="5C1F7A01"/>
    <w:rsid w:val="5C2F2AC1"/>
    <w:rsid w:val="5C37A8FC"/>
    <w:rsid w:val="5C3D712F"/>
    <w:rsid w:val="5C3F6096"/>
    <w:rsid w:val="5C54083F"/>
    <w:rsid w:val="5C57E45A"/>
    <w:rsid w:val="5C609CD9"/>
    <w:rsid w:val="5C6416E0"/>
    <w:rsid w:val="5C6A7C8B"/>
    <w:rsid w:val="5C6C76E5"/>
    <w:rsid w:val="5C734EF5"/>
    <w:rsid w:val="5C827FC8"/>
    <w:rsid w:val="5C874985"/>
    <w:rsid w:val="5C94100D"/>
    <w:rsid w:val="5CA9AF9C"/>
    <w:rsid w:val="5CCB514B"/>
    <w:rsid w:val="5CCCF66A"/>
    <w:rsid w:val="5CD30A32"/>
    <w:rsid w:val="5CDD5129"/>
    <w:rsid w:val="5CEDD018"/>
    <w:rsid w:val="5D0EBADB"/>
    <w:rsid w:val="5D225FE9"/>
    <w:rsid w:val="5D23324A"/>
    <w:rsid w:val="5D44199B"/>
    <w:rsid w:val="5D4AE8D4"/>
    <w:rsid w:val="5D593E96"/>
    <w:rsid w:val="5D691A9F"/>
    <w:rsid w:val="5D6A4523"/>
    <w:rsid w:val="5D6C1D17"/>
    <w:rsid w:val="5D773D59"/>
    <w:rsid w:val="5D80023B"/>
    <w:rsid w:val="5D810DBB"/>
    <w:rsid w:val="5D928E76"/>
    <w:rsid w:val="5DA3233B"/>
    <w:rsid w:val="5DA6EABA"/>
    <w:rsid w:val="5DA7E575"/>
    <w:rsid w:val="5DB5988D"/>
    <w:rsid w:val="5DB828CE"/>
    <w:rsid w:val="5DC1F788"/>
    <w:rsid w:val="5DC31B48"/>
    <w:rsid w:val="5DC3C1B0"/>
    <w:rsid w:val="5DEC9FC0"/>
    <w:rsid w:val="5DF0D3E5"/>
    <w:rsid w:val="5E0022EB"/>
    <w:rsid w:val="5E031330"/>
    <w:rsid w:val="5E1087A3"/>
    <w:rsid w:val="5E14878A"/>
    <w:rsid w:val="5E2832FF"/>
    <w:rsid w:val="5E287495"/>
    <w:rsid w:val="5E2FD344"/>
    <w:rsid w:val="5E3E70E9"/>
    <w:rsid w:val="5E428FAF"/>
    <w:rsid w:val="5E60D191"/>
    <w:rsid w:val="5E6666E4"/>
    <w:rsid w:val="5E69806A"/>
    <w:rsid w:val="5E7E220A"/>
    <w:rsid w:val="5E8DC812"/>
    <w:rsid w:val="5E904A87"/>
    <w:rsid w:val="5EA34800"/>
    <w:rsid w:val="5EB8410B"/>
    <w:rsid w:val="5EBC808C"/>
    <w:rsid w:val="5EBEA13D"/>
    <w:rsid w:val="5EDBCC48"/>
    <w:rsid w:val="5EDC1894"/>
    <w:rsid w:val="5EE6AE3B"/>
    <w:rsid w:val="5EEA14F8"/>
    <w:rsid w:val="5F33668D"/>
    <w:rsid w:val="5F450EEE"/>
    <w:rsid w:val="5F4C05FE"/>
    <w:rsid w:val="5F64EFD2"/>
    <w:rsid w:val="5F66339B"/>
    <w:rsid w:val="5F674AA0"/>
    <w:rsid w:val="5F823713"/>
    <w:rsid w:val="5F856A12"/>
    <w:rsid w:val="5F92C53D"/>
    <w:rsid w:val="5F9F2684"/>
    <w:rsid w:val="5FA3C21C"/>
    <w:rsid w:val="5FA70C2D"/>
    <w:rsid w:val="5FA88122"/>
    <w:rsid w:val="5FAF9DEA"/>
    <w:rsid w:val="5FB205B6"/>
    <w:rsid w:val="5FB56EB2"/>
    <w:rsid w:val="5FB90E72"/>
    <w:rsid w:val="5FBE022F"/>
    <w:rsid w:val="5FCCF967"/>
    <w:rsid w:val="5FD52CA0"/>
    <w:rsid w:val="5FD8F21C"/>
    <w:rsid w:val="5FEF77D4"/>
    <w:rsid w:val="600ADCAF"/>
    <w:rsid w:val="600E1AF1"/>
    <w:rsid w:val="600F4C5D"/>
    <w:rsid w:val="60129367"/>
    <w:rsid w:val="6013EFCC"/>
    <w:rsid w:val="6024233E"/>
    <w:rsid w:val="6032DF2D"/>
    <w:rsid w:val="6038FC22"/>
    <w:rsid w:val="603C6FA1"/>
    <w:rsid w:val="6042422F"/>
    <w:rsid w:val="6044C821"/>
    <w:rsid w:val="604C6830"/>
    <w:rsid w:val="6055B6C8"/>
    <w:rsid w:val="6057A585"/>
    <w:rsid w:val="6062F789"/>
    <w:rsid w:val="60674904"/>
    <w:rsid w:val="606C1145"/>
    <w:rsid w:val="606E4C2D"/>
    <w:rsid w:val="608087DD"/>
    <w:rsid w:val="60885FD5"/>
    <w:rsid w:val="6092D1C3"/>
    <w:rsid w:val="609F141B"/>
    <w:rsid w:val="60A61B1A"/>
    <w:rsid w:val="60AEE248"/>
    <w:rsid w:val="60BAFB72"/>
    <w:rsid w:val="60C0FBF6"/>
    <w:rsid w:val="60CC62B3"/>
    <w:rsid w:val="60E217CA"/>
    <w:rsid w:val="60E55CDF"/>
    <w:rsid w:val="60E6D386"/>
    <w:rsid w:val="60F6170D"/>
    <w:rsid w:val="60FF8BB5"/>
    <w:rsid w:val="610EE638"/>
    <w:rsid w:val="6114460A"/>
    <w:rsid w:val="6114A08F"/>
    <w:rsid w:val="611EF7BD"/>
    <w:rsid w:val="61247983"/>
    <w:rsid w:val="6127EE57"/>
    <w:rsid w:val="612AC53C"/>
    <w:rsid w:val="612BC2DB"/>
    <w:rsid w:val="6134196C"/>
    <w:rsid w:val="613D68DF"/>
    <w:rsid w:val="61427539"/>
    <w:rsid w:val="61488E6C"/>
    <w:rsid w:val="6169E42D"/>
    <w:rsid w:val="6170CE0A"/>
    <w:rsid w:val="6177F537"/>
    <w:rsid w:val="618B4835"/>
    <w:rsid w:val="61917B30"/>
    <w:rsid w:val="619A75E3"/>
    <w:rsid w:val="619B1C87"/>
    <w:rsid w:val="61A10606"/>
    <w:rsid w:val="61AEA6FA"/>
    <w:rsid w:val="61AFDC03"/>
    <w:rsid w:val="61B9C795"/>
    <w:rsid w:val="61C00D1C"/>
    <w:rsid w:val="61C02240"/>
    <w:rsid w:val="61E6B9A5"/>
    <w:rsid w:val="61FFC208"/>
    <w:rsid w:val="620056DE"/>
    <w:rsid w:val="6205B15D"/>
    <w:rsid w:val="6212F819"/>
    <w:rsid w:val="621B5C6A"/>
    <w:rsid w:val="622025F2"/>
    <w:rsid w:val="62233090"/>
    <w:rsid w:val="62243036"/>
    <w:rsid w:val="6225F3FD"/>
    <w:rsid w:val="62332EEB"/>
    <w:rsid w:val="623842CB"/>
    <w:rsid w:val="62386781"/>
    <w:rsid w:val="62386CB0"/>
    <w:rsid w:val="62407F5C"/>
    <w:rsid w:val="6244F87A"/>
    <w:rsid w:val="6246A5CA"/>
    <w:rsid w:val="625181CF"/>
    <w:rsid w:val="625995CA"/>
    <w:rsid w:val="628525C5"/>
    <w:rsid w:val="6287450F"/>
    <w:rsid w:val="628A71F0"/>
    <w:rsid w:val="6296EE0E"/>
    <w:rsid w:val="62997BC2"/>
    <w:rsid w:val="629B5C16"/>
    <w:rsid w:val="62CAFB44"/>
    <w:rsid w:val="62EE81CA"/>
    <w:rsid w:val="62F3DE6A"/>
    <w:rsid w:val="62F48EBD"/>
    <w:rsid w:val="62FEAAF3"/>
    <w:rsid w:val="631A4979"/>
    <w:rsid w:val="632A3326"/>
    <w:rsid w:val="632C8C13"/>
    <w:rsid w:val="632D4368"/>
    <w:rsid w:val="634A7B4B"/>
    <w:rsid w:val="63520FA2"/>
    <w:rsid w:val="635216B4"/>
    <w:rsid w:val="635D6CE8"/>
    <w:rsid w:val="636E00C0"/>
    <w:rsid w:val="63728B03"/>
    <w:rsid w:val="63736E53"/>
    <w:rsid w:val="63753538"/>
    <w:rsid w:val="637C5D4E"/>
    <w:rsid w:val="638056D9"/>
    <w:rsid w:val="63858F50"/>
    <w:rsid w:val="638C96B0"/>
    <w:rsid w:val="638C999E"/>
    <w:rsid w:val="639DF276"/>
    <w:rsid w:val="639E798C"/>
    <w:rsid w:val="63A938D4"/>
    <w:rsid w:val="63AC4EAB"/>
    <w:rsid w:val="63B76923"/>
    <w:rsid w:val="63B9347F"/>
    <w:rsid w:val="63CE44DF"/>
    <w:rsid w:val="63D2D46A"/>
    <w:rsid w:val="63D8F8DD"/>
    <w:rsid w:val="63DB84AC"/>
    <w:rsid w:val="63E8D8E3"/>
    <w:rsid w:val="64047BDE"/>
    <w:rsid w:val="64070FD4"/>
    <w:rsid w:val="640A5551"/>
    <w:rsid w:val="6413E206"/>
    <w:rsid w:val="641856BC"/>
    <w:rsid w:val="6418D05B"/>
    <w:rsid w:val="6428AC3D"/>
    <w:rsid w:val="642D19DC"/>
    <w:rsid w:val="642DE202"/>
    <w:rsid w:val="6439D473"/>
    <w:rsid w:val="64416E20"/>
    <w:rsid w:val="644417EC"/>
    <w:rsid w:val="6447EDD3"/>
    <w:rsid w:val="64492F59"/>
    <w:rsid w:val="644F7776"/>
    <w:rsid w:val="64568032"/>
    <w:rsid w:val="6456987F"/>
    <w:rsid w:val="64583C60"/>
    <w:rsid w:val="645A392A"/>
    <w:rsid w:val="645CCB4C"/>
    <w:rsid w:val="645EE142"/>
    <w:rsid w:val="6462FF90"/>
    <w:rsid w:val="646C7175"/>
    <w:rsid w:val="646DA352"/>
    <w:rsid w:val="64711AA6"/>
    <w:rsid w:val="64713D9D"/>
    <w:rsid w:val="6475B214"/>
    <w:rsid w:val="648BC56E"/>
    <w:rsid w:val="648DF4B9"/>
    <w:rsid w:val="648E5B3E"/>
    <w:rsid w:val="649203B9"/>
    <w:rsid w:val="649DB320"/>
    <w:rsid w:val="64AD3CF4"/>
    <w:rsid w:val="64B93862"/>
    <w:rsid w:val="64D410E3"/>
    <w:rsid w:val="64D8A8EF"/>
    <w:rsid w:val="64D8FE4A"/>
    <w:rsid w:val="6503D5C7"/>
    <w:rsid w:val="650DAA79"/>
    <w:rsid w:val="65182DAF"/>
    <w:rsid w:val="651D6768"/>
    <w:rsid w:val="65215FB1"/>
    <w:rsid w:val="6525C5D6"/>
    <w:rsid w:val="652CB56C"/>
    <w:rsid w:val="65344B5E"/>
    <w:rsid w:val="6537F7A0"/>
    <w:rsid w:val="65390EA6"/>
    <w:rsid w:val="653B148A"/>
    <w:rsid w:val="65426DEC"/>
    <w:rsid w:val="65488315"/>
    <w:rsid w:val="654A8729"/>
    <w:rsid w:val="654CA926"/>
    <w:rsid w:val="654CE3CB"/>
    <w:rsid w:val="65525757"/>
    <w:rsid w:val="655B5B3E"/>
    <w:rsid w:val="65635208"/>
    <w:rsid w:val="65811727"/>
    <w:rsid w:val="659FEE63"/>
    <w:rsid w:val="65B10F83"/>
    <w:rsid w:val="65E29757"/>
    <w:rsid w:val="65FA980F"/>
    <w:rsid w:val="6604F168"/>
    <w:rsid w:val="662617F6"/>
    <w:rsid w:val="662A2B9F"/>
    <w:rsid w:val="662E51D3"/>
    <w:rsid w:val="664192F0"/>
    <w:rsid w:val="6645BB7F"/>
    <w:rsid w:val="66646314"/>
    <w:rsid w:val="6675E042"/>
    <w:rsid w:val="6683354A"/>
    <w:rsid w:val="669261A3"/>
    <w:rsid w:val="669F6345"/>
    <w:rsid w:val="66A594DF"/>
    <w:rsid w:val="66AB8A00"/>
    <w:rsid w:val="66DA2693"/>
    <w:rsid w:val="66DB764F"/>
    <w:rsid w:val="66DEF4D1"/>
    <w:rsid w:val="66E7C5A2"/>
    <w:rsid w:val="66F1DE5F"/>
    <w:rsid w:val="66FCC257"/>
    <w:rsid w:val="6702434E"/>
    <w:rsid w:val="67028B1B"/>
    <w:rsid w:val="671122A0"/>
    <w:rsid w:val="6725D6BD"/>
    <w:rsid w:val="6748CBB6"/>
    <w:rsid w:val="674BF343"/>
    <w:rsid w:val="674E648F"/>
    <w:rsid w:val="675B0A09"/>
    <w:rsid w:val="675D3518"/>
    <w:rsid w:val="6760AC0F"/>
    <w:rsid w:val="6761E4EB"/>
    <w:rsid w:val="6762D7D3"/>
    <w:rsid w:val="6763AC11"/>
    <w:rsid w:val="676515E6"/>
    <w:rsid w:val="677510E4"/>
    <w:rsid w:val="677E3710"/>
    <w:rsid w:val="67807D49"/>
    <w:rsid w:val="6783878E"/>
    <w:rsid w:val="678508D7"/>
    <w:rsid w:val="6785568C"/>
    <w:rsid w:val="678B9B08"/>
    <w:rsid w:val="67909B78"/>
    <w:rsid w:val="6792FA3E"/>
    <w:rsid w:val="67940F23"/>
    <w:rsid w:val="6794B75C"/>
    <w:rsid w:val="67A29F7C"/>
    <w:rsid w:val="67A3C8F3"/>
    <w:rsid w:val="67BFBB33"/>
    <w:rsid w:val="67C31374"/>
    <w:rsid w:val="67C7C525"/>
    <w:rsid w:val="67C85F92"/>
    <w:rsid w:val="67D28FDE"/>
    <w:rsid w:val="67D427AC"/>
    <w:rsid w:val="67E4D92B"/>
    <w:rsid w:val="67E6970A"/>
    <w:rsid w:val="67EB940C"/>
    <w:rsid w:val="67F91C26"/>
    <w:rsid w:val="6803BBE5"/>
    <w:rsid w:val="680A9703"/>
    <w:rsid w:val="680BB1A5"/>
    <w:rsid w:val="680C07D1"/>
    <w:rsid w:val="681BFD15"/>
    <w:rsid w:val="681EA751"/>
    <w:rsid w:val="682AE5F8"/>
    <w:rsid w:val="682EAB7F"/>
    <w:rsid w:val="682FE228"/>
    <w:rsid w:val="68418B33"/>
    <w:rsid w:val="684294EB"/>
    <w:rsid w:val="68474A12"/>
    <w:rsid w:val="6847516F"/>
    <w:rsid w:val="6850C12D"/>
    <w:rsid w:val="68695B45"/>
    <w:rsid w:val="686F9862"/>
    <w:rsid w:val="6871FA03"/>
    <w:rsid w:val="68773E9F"/>
    <w:rsid w:val="687A0EAE"/>
    <w:rsid w:val="688ECEF8"/>
    <w:rsid w:val="6894C7BE"/>
    <w:rsid w:val="6895AC8B"/>
    <w:rsid w:val="689CA31D"/>
    <w:rsid w:val="68AE35A5"/>
    <w:rsid w:val="68B550EB"/>
    <w:rsid w:val="68B8CB6A"/>
    <w:rsid w:val="68D335D3"/>
    <w:rsid w:val="68D5E5D5"/>
    <w:rsid w:val="68D60337"/>
    <w:rsid w:val="68ECA17E"/>
    <w:rsid w:val="690388BB"/>
    <w:rsid w:val="69039B10"/>
    <w:rsid w:val="69084153"/>
    <w:rsid w:val="6908BD46"/>
    <w:rsid w:val="6910E145"/>
    <w:rsid w:val="6925BA19"/>
    <w:rsid w:val="692B3D25"/>
    <w:rsid w:val="69464A37"/>
    <w:rsid w:val="6947CC67"/>
    <w:rsid w:val="6948A404"/>
    <w:rsid w:val="694E4AB8"/>
    <w:rsid w:val="695C29AA"/>
    <w:rsid w:val="695F6270"/>
    <w:rsid w:val="69781AEF"/>
    <w:rsid w:val="697E32D9"/>
    <w:rsid w:val="697FB8ED"/>
    <w:rsid w:val="6982D453"/>
    <w:rsid w:val="698416EA"/>
    <w:rsid w:val="699D53DE"/>
    <w:rsid w:val="699EEA3A"/>
    <w:rsid w:val="69A6FD46"/>
    <w:rsid w:val="69ACCACB"/>
    <w:rsid w:val="69B3336F"/>
    <w:rsid w:val="69C04133"/>
    <w:rsid w:val="69C3041D"/>
    <w:rsid w:val="69CBB289"/>
    <w:rsid w:val="69D9FCD3"/>
    <w:rsid w:val="69DB3D3C"/>
    <w:rsid w:val="69DCA76B"/>
    <w:rsid w:val="69E2AFD7"/>
    <w:rsid w:val="69E31A73"/>
    <w:rsid w:val="69E6ED3D"/>
    <w:rsid w:val="69EFDFEA"/>
    <w:rsid w:val="69F8775C"/>
    <w:rsid w:val="6A09D2D4"/>
    <w:rsid w:val="6A1D9DFA"/>
    <w:rsid w:val="6A1FAC1E"/>
    <w:rsid w:val="6A281FD9"/>
    <w:rsid w:val="6A2C6FC3"/>
    <w:rsid w:val="6A335845"/>
    <w:rsid w:val="6A4A4CE7"/>
    <w:rsid w:val="6A531C82"/>
    <w:rsid w:val="6A581C3E"/>
    <w:rsid w:val="6A5F3F94"/>
    <w:rsid w:val="6A632E63"/>
    <w:rsid w:val="6A778959"/>
    <w:rsid w:val="6A8178EE"/>
    <w:rsid w:val="6A83A059"/>
    <w:rsid w:val="6A97ED58"/>
    <w:rsid w:val="6A9B0EC8"/>
    <w:rsid w:val="6AAECFBF"/>
    <w:rsid w:val="6AB704EA"/>
    <w:rsid w:val="6AD83517"/>
    <w:rsid w:val="6ADA403E"/>
    <w:rsid w:val="6ADA5007"/>
    <w:rsid w:val="6AE71FF8"/>
    <w:rsid w:val="6AED7942"/>
    <w:rsid w:val="6AEE7932"/>
    <w:rsid w:val="6AF4DDB4"/>
    <w:rsid w:val="6B1E6AB8"/>
    <w:rsid w:val="6B2921B3"/>
    <w:rsid w:val="6B3B6322"/>
    <w:rsid w:val="6B3C3753"/>
    <w:rsid w:val="6B3CEA29"/>
    <w:rsid w:val="6B4523AB"/>
    <w:rsid w:val="6B459238"/>
    <w:rsid w:val="6B49D179"/>
    <w:rsid w:val="6B516B52"/>
    <w:rsid w:val="6B55810A"/>
    <w:rsid w:val="6B5664D4"/>
    <w:rsid w:val="6B5C41EC"/>
    <w:rsid w:val="6B5C4B0B"/>
    <w:rsid w:val="6B5D821A"/>
    <w:rsid w:val="6B7793DE"/>
    <w:rsid w:val="6B7E2614"/>
    <w:rsid w:val="6B82BC52"/>
    <w:rsid w:val="6B8587CE"/>
    <w:rsid w:val="6B91919E"/>
    <w:rsid w:val="6BAB0F9B"/>
    <w:rsid w:val="6BAF06A4"/>
    <w:rsid w:val="6BBCE405"/>
    <w:rsid w:val="6BC2D778"/>
    <w:rsid w:val="6BC8AAF1"/>
    <w:rsid w:val="6BCC64A7"/>
    <w:rsid w:val="6BCED5B7"/>
    <w:rsid w:val="6BD41661"/>
    <w:rsid w:val="6BD443DF"/>
    <w:rsid w:val="6BEB579B"/>
    <w:rsid w:val="6BEDFFF2"/>
    <w:rsid w:val="6BF8C138"/>
    <w:rsid w:val="6C0CF426"/>
    <w:rsid w:val="6C2E156B"/>
    <w:rsid w:val="6C2E7B2C"/>
    <w:rsid w:val="6C360E04"/>
    <w:rsid w:val="6C3927E0"/>
    <w:rsid w:val="6C3CF28B"/>
    <w:rsid w:val="6C441CAE"/>
    <w:rsid w:val="6C5039D8"/>
    <w:rsid w:val="6C56F8B1"/>
    <w:rsid w:val="6C598665"/>
    <w:rsid w:val="6C5F1784"/>
    <w:rsid w:val="6C66705B"/>
    <w:rsid w:val="6C6B90E7"/>
    <w:rsid w:val="6C6FC070"/>
    <w:rsid w:val="6C76F775"/>
    <w:rsid w:val="6CA521A7"/>
    <w:rsid w:val="6CB31B33"/>
    <w:rsid w:val="6CBE1D90"/>
    <w:rsid w:val="6CCDD424"/>
    <w:rsid w:val="6CDE2249"/>
    <w:rsid w:val="6CE8E5AA"/>
    <w:rsid w:val="6CF1B2D7"/>
    <w:rsid w:val="6CF99591"/>
    <w:rsid w:val="6D070DAA"/>
    <w:rsid w:val="6D58BFF9"/>
    <w:rsid w:val="6D77AB91"/>
    <w:rsid w:val="6D7DCF18"/>
    <w:rsid w:val="6D7F0BF2"/>
    <w:rsid w:val="6D8636DA"/>
    <w:rsid w:val="6D904876"/>
    <w:rsid w:val="6D98C87F"/>
    <w:rsid w:val="6D9EB6C8"/>
    <w:rsid w:val="6DC76113"/>
    <w:rsid w:val="6DD7BC87"/>
    <w:rsid w:val="6DE67081"/>
    <w:rsid w:val="6DEADE2D"/>
    <w:rsid w:val="6DF556C6"/>
    <w:rsid w:val="6DF80697"/>
    <w:rsid w:val="6DFCFF2A"/>
    <w:rsid w:val="6E085DF4"/>
    <w:rsid w:val="6E161100"/>
    <w:rsid w:val="6E18187D"/>
    <w:rsid w:val="6E1833D5"/>
    <w:rsid w:val="6E272062"/>
    <w:rsid w:val="6E38E5FF"/>
    <w:rsid w:val="6E3D988A"/>
    <w:rsid w:val="6E408913"/>
    <w:rsid w:val="6E42536D"/>
    <w:rsid w:val="6E4A2D92"/>
    <w:rsid w:val="6E507C28"/>
    <w:rsid w:val="6E516FF6"/>
    <w:rsid w:val="6E61B757"/>
    <w:rsid w:val="6E6C619C"/>
    <w:rsid w:val="6E7140FE"/>
    <w:rsid w:val="6E7C6DBA"/>
    <w:rsid w:val="6E8C627C"/>
    <w:rsid w:val="6E934DAF"/>
    <w:rsid w:val="6E93C259"/>
    <w:rsid w:val="6E9A7196"/>
    <w:rsid w:val="6EADFB20"/>
    <w:rsid w:val="6EB1509C"/>
    <w:rsid w:val="6EB5C780"/>
    <w:rsid w:val="6EBF7B5F"/>
    <w:rsid w:val="6EC566DF"/>
    <w:rsid w:val="6EC7A213"/>
    <w:rsid w:val="6EC8C0A0"/>
    <w:rsid w:val="6ECBA66C"/>
    <w:rsid w:val="6ECBB9A1"/>
    <w:rsid w:val="6EE0AB46"/>
    <w:rsid w:val="6EE2B05D"/>
    <w:rsid w:val="6EE6A60A"/>
    <w:rsid w:val="6EF0A5A1"/>
    <w:rsid w:val="6F0E0BAA"/>
    <w:rsid w:val="6F1D7729"/>
    <w:rsid w:val="6F1DBE0A"/>
    <w:rsid w:val="6F283FD5"/>
    <w:rsid w:val="6F28F286"/>
    <w:rsid w:val="6F28F6E2"/>
    <w:rsid w:val="6F3061FA"/>
    <w:rsid w:val="6F421ACE"/>
    <w:rsid w:val="6F4C8A16"/>
    <w:rsid w:val="6F527CE4"/>
    <w:rsid w:val="6F52F9A9"/>
    <w:rsid w:val="6F6EE729"/>
    <w:rsid w:val="6F6FCC83"/>
    <w:rsid w:val="6F8A5305"/>
    <w:rsid w:val="6F8E54D3"/>
    <w:rsid w:val="6F942131"/>
    <w:rsid w:val="6FB68D4E"/>
    <w:rsid w:val="6FBA491A"/>
    <w:rsid w:val="6FC8FA7C"/>
    <w:rsid w:val="6FC9FA58"/>
    <w:rsid w:val="6FD640DF"/>
    <w:rsid w:val="6FDC7D97"/>
    <w:rsid w:val="6FE065C7"/>
    <w:rsid w:val="6FE6D413"/>
    <w:rsid w:val="6FE7095B"/>
    <w:rsid w:val="6FE74DB6"/>
    <w:rsid w:val="6FFE1618"/>
    <w:rsid w:val="70071FCB"/>
    <w:rsid w:val="70073D0D"/>
    <w:rsid w:val="700D9C7C"/>
    <w:rsid w:val="7011D435"/>
    <w:rsid w:val="7013D082"/>
    <w:rsid w:val="701D536F"/>
    <w:rsid w:val="702F324A"/>
    <w:rsid w:val="7036A982"/>
    <w:rsid w:val="703D4D4A"/>
    <w:rsid w:val="706B8BB1"/>
    <w:rsid w:val="706E937F"/>
    <w:rsid w:val="7086E734"/>
    <w:rsid w:val="708C3495"/>
    <w:rsid w:val="7098AB5C"/>
    <w:rsid w:val="70990120"/>
    <w:rsid w:val="70A70B9C"/>
    <w:rsid w:val="70ABEA01"/>
    <w:rsid w:val="70BEF684"/>
    <w:rsid w:val="70C15238"/>
    <w:rsid w:val="70CE4E1A"/>
    <w:rsid w:val="70D01BEB"/>
    <w:rsid w:val="70E3A1A2"/>
    <w:rsid w:val="70F11B3A"/>
    <w:rsid w:val="70F2E285"/>
    <w:rsid w:val="70FA519E"/>
    <w:rsid w:val="7101A2C9"/>
    <w:rsid w:val="710A157A"/>
    <w:rsid w:val="711E092F"/>
    <w:rsid w:val="7128EE21"/>
    <w:rsid w:val="712DD10C"/>
    <w:rsid w:val="71377EBD"/>
    <w:rsid w:val="713CACA1"/>
    <w:rsid w:val="714D1009"/>
    <w:rsid w:val="71553BC8"/>
    <w:rsid w:val="7167E618"/>
    <w:rsid w:val="71700BE1"/>
    <w:rsid w:val="717238ED"/>
    <w:rsid w:val="7175D3FF"/>
    <w:rsid w:val="718B6CE8"/>
    <w:rsid w:val="719374E3"/>
    <w:rsid w:val="719D6E07"/>
    <w:rsid w:val="71A29271"/>
    <w:rsid w:val="71A4619A"/>
    <w:rsid w:val="71E1C972"/>
    <w:rsid w:val="71E49AE0"/>
    <w:rsid w:val="71F65152"/>
    <w:rsid w:val="71FE3BAC"/>
    <w:rsid w:val="71FF42D5"/>
    <w:rsid w:val="720688AD"/>
    <w:rsid w:val="720A63E0"/>
    <w:rsid w:val="721833BE"/>
    <w:rsid w:val="72229ACF"/>
    <w:rsid w:val="722811E6"/>
    <w:rsid w:val="722C6EA7"/>
    <w:rsid w:val="722FD7BF"/>
    <w:rsid w:val="723B858F"/>
    <w:rsid w:val="72502F57"/>
    <w:rsid w:val="72547F9F"/>
    <w:rsid w:val="725967D1"/>
    <w:rsid w:val="726196C0"/>
    <w:rsid w:val="72687DD3"/>
    <w:rsid w:val="726F3507"/>
    <w:rsid w:val="726FF042"/>
    <w:rsid w:val="7274E74E"/>
    <w:rsid w:val="728E5A26"/>
    <w:rsid w:val="7295083A"/>
    <w:rsid w:val="729F0F96"/>
    <w:rsid w:val="72B32341"/>
    <w:rsid w:val="72B49509"/>
    <w:rsid w:val="72B78D12"/>
    <w:rsid w:val="72DA0922"/>
    <w:rsid w:val="72EA5E83"/>
    <w:rsid w:val="72F3CD2D"/>
    <w:rsid w:val="73128FCE"/>
    <w:rsid w:val="7316CAFF"/>
    <w:rsid w:val="731F6E77"/>
    <w:rsid w:val="73291A22"/>
    <w:rsid w:val="7339D84F"/>
    <w:rsid w:val="733F078F"/>
    <w:rsid w:val="73413439"/>
    <w:rsid w:val="7348B0EF"/>
    <w:rsid w:val="734EA7B9"/>
    <w:rsid w:val="73540BFE"/>
    <w:rsid w:val="7358D03D"/>
    <w:rsid w:val="73614E65"/>
    <w:rsid w:val="7368D9D7"/>
    <w:rsid w:val="736E4A44"/>
    <w:rsid w:val="7375F304"/>
    <w:rsid w:val="7386270B"/>
    <w:rsid w:val="7391EA3F"/>
    <w:rsid w:val="739221B3"/>
    <w:rsid w:val="7396239F"/>
    <w:rsid w:val="73997D17"/>
    <w:rsid w:val="739D6B78"/>
    <w:rsid w:val="73A32C73"/>
    <w:rsid w:val="73A5AA18"/>
    <w:rsid w:val="73AB867E"/>
    <w:rsid w:val="73BE05BC"/>
    <w:rsid w:val="73CB85EF"/>
    <w:rsid w:val="73CBA820"/>
    <w:rsid w:val="73DD025F"/>
    <w:rsid w:val="73DE11E7"/>
    <w:rsid w:val="73DE5CA2"/>
    <w:rsid w:val="73E3493D"/>
    <w:rsid w:val="73E74969"/>
    <w:rsid w:val="73EB3168"/>
    <w:rsid w:val="73F07D14"/>
    <w:rsid w:val="73FA030E"/>
    <w:rsid w:val="73FD384B"/>
    <w:rsid w:val="740E2661"/>
    <w:rsid w:val="74177AD2"/>
    <w:rsid w:val="7418498E"/>
    <w:rsid w:val="7434F72C"/>
    <w:rsid w:val="74400F8F"/>
    <w:rsid w:val="745393EC"/>
    <w:rsid w:val="746B16BD"/>
    <w:rsid w:val="74730521"/>
    <w:rsid w:val="747BB9F3"/>
    <w:rsid w:val="747DF2C9"/>
    <w:rsid w:val="748B56AB"/>
    <w:rsid w:val="7493A478"/>
    <w:rsid w:val="74BB3384"/>
    <w:rsid w:val="74C29D4F"/>
    <w:rsid w:val="74C945D0"/>
    <w:rsid w:val="74C9B8B9"/>
    <w:rsid w:val="74DBB3BA"/>
    <w:rsid w:val="74DE1A68"/>
    <w:rsid w:val="74E55E7B"/>
    <w:rsid w:val="74E968BE"/>
    <w:rsid w:val="74EB8EF8"/>
    <w:rsid w:val="74FF8396"/>
    <w:rsid w:val="750B613C"/>
    <w:rsid w:val="751F113E"/>
    <w:rsid w:val="75370099"/>
    <w:rsid w:val="75371B68"/>
    <w:rsid w:val="75383C7F"/>
    <w:rsid w:val="754D36C4"/>
    <w:rsid w:val="75505A52"/>
    <w:rsid w:val="75735A5B"/>
    <w:rsid w:val="757B1099"/>
    <w:rsid w:val="757BA60F"/>
    <w:rsid w:val="757E4654"/>
    <w:rsid w:val="757F5B24"/>
    <w:rsid w:val="757FF463"/>
    <w:rsid w:val="75824067"/>
    <w:rsid w:val="759AF192"/>
    <w:rsid w:val="75A912D0"/>
    <w:rsid w:val="75AA30F0"/>
    <w:rsid w:val="75AE1059"/>
    <w:rsid w:val="75B34EC9"/>
    <w:rsid w:val="75B43F55"/>
    <w:rsid w:val="75C0E95F"/>
    <w:rsid w:val="75C817D3"/>
    <w:rsid w:val="75DD768E"/>
    <w:rsid w:val="75E2FADE"/>
    <w:rsid w:val="75E53219"/>
    <w:rsid w:val="75F2A7F5"/>
    <w:rsid w:val="75FF09A4"/>
    <w:rsid w:val="75FFFD14"/>
    <w:rsid w:val="76158D01"/>
    <w:rsid w:val="762D4E7E"/>
    <w:rsid w:val="763AC4DE"/>
    <w:rsid w:val="7657893E"/>
    <w:rsid w:val="7667AFF3"/>
    <w:rsid w:val="767B6562"/>
    <w:rsid w:val="767FEF2B"/>
    <w:rsid w:val="768206BC"/>
    <w:rsid w:val="7697FC5C"/>
    <w:rsid w:val="76A71B4B"/>
    <w:rsid w:val="76BCCF23"/>
    <w:rsid w:val="76CBBD7B"/>
    <w:rsid w:val="76EBC720"/>
    <w:rsid w:val="76EC4D6C"/>
    <w:rsid w:val="76F74795"/>
    <w:rsid w:val="7703E0A3"/>
    <w:rsid w:val="77127778"/>
    <w:rsid w:val="77154575"/>
    <w:rsid w:val="77154C9B"/>
    <w:rsid w:val="77182549"/>
    <w:rsid w:val="77200767"/>
    <w:rsid w:val="77293ABE"/>
    <w:rsid w:val="772D1F3F"/>
    <w:rsid w:val="772F9A34"/>
    <w:rsid w:val="77319B9E"/>
    <w:rsid w:val="774316E7"/>
    <w:rsid w:val="77626258"/>
    <w:rsid w:val="776E94A5"/>
    <w:rsid w:val="7777B571"/>
    <w:rsid w:val="777FB0D4"/>
    <w:rsid w:val="778312A9"/>
    <w:rsid w:val="7783E059"/>
    <w:rsid w:val="77A1F8B9"/>
    <w:rsid w:val="77A45F7B"/>
    <w:rsid w:val="77B567CB"/>
    <w:rsid w:val="77B6E593"/>
    <w:rsid w:val="77BDE4CD"/>
    <w:rsid w:val="77D88D02"/>
    <w:rsid w:val="77E124C4"/>
    <w:rsid w:val="77E20429"/>
    <w:rsid w:val="77E7E9FF"/>
    <w:rsid w:val="77F6FBE2"/>
    <w:rsid w:val="781275D2"/>
    <w:rsid w:val="7815FEC3"/>
    <w:rsid w:val="7818AE61"/>
    <w:rsid w:val="781B2137"/>
    <w:rsid w:val="781E4FD2"/>
    <w:rsid w:val="781E5C88"/>
    <w:rsid w:val="7829F402"/>
    <w:rsid w:val="782E5980"/>
    <w:rsid w:val="783BE2F4"/>
    <w:rsid w:val="783E112F"/>
    <w:rsid w:val="7841D259"/>
    <w:rsid w:val="7859A0C4"/>
    <w:rsid w:val="78645477"/>
    <w:rsid w:val="786C0C1A"/>
    <w:rsid w:val="786F2A02"/>
    <w:rsid w:val="788F33FB"/>
    <w:rsid w:val="7895BAC2"/>
    <w:rsid w:val="7896B995"/>
    <w:rsid w:val="78A295DD"/>
    <w:rsid w:val="78B69073"/>
    <w:rsid w:val="78C0B395"/>
    <w:rsid w:val="78CC2625"/>
    <w:rsid w:val="78E17AE4"/>
    <w:rsid w:val="78EBA405"/>
    <w:rsid w:val="79141AB7"/>
    <w:rsid w:val="791B8135"/>
    <w:rsid w:val="791F3159"/>
    <w:rsid w:val="79227F83"/>
    <w:rsid w:val="792BBDEB"/>
    <w:rsid w:val="792DE75F"/>
    <w:rsid w:val="792DEA03"/>
    <w:rsid w:val="792EF295"/>
    <w:rsid w:val="7938CB5D"/>
    <w:rsid w:val="793B6861"/>
    <w:rsid w:val="794B4409"/>
    <w:rsid w:val="794D63B7"/>
    <w:rsid w:val="7950C633"/>
    <w:rsid w:val="7965B32D"/>
    <w:rsid w:val="796DAA06"/>
    <w:rsid w:val="796EBD1A"/>
    <w:rsid w:val="7982692B"/>
    <w:rsid w:val="7983BA60"/>
    <w:rsid w:val="79A071C5"/>
    <w:rsid w:val="79A25069"/>
    <w:rsid w:val="79BA0719"/>
    <w:rsid w:val="79D2F1FF"/>
    <w:rsid w:val="79D3D2C6"/>
    <w:rsid w:val="79D4B255"/>
    <w:rsid w:val="79EE0330"/>
    <w:rsid w:val="79F876F1"/>
    <w:rsid w:val="79F8930C"/>
    <w:rsid w:val="79FDEEC6"/>
    <w:rsid w:val="7A07DB2F"/>
    <w:rsid w:val="7A0814F4"/>
    <w:rsid w:val="7A118815"/>
    <w:rsid w:val="7A17970C"/>
    <w:rsid w:val="7A2B3725"/>
    <w:rsid w:val="7A2D508A"/>
    <w:rsid w:val="7A37FCE2"/>
    <w:rsid w:val="7A398D2B"/>
    <w:rsid w:val="7A461A5F"/>
    <w:rsid w:val="7A59A4E0"/>
    <w:rsid w:val="7A5D3DCD"/>
    <w:rsid w:val="7A6F5B99"/>
    <w:rsid w:val="7A7258A5"/>
    <w:rsid w:val="7A72E989"/>
    <w:rsid w:val="7A735314"/>
    <w:rsid w:val="7A7A504E"/>
    <w:rsid w:val="7A81EC95"/>
    <w:rsid w:val="7A84A34F"/>
    <w:rsid w:val="7A943D96"/>
    <w:rsid w:val="7A9D4F56"/>
    <w:rsid w:val="7AB8EB17"/>
    <w:rsid w:val="7ABA280D"/>
    <w:rsid w:val="7AD090AA"/>
    <w:rsid w:val="7AD99B85"/>
    <w:rsid w:val="7ADE62AB"/>
    <w:rsid w:val="7AED624F"/>
    <w:rsid w:val="7AFADB2D"/>
    <w:rsid w:val="7AFE7970"/>
    <w:rsid w:val="7B11EE50"/>
    <w:rsid w:val="7B176907"/>
    <w:rsid w:val="7B1A79C7"/>
    <w:rsid w:val="7B2AFA61"/>
    <w:rsid w:val="7B305FEB"/>
    <w:rsid w:val="7B3261AA"/>
    <w:rsid w:val="7B4481D1"/>
    <w:rsid w:val="7B455A4A"/>
    <w:rsid w:val="7B504F23"/>
    <w:rsid w:val="7B50E955"/>
    <w:rsid w:val="7B624A47"/>
    <w:rsid w:val="7B670A3C"/>
    <w:rsid w:val="7B6CD25E"/>
    <w:rsid w:val="7B72AFE6"/>
    <w:rsid w:val="7B7F8DF8"/>
    <w:rsid w:val="7B83D3C7"/>
    <w:rsid w:val="7B88C76B"/>
    <w:rsid w:val="7B8D3249"/>
    <w:rsid w:val="7BA15E17"/>
    <w:rsid w:val="7BA9E397"/>
    <w:rsid w:val="7BC12037"/>
    <w:rsid w:val="7BC50F0D"/>
    <w:rsid w:val="7BC763FB"/>
    <w:rsid w:val="7BD1721D"/>
    <w:rsid w:val="7BE1EAC0"/>
    <w:rsid w:val="7BEE5B22"/>
    <w:rsid w:val="7BF6C1B3"/>
    <w:rsid w:val="7C1F0B94"/>
    <w:rsid w:val="7C2CA74B"/>
    <w:rsid w:val="7C3C4467"/>
    <w:rsid w:val="7C4E8276"/>
    <w:rsid w:val="7C569126"/>
    <w:rsid w:val="7C809219"/>
    <w:rsid w:val="7C88D191"/>
    <w:rsid w:val="7C948B39"/>
    <w:rsid w:val="7C9AD8B3"/>
    <w:rsid w:val="7C9E01DB"/>
    <w:rsid w:val="7CA14FB8"/>
    <w:rsid w:val="7CA23B9A"/>
    <w:rsid w:val="7CA484E8"/>
    <w:rsid w:val="7CABD465"/>
    <w:rsid w:val="7CAC7F80"/>
    <w:rsid w:val="7CBE4B49"/>
    <w:rsid w:val="7CC6D0D6"/>
    <w:rsid w:val="7CC9333A"/>
    <w:rsid w:val="7CCD070D"/>
    <w:rsid w:val="7CECB9B6"/>
    <w:rsid w:val="7CFD1D4E"/>
    <w:rsid w:val="7D01C1A8"/>
    <w:rsid w:val="7D040917"/>
    <w:rsid w:val="7D348C34"/>
    <w:rsid w:val="7D3B9AAE"/>
    <w:rsid w:val="7D453BAC"/>
    <w:rsid w:val="7D64F14C"/>
    <w:rsid w:val="7D6C5C87"/>
    <w:rsid w:val="7D6F1AFE"/>
    <w:rsid w:val="7D74B74D"/>
    <w:rsid w:val="7D766536"/>
    <w:rsid w:val="7D7E2738"/>
    <w:rsid w:val="7D82C5CA"/>
    <w:rsid w:val="7D854D17"/>
    <w:rsid w:val="7D87C7F7"/>
    <w:rsid w:val="7D8A4CDA"/>
    <w:rsid w:val="7D942FAD"/>
    <w:rsid w:val="7D9E5BB2"/>
    <w:rsid w:val="7DB4040B"/>
    <w:rsid w:val="7DB6C500"/>
    <w:rsid w:val="7DC91FF5"/>
    <w:rsid w:val="7DD4CCF2"/>
    <w:rsid w:val="7DD9805B"/>
    <w:rsid w:val="7DDBC449"/>
    <w:rsid w:val="7DE96D4A"/>
    <w:rsid w:val="7DF66AE8"/>
    <w:rsid w:val="7DFDA2FB"/>
    <w:rsid w:val="7E176F85"/>
    <w:rsid w:val="7E25AD6D"/>
    <w:rsid w:val="7E324D5C"/>
    <w:rsid w:val="7E489A8D"/>
    <w:rsid w:val="7E56BD31"/>
    <w:rsid w:val="7E642667"/>
    <w:rsid w:val="7E7A9D0D"/>
    <w:rsid w:val="7E81A392"/>
    <w:rsid w:val="7E91AC0D"/>
    <w:rsid w:val="7E9254D7"/>
    <w:rsid w:val="7E97BF34"/>
    <w:rsid w:val="7EA680AF"/>
    <w:rsid w:val="7EAFAD0E"/>
    <w:rsid w:val="7EB00248"/>
    <w:rsid w:val="7EB895B6"/>
    <w:rsid w:val="7EBB09ED"/>
    <w:rsid w:val="7EC11005"/>
    <w:rsid w:val="7EC515CA"/>
    <w:rsid w:val="7ED699C7"/>
    <w:rsid w:val="7EDAF1BC"/>
    <w:rsid w:val="7EE52617"/>
    <w:rsid w:val="7EF16D75"/>
    <w:rsid w:val="7F2D324F"/>
    <w:rsid w:val="7F511A16"/>
    <w:rsid w:val="7F555564"/>
    <w:rsid w:val="7F5A899D"/>
    <w:rsid w:val="7F636016"/>
    <w:rsid w:val="7F75F4DA"/>
    <w:rsid w:val="7F7B6496"/>
    <w:rsid w:val="7F7C5572"/>
    <w:rsid w:val="7F976F21"/>
    <w:rsid w:val="7F9C090A"/>
    <w:rsid w:val="7FA77070"/>
    <w:rsid w:val="7FAA3DA9"/>
    <w:rsid w:val="7FAAAC99"/>
    <w:rsid w:val="7FBCED98"/>
    <w:rsid w:val="7FC079B0"/>
    <w:rsid w:val="7FD2C417"/>
    <w:rsid w:val="7FD7AC98"/>
    <w:rsid w:val="7FE0ABD9"/>
    <w:rsid w:val="7FE34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BB7"/>
    <w:pPr>
      <w:spacing w:after="0" w:line="240" w:lineRule="auto"/>
      <w:jc w:val="both"/>
    </w:pPr>
    <w:rPr>
      <w:rFonts w:ascii="Calibri" w:eastAsia="Times New Roman" w:hAnsi="Calibri" w:cs="Times New Roman"/>
      <w:color w:val="1F1F1F" w:themeColor="background2" w:themeShade="80"/>
      <w:sz w:val="21"/>
      <w:szCs w:val="20"/>
      <w:lang w:val="en-US"/>
    </w:rPr>
  </w:style>
  <w:style w:type="paragraph" w:styleId="Heading1">
    <w:name w:val="heading 1"/>
    <w:basedOn w:val="Normal"/>
    <w:next w:val="Normal"/>
    <w:link w:val="Heading1Char"/>
    <w:autoRedefine/>
    <w:uiPriority w:val="9"/>
    <w:qFormat/>
    <w:rsid w:val="005D6854"/>
    <w:pPr>
      <w:keepNext/>
      <w:keepLines/>
      <w:numPr>
        <w:numId w:val="6"/>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5D6854"/>
    <w:pPr>
      <w:keepNext/>
      <w:keepLines/>
      <w:numPr>
        <w:ilvl w:val="1"/>
        <w:numId w:val="6"/>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357301"/>
    <w:pPr>
      <w:keepNext/>
      <w:keepLines/>
      <w:numPr>
        <w:ilvl w:val="2"/>
        <w:numId w:val="6"/>
      </w:numPr>
      <w:spacing w:before="40"/>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2E0EBC"/>
    <w:pPr>
      <w:keepNext/>
      <w:keepLines/>
      <w:numPr>
        <w:ilvl w:val="3"/>
        <w:numId w:val="6"/>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6"/>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6"/>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5"/>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5"/>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5"/>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5D6854"/>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5D6854"/>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357301"/>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2E0EBC"/>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
    <w:basedOn w:val="Normal"/>
    <w:next w:val="Normal"/>
    <w:link w:val="CaptionChar"/>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unhideWhenUsed/>
    <w:rsid w:val="000A72A2"/>
    <w:rPr>
      <w:sz w:val="20"/>
    </w:rPr>
  </w:style>
  <w:style w:type="character" w:customStyle="1" w:styleId="CommentTextChar">
    <w:name w:val="Comment Text Char"/>
    <w:basedOn w:val="DefaultParagraphFont"/>
    <w:link w:val="CommentText"/>
    <w:uiPriority w:val="99"/>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E0093"/>
    <w:pPr>
      <w:spacing w:after="0" w:line="240" w:lineRule="auto"/>
      <w:jc w:val="both"/>
    </w:pPr>
    <w:rPr>
      <w:rFonts w:ascii="Calibri" w:eastAsia="Times New Roman" w:hAnsi="Calibri" w:cs="Times New Roman"/>
      <w:color w:val="1F1F1F" w:themeColor="background2" w:themeShade="80"/>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paragraph" w:styleId="NormalWeb">
    <w:name w:val="Normal (Web)"/>
    <w:basedOn w:val="Normal"/>
    <w:uiPriority w:val="99"/>
    <w:semiHidden/>
    <w:unhideWhenUsed/>
    <w:rsid w:val="00B70F9E"/>
    <w:pPr>
      <w:spacing w:before="100" w:beforeAutospacing="1" w:after="100" w:afterAutospacing="1"/>
      <w:jc w:val="left"/>
    </w:pPr>
    <w:rPr>
      <w:rFonts w:ascii="Times New Roman" w:hAnsi="Times New Roman"/>
      <w:color w:val="auto"/>
      <w:sz w:val="24"/>
      <w:szCs w:val="24"/>
    </w:rPr>
  </w:style>
  <w:style w:type="character" w:customStyle="1" w:styleId="UnresolvedMention1">
    <w:name w:val="Unresolved Mention1"/>
    <w:basedOn w:val="DefaultParagraphFont"/>
    <w:uiPriority w:val="99"/>
    <w:semiHidden/>
    <w:unhideWhenUsed/>
    <w:rsid w:val="000E35B6"/>
    <w:rPr>
      <w:color w:val="605E5C"/>
      <w:shd w:val="clear" w:color="auto" w:fill="E1DFDD"/>
    </w:rPr>
  </w:style>
  <w:style w:type="character" w:customStyle="1" w:styleId="normaltextrun">
    <w:name w:val="normaltextrun"/>
    <w:basedOn w:val="DefaultParagraphFont"/>
    <w:rsid w:val="006569ED"/>
  </w:style>
  <w:style w:type="character" w:customStyle="1" w:styleId="eop">
    <w:name w:val="eop"/>
    <w:basedOn w:val="DefaultParagraphFont"/>
    <w:rsid w:val="00A11736"/>
  </w:style>
  <w:style w:type="paragraph" w:customStyle="1" w:styleId="paragraph">
    <w:name w:val="paragraph"/>
    <w:basedOn w:val="Normal"/>
    <w:rsid w:val="00340A14"/>
    <w:pPr>
      <w:spacing w:before="100" w:beforeAutospacing="1" w:after="100" w:afterAutospacing="1"/>
      <w:jc w:val="left"/>
    </w:pPr>
    <w:rPr>
      <w:rFonts w:ascii="Times New Roman" w:hAnsi="Times New Roman"/>
      <w:color w:val="auto"/>
      <w:sz w:val="24"/>
      <w:szCs w:val="24"/>
    </w:rPr>
  </w:style>
  <w:style w:type="paragraph" w:styleId="EndnoteText">
    <w:name w:val="endnote text"/>
    <w:basedOn w:val="Normal"/>
    <w:link w:val="EndnoteTextChar"/>
    <w:uiPriority w:val="99"/>
    <w:semiHidden/>
    <w:unhideWhenUsed/>
    <w:rsid w:val="00663E00"/>
    <w:rPr>
      <w:sz w:val="20"/>
    </w:rPr>
  </w:style>
  <w:style w:type="character" w:customStyle="1" w:styleId="EndnoteTextChar">
    <w:name w:val="Endnote Text Char"/>
    <w:basedOn w:val="DefaultParagraphFont"/>
    <w:link w:val="EndnoteText"/>
    <w:uiPriority w:val="99"/>
    <w:semiHidden/>
    <w:rsid w:val="00663E00"/>
    <w:rPr>
      <w:rFonts w:ascii="Calibri" w:eastAsia="Times New Roman" w:hAnsi="Calibri" w:cs="Times New Roman"/>
      <w:color w:val="1F1F1F" w:themeColor="background2" w:themeShade="80"/>
      <w:sz w:val="20"/>
      <w:szCs w:val="20"/>
      <w:lang w:val="en-US"/>
    </w:rPr>
  </w:style>
  <w:style w:type="character" w:styleId="EndnoteReference">
    <w:name w:val="endnote reference"/>
    <w:basedOn w:val="DefaultParagraphFont"/>
    <w:uiPriority w:val="99"/>
    <w:semiHidden/>
    <w:unhideWhenUsed/>
    <w:rsid w:val="00663E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42443">
      <w:bodyDiv w:val="1"/>
      <w:marLeft w:val="0"/>
      <w:marRight w:val="0"/>
      <w:marTop w:val="0"/>
      <w:marBottom w:val="0"/>
      <w:divBdr>
        <w:top w:val="none" w:sz="0" w:space="0" w:color="auto"/>
        <w:left w:val="none" w:sz="0" w:space="0" w:color="auto"/>
        <w:bottom w:val="none" w:sz="0" w:space="0" w:color="auto"/>
        <w:right w:val="none" w:sz="0" w:space="0" w:color="auto"/>
      </w:divBdr>
      <w:divsChild>
        <w:div w:id="436875054">
          <w:marLeft w:val="0"/>
          <w:marRight w:val="0"/>
          <w:marTop w:val="0"/>
          <w:marBottom w:val="0"/>
          <w:divBdr>
            <w:top w:val="none" w:sz="0" w:space="0" w:color="auto"/>
            <w:left w:val="none" w:sz="0" w:space="0" w:color="auto"/>
            <w:bottom w:val="none" w:sz="0" w:space="0" w:color="auto"/>
            <w:right w:val="none" w:sz="0" w:space="0" w:color="auto"/>
          </w:divBdr>
        </w:div>
        <w:div w:id="292297692">
          <w:marLeft w:val="0"/>
          <w:marRight w:val="0"/>
          <w:marTop w:val="0"/>
          <w:marBottom w:val="0"/>
          <w:divBdr>
            <w:top w:val="none" w:sz="0" w:space="0" w:color="auto"/>
            <w:left w:val="none" w:sz="0" w:space="0" w:color="auto"/>
            <w:bottom w:val="none" w:sz="0" w:space="0" w:color="auto"/>
            <w:right w:val="none" w:sz="0" w:space="0" w:color="auto"/>
          </w:divBdr>
        </w:div>
        <w:div w:id="1271207546">
          <w:marLeft w:val="0"/>
          <w:marRight w:val="0"/>
          <w:marTop w:val="0"/>
          <w:marBottom w:val="0"/>
          <w:divBdr>
            <w:top w:val="none" w:sz="0" w:space="0" w:color="auto"/>
            <w:left w:val="none" w:sz="0" w:space="0" w:color="auto"/>
            <w:bottom w:val="none" w:sz="0" w:space="0" w:color="auto"/>
            <w:right w:val="none" w:sz="0" w:space="0" w:color="auto"/>
          </w:divBdr>
        </w:div>
        <w:div w:id="1240753282">
          <w:marLeft w:val="0"/>
          <w:marRight w:val="0"/>
          <w:marTop w:val="0"/>
          <w:marBottom w:val="0"/>
          <w:divBdr>
            <w:top w:val="none" w:sz="0" w:space="0" w:color="auto"/>
            <w:left w:val="none" w:sz="0" w:space="0" w:color="auto"/>
            <w:bottom w:val="none" w:sz="0" w:space="0" w:color="auto"/>
            <w:right w:val="none" w:sz="0" w:space="0" w:color="auto"/>
          </w:divBdr>
        </w:div>
        <w:div w:id="1781997468">
          <w:marLeft w:val="0"/>
          <w:marRight w:val="0"/>
          <w:marTop w:val="0"/>
          <w:marBottom w:val="0"/>
          <w:divBdr>
            <w:top w:val="none" w:sz="0" w:space="0" w:color="auto"/>
            <w:left w:val="none" w:sz="0" w:space="0" w:color="auto"/>
            <w:bottom w:val="none" w:sz="0" w:space="0" w:color="auto"/>
            <w:right w:val="none" w:sz="0" w:space="0" w:color="auto"/>
          </w:divBdr>
        </w:div>
        <w:div w:id="581524891">
          <w:marLeft w:val="0"/>
          <w:marRight w:val="0"/>
          <w:marTop w:val="0"/>
          <w:marBottom w:val="0"/>
          <w:divBdr>
            <w:top w:val="none" w:sz="0" w:space="0" w:color="auto"/>
            <w:left w:val="none" w:sz="0" w:space="0" w:color="auto"/>
            <w:bottom w:val="none" w:sz="0" w:space="0" w:color="auto"/>
            <w:right w:val="none" w:sz="0" w:space="0" w:color="auto"/>
          </w:divBdr>
        </w:div>
        <w:div w:id="660500491">
          <w:marLeft w:val="0"/>
          <w:marRight w:val="0"/>
          <w:marTop w:val="0"/>
          <w:marBottom w:val="0"/>
          <w:divBdr>
            <w:top w:val="none" w:sz="0" w:space="0" w:color="auto"/>
            <w:left w:val="none" w:sz="0" w:space="0" w:color="auto"/>
            <w:bottom w:val="none" w:sz="0" w:space="0" w:color="auto"/>
            <w:right w:val="none" w:sz="0" w:space="0" w:color="auto"/>
          </w:divBdr>
          <w:divsChild>
            <w:div w:id="1638409193">
              <w:marLeft w:val="0"/>
              <w:marRight w:val="0"/>
              <w:marTop w:val="30"/>
              <w:marBottom w:val="30"/>
              <w:divBdr>
                <w:top w:val="none" w:sz="0" w:space="0" w:color="auto"/>
                <w:left w:val="none" w:sz="0" w:space="0" w:color="auto"/>
                <w:bottom w:val="none" w:sz="0" w:space="0" w:color="auto"/>
                <w:right w:val="none" w:sz="0" w:space="0" w:color="auto"/>
              </w:divBdr>
              <w:divsChild>
                <w:div w:id="1555656786">
                  <w:marLeft w:val="0"/>
                  <w:marRight w:val="0"/>
                  <w:marTop w:val="0"/>
                  <w:marBottom w:val="0"/>
                  <w:divBdr>
                    <w:top w:val="none" w:sz="0" w:space="0" w:color="auto"/>
                    <w:left w:val="none" w:sz="0" w:space="0" w:color="auto"/>
                    <w:bottom w:val="none" w:sz="0" w:space="0" w:color="auto"/>
                    <w:right w:val="none" w:sz="0" w:space="0" w:color="auto"/>
                  </w:divBdr>
                  <w:divsChild>
                    <w:div w:id="564801148">
                      <w:marLeft w:val="0"/>
                      <w:marRight w:val="0"/>
                      <w:marTop w:val="0"/>
                      <w:marBottom w:val="0"/>
                      <w:divBdr>
                        <w:top w:val="none" w:sz="0" w:space="0" w:color="auto"/>
                        <w:left w:val="none" w:sz="0" w:space="0" w:color="auto"/>
                        <w:bottom w:val="none" w:sz="0" w:space="0" w:color="auto"/>
                        <w:right w:val="none" w:sz="0" w:space="0" w:color="auto"/>
                      </w:divBdr>
                    </w:div>
                  </w:divsChild>
                </w:div>
                <w:div w:id="547495929">
                  <w:marLeft w:val="0"/>
                  <w:marRight w:val="0"/>
                  <w:marTop w:val="0"/>
                  <w:marBottom w:val="0"/>
                  <w:divBdr>
                    <w:top w:val="none" w:sz="0" w:space="0" w:color="auto"/>
                    <w:left w:val="none" w:sz="0" w:space="0" w:color="auto"/>
                    <w:bottom w:val="none" w:sz="0" w:space="0" w:color="auto"/>
                    <w:right w:val="none" w:sz="0" w:space="0" w:color="auto"/>
                  </w:divBdr>
                  <w:divsChild>
                    <w:div w:id="487483190">
                      <w:marLeft w:val="0"/>
                      <w:marRight w:val="0"/>
                      <w:marTop w:val="0"/>
                      <w:marBottom w:val="0"/>
                      <w:divBdr>
                        <w:top w:val="none" w:sz="0" w:space="0" w:color="auto"/>
                        <w:left w:val="none" w:sz="0" w:space="0" w:color="auto"/>
                        <w:bottom w:val="none" w:sz="0" w:space="0" w:color="auto"/>
                        <w:right w:val="none" w:sz="0" w:space="0" w:color="auto"/>
                      </w:divBdr>
                    </w:div>
                  </w:divsChild>
                </w:div>
                <w:div w:id="1629628484">
                  <w:marLeft w:val="0"/>
                  <w:marRight w:val="0"/>
                  <w:marTop w:val="0"/>
                  <w:marBottom w:val="0"/>
                  <w:divBdr>
                    <w:top w:val="none" w:sz="0" w:space="0" w:color="auto"/>
                    <w:left w:val="none" w:sz="0" w:space="0" w:color="auto"/>
                    <w:bottom w:val="none" w:sz="0" w:space="0" w:color="auto"/>
                    <w:right w:val="none" w:sz="0" w:space="0" w:color="auto"/>
                  </w:divBdr>
                  <w:divsChild>
                    <w:div w:id="686639552">
                      <w:marLeft w:val="0"/>
                      <w:marRight w:val="0"/>
                      <w:marTop w:val="0"/>
                      <w:marBottom w:val="0"/>
                      <w:divBdr>
                        <w:top w:val="none" w:sz="0" w:space="0" w:color="auto"/>
                        <w:left w:val="none" w:sz="0" w:space="0" w:color="auto"/>
                        <w:bottom w:val="none" w:sz="0" w:space="0" w:color="auto"/>
                        <w:right w:val="none" w:sz="0" w:space="0" w:color="auto"/>
                      </w:divBdr>
                    </w:div>
                  </w:divsChild>
                </w:div>
                <w:div w:id="799960618">
                  <w:marLeft w:val="0"/>
                  <w:marRight w:val="0"/>
                  <w:marTop w:val="0"/>
                  <w:marBottom w:val="0"/>
                  <w:divBdr>
                    <w:top w:val="none" w:sz="0" w:space="0" w:color="auto"/>
                    <w:left w:val="none" w:sz="0" w:space="0" w:color="auto"/>
                    <w:bottom w:val="none" w:sz="0" w:space="0" w:color="auto"/>
                    <w:right w:val="none" w:sz="0" w:space="0" w:color="auto"/>
                  </w:divBdr>
                  <w:divsChild>
                    <w:div w:id="1269310604">
                      <w:marLeft w:val="0"/>
                      <w:marRight w:val="0"/>
                      <w:marTop w:val="0"/>
                      <w:marBottom w:val="0"/>
                      <w:divBdr>
                        <w:top w:val="none" w:sz="0" w:space="0" w:color="auto"/>
                        <w:left w:val="none" w:sz="0" w:space="0" w:color="auto"/>
                        <w:bottom w:val="none" w:sz="0" w:space="0" w:color="auto"/>
                        <w:right w:val="none" w:sz="0" w:space="0" w:color="auto"/>
                      </w:divBdr>
                    </w:div>
                  </w:divsChild>
                </w:div>
                <w:div w:id="213197918">
                  <w:marLeft w:val="0"/>
                  <w:marRight w:val="0"/>
                  <w:marTop w:val="0"/>
                  <w:marBottom w:val="0"/>
                  <w:divBdr>
                    <w:top w:val="none" w:sz="0" w:space="0" w:color="auto"/>
                    <w:left w:val="none" w:sz="0" w:space="0" w:color="auto"/>
                    <w:bottom w:val="none" w:sz="0" w:space="0" w:color="auto"/>
                    <w:right w:val="none" w:sz="0" w:space="0" w:color="auto"/>
                  </w:divBdr>
                  <w:divsChild>
                    <w:div w:id="1498808467">
                      <w:marLeft w:val="0"/>
                      <w:marRight w:val="0"/>
                      <w:marTop w:val="0"/>
                      <w:marBottom w:val="0"/>
                      <w:divBdr>
                        <w:top w:val="none" w:sz="0" w:space="0" w:color="auto"/>
                        <w:left w:val="none" w:sz="0" w:space="0" w:color="auto"/>
                        <w:bottom w:val="none" w:sz="0" w:space="0" w:color="auto"/>
                        <w:right w:val="none" w:sz="0" w:space="0" w:color="auto"/>
                      </w:divBdr>
                    </w:div>
                  </w:divsChild>
                </w:div>
                <w:div w:id="1083917667">
                  <w:marLeft w:val="0"/>
                  <w:marRight w:val="0"/>
                  <w:marTop w:val="0"/>
                  <w:marBottom w:val="0"/>
                  <w:divBdr>
                    <w:top w:val="none" w:sz="0" w:space="0" w:color="auto"/>
                    <w:left w:val="none" w:sz="0" w:space="0" w:color="auto"/>
                    <w:bottom w:val="none" w:sz="0" w:space="0" w:color="auto"/>
                    <w:right w:val="none" w:sz="0" w:space="0" w:color="auto"/>
                  </w:divBdr>
                  <w:divsChild>
                    <w:div w:id="995955835">
                      <w:marLeft w:val="0"/>
                      <w:marRight w:val="0"/>
                      <w:marTop w:val="0"/>
                      <w:marBottom w:val="0"/>
                      <w:divBdr>
                        <w:top w:val="none" w:sz="0" w:space="0" w:color="auto"/>
                        <w:left w:val="none" w:sz="0" w:space="0" w:color="auto"/>
                        <w:bottom w:val="none" w:sz="0" w:space="0" w:color="auto"/>
                        <w:right w:val="none" w:sz="0" w:space="0" w:color="auto"/>
                      </w:divBdr>
                    </w:div>
                  </w:divsChild>
                </w:div>
                <w:div w:id="36781351">
                  <w:marLeft w:val="0"/>
                  <w:marRight w:val="0"/>
                  <w:marTop w:val="0"/>
                  <w:marBottom w:val="0"/>
                  <w:divBdr>
                    <w:top w:val="none" w:sz="0" w:space="0" w:color="auto"/>
                    <w:left w:val="none" w:sz="0" w:space="0" w:color="auto"/>
                    <w:bottom w:val="none" w:sz="0" w:space="0" w:color="auto"/>
                    <w:right w:val="none" w:sz="0" w:space="0" w:color="auto"/>
                  </w:divBdr>
                  <w:divsChild>
                    <w:div w:id="289481964">
                      <w:marLeft w:val="0"/>
                      <w:marRight w:val="0"/>
                      <w:marTop w:val="0"/>
                      <w:marBottom w:val="0"/>
                      <w:divBdr>
                        <w:top w:val="none" w:sz="0" w:space="0" w:color="auto"/>
                        <w:left w:val="none" w:sz="0" w:space="0" w:color="auto"/>
                        <w:bottom w:val="none" w:sz="0" w:space="0" w:color="auto"/>
                        <w:right w:val="none" w:sz="0" w:space="0" w:color="auto"/>
                      </w:divBdr>
                    </w:div>
                  </w:divsChild>
                </w:div>
                <w:div w:id="1012535925">
                  <w:marLeft w:val="0"/>
                  <w:marRight w:val="0"/>
                  <w:marTop w:val="0"/>
                  <w:marBottom w:val="0"/>
                  <w:divBdr>
                    <w:top w:val="none" w:sz="0" w:space="0" w:color="auto"/>
                    <w:left w:val="none" w:sz="0" w:space="0" w:color="auto"/>
                    <w:bottom w:val="none" w:sz="0" w:space="0" w:color="auto"/>
                    <w:right w:val="none" w:sz="0" w:space="0" w:color="auto"/>
                  </w:divBdr>
                  <w:divsChild>
                    <w:div w:id="572423749">
                      <w:marLeft w:val="0"/>
                      <w:marRight w:val="0"/>
                      <w:marTop w:val="0"/>
                      <w:marBottom w:val="0"/>
                      <w:divBdr>
                        <w:top w:val="none" w:sz="0" w:space="0" w:color="auto"/>
                        <w:left w:val="none" w:sz="0" w:space="0" w:color="auto"/>
                        <w:bottom w:val="none" w:sz="0" w:space="0" w:color="auto"/>
                        <w:right w:val="none" w:sz="0" w:space="0" w:color="auto"/>
                      </w:divBdr>
                    </w:div>
                  </w:divsChild>
                </w:div>
                <w:div w:id="811564026">
                  <w:marLeft w:val="0"/>
                  <w:marRight w:val="0"/>
                  <w:marTop w:val="0"/>
                  <w:marBottom w:val="0"/>
                  <w:divBdr>
                    <w:top w:val="none" w:sz="0" w:space="0" w:color="auto"/>
                    <w:left w:val="none" w:sz="0" w:space="0" w:color="auto"/>
                    <w:bottom w:val="none" w:sz="0" w:space="0" w:color="auto"/>
                    <w:right w:val="none" w:sz="0" w:space="0" w:color="auto"/>
                  </w:divBdr>
                  <w:divsChild>
                    <w:div w:id="463543416">
                      <w:marLeft w:val="0"/>
                      <w:marRight w:val="0"/>
                      <w:marTop w:val="0"/>
                      <w:marBottom w:val="0"/>
                      <w:divBdr>
                        <w:top w:val="none" w:sz="0" w:space="0" w:color="auto"/>
                        <w:left w:val="none" w:sz="0" w:space="0" w:color="auto"/>
                        <w:bottom w:val="none" w:sz="0" w:space="0" w:color="auto"/>
                        <w:right w:val="none" w:sz="0" w:space="0" w:color="auto"/>
                      </w:divBdr>
                    </w:div>
                  </w:divsChild>
                </w:div>
                <w:div w:id="882710878">
                  <w:marLeft w:val="0"/>
                  <w:marRight w:val="0"/>
                  <w:marTop w:val="0"/>
                  <w:marBottom w:val="0"/>
                  <w:divBdr>
                    <w:top w:val="none" w:sz="0" w:space="0" w:color="auto"/>
                    <w:left w:val="none" w:sz="0" w:space="0" w:color="auto"/>
                    <w:bottom w:val="none" w:sz="0" w:space="0" w:color="auto"/>
                    <w:right w:val="none" w:sz="0" w:space="0" w:color="auto"/>
                  </w:divBdr>
                  <w:divsChild>
                    <w:div w:id="1304457702">
                      <w:marLeft w:val="0"/>
                      <w:marRight w:val="0"/>
                      <w:marTop w:val="0"/>
                      <w:marBottom w:val="0"/>
                      <w:divBdr>
                        <w:top w:val="none" w:sz="0" w:space="0" w:color="auto"/>
                        <w:left w:val="none" w:sz="0" w:space="0" w:color="auto"/>
                        <w:bottom w:val="none" w:sz="0" w:space="0" w:color="auto"/>
                        <w:right w:val="none" w:sz="0" w:space="0" w:color="auto"/>
                      </w:divBdr>
                    </w:div>
                  </w:divsChild>
                </w:div>
                <w:div w:id="1888255146">
                  <w:marLeft w:val="0"/>
                  <w:marRight w:val="0"/>
                  <w:marTop w:val="0"/>
                  <w:marBottom w:val="0"/>
                  <w:divBdr>
                    <w:top w:val="none" w:sz="0" w:space="0" w:color="auto"/>
                    <w:left w:val="none" w:sz="0" w:space="0" w:color="auto"/>
                    <w:bottom w:val="none" w:sz="0" w:space="0" w:color="auto"/>
                    <w:right w:val="none" w:sz="0" w:space="0" w:color="auto"/>
                  </w:divBdr>
                  <w:divsChild>
                    <w:div w:id="835461429">
                      <w:marLeft w:val="0"/>
                      <w:marRight w:val="0"/>
                      <w:marTop w:val="0"/>
                      <w:marBottom w:val="0"/>
                      <w:divBdr>
                        <w:top w:val="none" w:sz="0" w:space="0" w:color="auto"/>
                        <w:left w:val="none" w:sz="0" w:space="0" w:color="auto"/>
                        <w:bottom w:val="none" w:sz="0" w:space="0" w:color="auto"/>
                        <w:right w:val="none" w:sz="0" w:space="0" w:color="auto"/>
                      </w:divBdr>
                    </w:div>
                  </w:divsChild>
                </w:div>
                <w:div w:id="1002707247">
                  <w:marLeft w:val="0"/>
                  <w:marRight w:val="0"/>
                  <w:marTop w:val="0"/>
                  <w:marBottom w:val="0"/>
                  <w:divBdr>
                    <w:top w:val="none" w:sz="0" w:space="0" w:color="auto"/>
                    <w:left w:val="none" w:sz="0" w:space="0" w:color="auto"/>
                    <w:bottom w:val="none" w:sz="0" w:space="0" w:color="auto"/>
                    <w:right w:val="none" w:sz="0" w:space="0" w:color="auto"/>
                  </w:divBdr>
                  <w:divsChild>
                    <w:div w:id="1118454066">
                      <w:marLeft w:val="0"/>
                      <w:marRight w:val="0"/>
                      <w:marTop w:val="0"/>
                      <w:marBottom w:val="0"/>
                      <w:divBdr>
                        <w:top w:val="none" w:sz="0" w:space="0" w:color="auto"/>
                        <w:left w:val="none" w:sz="0" w:space="0" w:color="auto"/>
                        <w:bottom w:val="none" w:sz="0" w:space="0" w:color="auto"/>
                        <w:right w:val="none" w:sz="0" w:space="0" w:color="auto"/>
                      </w:divBdr>
                    </w:div>
                  </w:divsChild>
                </w:div>
                <w:div w:id="436408334">
                  <w:marLeft w:val="0"/>
                  <w:marRight w:val="0"/>
                  <w:marTop w:val="0"/>
                  <w:marBottom w:val="0"/>
                  <w:divBdr>
                    <w:top w:val="none" w:sz="0" w:space="0" w:color="auto"/>
                    <w:left w:val="none" w:sz="0" w:space="0" w:color="auto"/>
                    <w:bottom w:val="none" w:sz="0" w:space="0" w:color="auto"/>
                    <w:right w:val="none" w:sz="0" w:space="0" w:color="auto"/>
                  </w:divBdr>
                  <w:divsChild>
                    <w:div w:id="954677079">
                      <w:marLeft w:val="0"/>
                      <w:marRight w:val="0"/>
                      <w:marTop w:val="0"/>
                      <w:marBottom w:val="0"/>
                      <w:divBdr>
                        <w:top w:val="none" w:sz="0" w:space="0" w:color="auto"/>
                        <w:left w:val="none" w:sz="0" w:space="0" w:color="auto"/>
                        <w:bottom w:val="none" w:sz="0" w:space="0" w:color="auto"/>
                        <w:right w:val="none" w:sz="0" w:space="0" w:color="auto"/>
                      </w:divBdr>
                    </w:div>
                  </w:divsChild>
                </w:div>
                <w:div w:id="2052069183">
                  <w:marLeft w:val="0"/>
                  <w:marRight w:val="0"/>
                  <w:marTop w:val="0"/>
                  <w:marBottom w:val="0"/>
                  <w:divBdr>
                    <w:top w:val="none" w:sz="0" w:space="0" w:color="auto"/>
                    <w:left w:val="none" w:sz="0" w:space="0" w:color="auto"/>
                    <w:bottom w:val="none" w:sz="0" w:space="0" w:color="auto"/>
                    <w:right w:val="none" w:sz="0" w:space="0" w:color="auto"/>
                  </w:divBdr>
                  <w:divsChild>
                    <w:div w:id="1949849626">
                      <w:marLeft w:val="0"/>
                      <w:marRight w:val="0"/>
                      <w:marTop w:val="0"/>
                      <w:marBottom w:val="0"/>
                      <w:divBdr>
                        <w:top w:val="none" w:sz="0" w:space="0" w:color="auto"/>
                        <w:left w:val="none" w:sz="0" w:space="0" w:color="auto"/>
                        <w:bottom w:val="none" w:sz="0" w:space="0" w:color="auto"/>
                        <w:right w:val="none" w:sz="0" w:space="0" w:color="auto"/>
                      </w:divBdr>
                    </w:div>
                  </w:divsChild>
                </w:div>
                <w:div w:id="743331025">
                  <w:marLeft w:val="0"/>
                  <w:marRight w:val="0"/>
                  <w:marTop w:val="0"/>
                  <w:marBottom w:val="0"/>
                  <w:divBdr>
                    <w:top w:val="none" w:sz="0" w:space="0" w:color="auto"/>
                    <w:left w:val="none" w:sz="0" w:space="0" w:color="auto"/>
                    <w:bottom w:val="none" w:sz="0" w:space="0" w:color="auto"/>
                    <w:right w:val="none" w:sz="0" w:space="0" w:color="auto"/>
                  </w:divBdr>
                  <w:divsChild>
                    <w:div w:id="1723403363">
                      <w:marLeft w:val="0"/>
                      <w:marRight w:val="0"/>
                      <w:marTop w:val="0"/>
                      <w:marBottom w:val="0"/>
                      <w:divBdr>
                        <w:top w:val="none" w:sz="0" w:space="0" w:color="auto"/>
                        <w:left w:val="none" w:sz="0" w:space="0" w:color="auto"/>
                        <w:bottom w:val="none" w:sz="0" w:space="0" w:color="auto"/>
                        <w:right w:val="none" w:sz="0" w:space="0" w:color="auto"/>
                      </w:divBdr>
                    </w:div>
                  </w:divsChild>
                </w:div>
                <w:div w:id="1755738341">
                  <w:marLeft w:val="0"/>
                  <w:marRight w:val="0"/>
                  <w:marTop w:val="0"/>
                  <w:marBottom w:val="0"/>
                  <w:divBdr>
                    <w:top w:val="none" w:sz="0" w:space="0" w:color="auto"/>
                    <w:left w:val="none" w:sz="0" w:space="0" w:color="auto"/>
                    <w:bottom w:val="none" w:sz="0" w:space="0" w:color="auto"/>
                    <w:right w:val="none" w:sz="0" w:space="0" w:color="auto"/>
                  </w:divBdr>
                  <w:divsChild>
                    <w:div w:id="1730298670">
                      <w:marLeft w:val="0"/>
                      <w:marRight w:val="0"/>
                      <w:marTop w:val="0"/>
                      <w:marBottom w:val="0"/>
                      <w:divBdr>
                        <w:top w:val="none" w:sz="0" w:space="0" w:color="auto"/>
                        <w:left w:val="none" w:sz="0" w:space="0" w:color="auto"/>
                        <w:bottom w:val="none" w:sz="0" w:space="0" w:color="auto"/>
                        <w:right w:val="none" w:sz="0" w:space="0" w:color="auto"/>
                      </w:divBdr>
                    </w:div>
                  </w:divsChild>
                </w:div>
                <w:div w:id="689793258">
                  <w:marLeft w:val="0"/>
                  <w:marRight w:val="0"/>
                  <w:marTop w:val="0"/>
                  <w:marBottom w:val="0"/>
                  <w:divBdr>
                    <w:top w:val="none" w:sz="0" w:space="0" w:color="auto"/>
                    <w:left w:val="none" w:sz="0" w:space="0" w:color="auto"/>
                    <w:bottom w:val="none" w:sz="0" w:space="0" w:color="auto"/>
                    <w:right w:val="none" w:sz="0" w:space="0" w:color="auto"/>
                  </w:divBdr>
                  <w:divsChild>
                    <w:div w:id="461920643">
                      <w:marLeft w:val="0"/>
                      <w:marRight w:val="0"/>
                      <w:marTop w:val="0"/>
                      <w:marBottom w:val="0"/>
                      <w:divBdr>
                        <w:top w:val="none" w:sz="0" w:space="0" w:color="auto"/>
                        <w:left w:val="none" w:sz="0" w:space="0" w:color="auto"/>
                        <w:bottom w:val="none" w:sz="0" w:space="0" w:color="auto"/>
                        <w:right w:val="none" w:sz="0" w:space="0" w:color="auto"/>
                      </w:divBdr>
                    </w:div>
                  </w:divsChild>
                </w:div>
                <w:div w:id="800658202">
                  <w:marLeft w:val="0"/>
                  <w:marRight w:val="0"/>
                  <w:marTop w:val="0"/>
                  <w:marBottom w:val="0"/>
                  <w:divBdr>
                    <w:top w:val="none" w:sz="0" w:space="0" w:color="auto"/>
                    <w:left w:val="none" w:sz="0" w:space="0" w:color="auto"/>
                    <w:bottom w:val="none" w:sz="0" w:space="0" w:color="auto"/>
                    <w:right w:val="none" w:sz="0" w:space="0" w:color="auto"/>
                  </w:divBdr>
                  <w:divsChild>
                    <w:div w:id="1945383981">
                      <w:marLeft w:val="0"/>
                      <w:marRight w:val="0"/>
                      <w:marTop w:val="0"/>
                      <w:marBottom w:val="0"/>
                      <w:divBdr>
                        <w:top w:val="none" w:sz="0" w:space="0" w:color="auto"/>
                        <w:left w:val="none" w:sz="0" w:space="0" w:color="auto"/>
                        <w:bottom w:val="none" w:sz="0" w:space="0" w:color="auto"/>
                        <w:right w:val="none" w:sz="0" w:space="0" w:color="auto"/>
                      </w:divBdr>
                    </w:div>
                  </w:divsChild>
                </w:div>
                <w:div w:id="1161460222">
                  <w:marLeft w:val="0"/>
                  <w:marRight w:val="0"/>
                  <w:marTop w:val="0"/>
                  <w:marBottom w:val="0"/>
                  <w:divBdr>
                    <w:top w:val="none" w:sz="0" w:space="0" w:color="auto"/>
                    <w:left w:val="none" w:sz="0" w:space="0" w:color="auto"/>
                    <w:bottom w:val="none" w:sz="0" w:space="0" w:color="auto"/>
                    <w:right w:val="none" w:sz="0" w:space="0" w:color="auto"/>
                  </w:divBdr>
                  <w:divsChild>
                    <w:div w:id="1318026557">
                      <w:marLeft w:val="0"/>
                      <w:marRight w:val="0"/>
                      <w:marTop w:val="0"/>
                      <w:marBottom w:val="0"/>
                      <w:divBdr>
                        <w:top w:val="none" w:sz="0" w:space="0" w:color="auto"/>
                        <w:left w:val="none" w:sz="0" w:space="0" w:color="auto"/>
                        <w:bottom w:val="none" w:sz="0" w:space="0" w:color="auto"/>
                        <w:right w:val="none" w:sz="0" w:space="0" w:color="auto"/>
                      </w:divBdr>
                    </w:div>
                  </w:divsChild>
                </w:div>
                <w:div w:id="2145539665">
                  <w:marLeft w:val="0"/>
                  <w:marRight w:val="0"/>
                  <w:marTop w:val="0"/>
                  <w:marBottom w:val="0"/>
                  <w:divBdr>
                    <w:top w:val="none" w:sz="0" w:space="0" w:color="auto"/>
                    <w:left w:val="none" w:sz="0" w:space="0" w:color="auto"/>
                    <w:bottom w:val="none" w:sz="0" w:space="0" w:color="auto"/>
                    <w:right w:val="none" w:sz="0" w:space="0" w:color="auto"/>
                  </w:divBdr>
                  <w:divsChild>
                    <w:div w:id="620185792">
                      <w:marLeft w:val="0"/>
                      <w:marRight w:val="0"/>
                      <w:marTop w:val="0"/>
                      <w:marBottom w:val="0"/>
                      <w:divBdr>
                        <w:top w:val="none" w:sz="0" w:space="0" w:color="auto"/>
                        <w:left w:val="none" w:sz="0" w:space="0" w:color="auto"/>
                        <w:bottom w:val="none" w:sz="0" w:space="0" w:color="auto"/>
                        <w:right w:val="none" w:sz="0" w:space="0" w:color="auto"/>
                      </w:divBdr>
                    </w:div>
                  </w:divsChild>
                </w:div>
                <w:div w:id="565530413">
                  <w:marLeft w:val="0"/>
                  <w:marRight w:val="0"/>
                  <w:marTop w:val="0"/>
                  <w:marBottom w:val="0"/>
                  <w:divBdr>
                    <w:top w:val="none" w:sz="0" w:space="0" w:color="auto"/>
                    <w:left w:val="none" w:sz="0" w:space="0" w:color="auto"/>
                    <w:bottom w:val="none" w:sz="0" w:space="0" w:color="auto"/>
                    <w:right w:val="none" w:sz="0" w:space="0" w:color="auto"/>
                  </w:divBdr>
                  <w:divsChild>
                    <w:div w:id="306594211">
                      <w:marLeft w:val="0"/>
                      <w:marRight w:val="0"/>
                      <w:marTop w:val="0"/>
                      <w:marBottom w:val="0"/>
                      <w:divBdr>
                        <w:top w:val="none" w:sz="0" w:space="0" w:color="auto"/>
                        <w:left w:val="none" w:sz="0" w:space="0" w:color="auto"/>
                        <w:bottom w:val="none" w:sz="0" w:space="0" w:color="auto"/>
                        <w:right w:val="none" w:sz="0" w:space="0" w:color="auto"/>
                      </w:divBdr>
                    </w:div>
                  </w:divsChild>
                </w:div>
                <w:div w:id="405424074">
                  <w:marLeft w:val="0"/>
                  <w:marRight w:val="0"/>
                  <w:marTop w:val="0"/>
                  <w:marBottom w:val="0"/>
                  <w:divBdr>
                    <w:top w:val="none" w:sz="0" w:space="0" w:color="auto"/>
                    <w:left w:val="none" w:sz="0" w:space="0" w:color="auto"/>
                    <w:bottom w:val="none" w:sz="0" w:space="0" w:color="auto"/>
                    <w:right w:val="none" w:sz="0" w:space="0" w:color="auto"/>
                  </w:divBdr>
                  <w:divsChild>
                    <w:div w:id="493179880">
                      <w:marLeft w:val="0"/>
                      <w:marRight w:val="0"/>
                      <w:marTop w:val="0"/>
                      <w:marBottom w:val="0"/>
                      <w:divBdr>
                        <w:top w:val="none" w:sz="0" w:space="0" w:color="auto"/>
                        <w:left w:val="none" w:sz="0" w:space="0" w:color="auto"/>
                        <w:bottom w:val="none" w:sz="0" w:space="0" w:color="auto"/>
                        <w:right w:val="none" w:sz="0" w:space="0" w:color="auto"/>
                      </w:divBdr>
                    </w:div>
                  </w:divsChild>
                </w:div>
                <w:div w:id="1772779853">
                  <w:marLeft w:val="0"/>
                  <w:marRight w:val="0"/>
                  <w:marTop w:val="0"/>
                  <w:marBottom w:val="0"/>
                  <w:divBdr>
                    <w:top w:val="none" w:sz="0" w:space="0" w:color="auto"/>
                    <w:left w:val="none" w:sz="0" w:space="0" w:color="auto"/>
                    <w:bottom w:val="none" w:sz="0" w:space="0" w:color="auto"/>
                    <w:right w:val="none" w:sz="0" w:space="0" w:color="auto"/>
                  </w:divBdr>
                  <w:divsChild>
                    <w:div w:id="457142986">
                      <w:marLeft w:val="0"/>
                      <w:marRight w:val="0"/>
                      <w:marTop w:val="0"/>
                      <w:marBottom w:val="0"/>
                      <w:divBdr>
                        <w:top w:val="none" w:sz="0" w:space="0" w:color="auto"/>
                        <w:left w:val="none" w:sz="0" w:space="0" w:color="auto"/>
                        <w:bottom w:val="none" w:sz="0" w:space="0" w:color="auto"/>
                        <w:right w:val="none" w:sz="0" w:space="0" w:color="auto"/>
                      </w:divBdr>
                    </w:div>
                  </w:divsChild>
                </w:div>
                <w:div w:id="79838373">
                  <w:marLeft w:val="0"/>
                  <w:marRight w:val="0"/>
                  <w:marTop w:val="0"/>
                  <w:marBottom w:val="0"/>
                  <w:divBdr>
                    <w:top w:val="none" w:sz="0" w:space="0" w:color="auto"/>
                    <w:left w:val="none" w:sz="0" w:space="0" w:color="auto"/>
                    <w:bottom w:val="none" w:sz="0" w:space="0" w:color="auto"/>
                    <w:right w:val="none" w:sz="0" w:space="0" w:color="auto"/>
                  </w:divBdr>
                  <w:divsChild>
                    <w:div w:id="1031222212">
                      <w:marLeft w:val="0"/>
                      <w:marRight w:val="0"/>
                      <w:marTop w:val="0"/>
                      <w:marBottom w:val="0"/>
                      <w:divBdr>
                        <w:top w:val="none" w:sz="0" w:space="0" w:color="auto"/>
                        <w:left w:val="none" w:sz="0" w:space="0" w:color="auto"/>
                        <w:bottom w:val="none" w:sz="0" w:space="0" w:color="auto"/>
                        <w:right w:val="none" w:sz="0" w:space="0" w:color="auto"/>
                      </w:divBdr>
                    </w:div>
                  </w:divsChild>
                </w:div>
                <w:div w:id="1923952159">
                  <w:marLeft w:val="0"/>
                  <w:marRight w:val="0"/>
                  <w:marTop w:val="0"/>
                  <w:marBottom w:val="0"/>
                  <w:divBdr>
                    <w:top w:val="none" w:sz="0" w:space="0" w:color="auto"/>
                    <w:left w:val="none" w:sz="0" w:space="0" w:color="auto"/>
                    <w:bottom w:val="none" w:sz="0" w:space="0" w:color="auto"/>
                    <w:right w:val="none" w:sz="0" w:space="0" w:color="auto"/>
                  </w:divBdr>
                  <w:divsChild>
                    <w:div w:id="746608686">
                      <w:marLeft w:val="0"/>
                      <w:marRight w:val="0"/>
                      <w:marTop w:val="0"/>
                      <w:marBottom w:val="0"/>
                      <w:divBdr>
                        <w:top w:val="none" w:sz="0" w:space="0" w:color="auto"/>
                        <w:left w:val="none" w:sz="0" w:space="0" w:color="auto"/>
                        <w:bottom w:val="none" w:sz="0" w:space="0" w:color="auto"/>
                        <w:right w:val="none" w:sz="0" w:space="0" w:color="auto"/>
                      </w:divBdr>
                    </w:div>
                  </w:divsChild>
                </w:div>
                <w:div w:id="1731151049">
                  <w:marLeft w:val="0"/>
                  <w:marRight w:val="0"/>
                  <w:marTop w:val="0"/>
                  <w:marBottom w:val="0"/>
                  <w:divBdr>
                    <w:top w:val="none" w:sz="0" w:space="0" w:color="auto"/>
                    <w:left w:val="none" w:sz="0" w:space="0" w:color="auto"/>
                    <w:bottom w:val="none" w:sz="0" w:space="0" w:color="auto"/>
                    <w:right w:val="none" w:sz="0" w:space="0" w:color="auto"/>
                  </w:divBdr>
                  <w:divsChild>
                    <w:div w:id="1839686722">
                      <w:marLeft w:val="0"/>
                      <w:marRight w:val="0"/>
                      <w:marTop w:val="0"/>
                      <w:marBottom w:val="0"/>
                      <w:divBdr>
                        <w:top w:val="none" w:sz="0" w:space="0" w:color="auto"/>
                        <w:left w:val="none" w:sz="0" w:space="0" w:color="auto"/>
                        <w:bottom w:val="none" w:sz="0" w:space="0" w:color="auto"/>
                        <w:right w:val="none" w:sz="0" w:space="0" w:color="auto"/>
                      </w:divBdr>
                    </w:div>
                  </w:divsChild>
                </w:div>
                <w:div w:id="1535995448">
                  <w:marLeft w:val="0"/>
                  <w:marRight w:val="0"/>
                  <w:marTop w:val="0"/>
                  <w:marBottom w:val="0"/>
                  <w:divBdr>
                    <w:top w:val="none" w:sz="0" w:space="0" w:color="auto"/>
                    <w:left w:val="none" w:sz="0" w:space="0" w:color="auto"/>
                    <w:bottom w:val="none" w:sz="0" w:space="0" w:color="auto"/>
                    <w:right w:val="none" w:sz="0" w:space="0" w:color="auto"/>
                  </w:divBdr>
                  <w:divsChild>
                    <w:div w:id="1944921813">
                      <w:marLeft w:val="0"/>
                      <w:marRight w:val="0"/>
                      <w:marTop w:val="0"/>
                      <w:marBottom w:val="0"/>
                      <w:divBdr>
                        <w:top w:val="none" w:sz="0" w:space="0" w:color="auto"/>
                        <w:left w:val="none" w:sz="0" w:space="0" w:color="auto"/>
                        <w:bottom w:val="none" w:sz="0" w:space="0" w:color="auto"/>
                        <w:right w:val="none" w:sz="0" w:space="0" w:color="auto"/>
                      </w:divBdr>
                    </w:div>
                  </w:divsChild>
                </w:div>
                <w:div w:id="333142739">
                  <w:marLeft w:val="0"/>
                  <w:marRight w:val="0"/>
                  <w:marTop w:val="0"/>
                  <w:marBottom w:val="0"/>
                  <w:divBdr>
                    <w:top w:val="none" w:sz="0" w:space="0" w:color="auto"/>
                    <w:left w:val="none" w:sz="0" w:space="0" w:color="auto"/>
                    <w:bottom w:val="none" w:sz="0" w:space="0" w:color="auto"/>
                    <w:right w:val="none" w:sz="0" w:space="0" w:color="auto"/>
                  </w:divBdr>
                  <w:divsChild>
                    <w:div w:id="2002393974">
                      <w:marLeft w:val="0"/>
                      <w:marRight w:val="0"/>
                      <w:marTop w:val="0"/>
                      <w:marBottom w:val="0"/>
                      <w:divBdr>
                        <w:top w:val="none" w:sz="0" w:space="0" w:color="auto"/>
                        <w:left w:val="none" w:sz="0" w:space="0" w:color="auto"/>
                        <w:bottom w:val="none" w:sz="0" w:space="0" w:color="auto"/>
                        <w:right w:val="none" w:sz="0" w:space="0" w:color="auto"/>
                      </w:divBdr>
                    </w:div>
                  </w:divsChild>
                </w:div>
                <w:div w:id="776751768">
                  <w:marLeft w:val="0"/>
                  <w:marRight w:val="0"/>
                  <w:marTop w:val="0"/>
                  <w:marBottom w:val="0"/>
                  <w:divBdr>
                    <w:top w:val="none" w:sz="0" w:space="0" w:color="auto"/>
                    <w:left w:val="none" w:sz="0" w:space="0" w:color="auto"/>
                    <w:bottom w:val="none" w:sz="0" w:space="0" w:color="auto"/>
                    <w:right w:val="none" w:sz="0" w:space="0" w:color="auto"/>
                  </w:divBdr>
                  <w:divsChild>
                    <w:div w:id="2082411195">
                      <w:marLeft w:val="0"/>
                      <w:marRight w:val="0"/>
                      <w:marTop w:val="0"/>
                      <w:marBottom w:val="0"/>
                      <w:divBdr>
                        <w:top w:val="none" w:sz="0" w:space="0" w:color="auto"/>
                        <w:left w:val="none" w:sz="0" w:space="0" w:color="auto"/>
                        <w:bottom w:val="none" w:sz="0" w:space="0" w:color="auto"/>
                        <w:right w:val="none" w:sz="0" w:space="0" w:color="auto"/>
                      </w:divBdr>
                    </w:div>
                  </w:divsChild>
                </w:div>
                <w:div w:id="768235817">
                  <w:marLeft w:val="0"/>
                  <w:marRight w:val="0"/>
                  <w:marTop w:val="0"/>
                  <w:marBottom w:val="0"/>
                  <w:divBdr>
                    <w:top w:val="none" w:sz="0" w:space="0" w:color="auto"/>
                    <w:left w:val="none" w:sz="0" w:space="0" w:color="auto"/>
                    <w:bottom w:val="none" w:sz="0" w:space="0" w:color="auto"/>
                    <w:right w:val="none" w:sz="0" w:space="0" w:color="auto"/>
                  </w:divBdr>
                  <w:divsChild>
                    <w:div w:id="1455520894">
                      <w:marLeft w:val="0"/>
                      <w:marRight w:val="0"/>
                      <w:marTop w:val="0"/>
                      <w:marBottom w:val="0"/>
                      <w:divBdr>
                        <w:top w:val="none" w:sz="0" w:space="0" w:color="auto"/>
                        <w:left w:val="none" w:sz="0" w:space="0" w:color="auto"/>
                        <w:bottom w:val="none" w:sz="0" w:space="0" w:color="auto"/>
                        <w:right w:val="none" w:sz="0" w:space="0" w:color="auto"/>
                      </w:divBdr>
                    </w:div>
                  </w:divsChild>
                </w:div>
                <w:div w:id="1142456276">
                  <w:marLeft w:val="0"/>
                  <w:marRight w:val="0"/>
                  <w:marTop w:val="0"/>
                  <w:marBottom w:val="0"/>
                  <w:divBdr>
                    <w:top w:val="none" w:sz="0" w:space="0" w:color="auto"/>
                    <w:left w:val="none" w:sz="0" w:space="0" w:color="auto"/>
                    <w:bottom w:val="none" w:sz="0" w:space="0" w:color="auto"/>
                    <w:right w:val="none" w:sz="0" w:space="0" w:color="auto"/>
                  </w:divBdr>
                  <w:divsChild>
                    <w:div w:id="410659708">
                      <w:marLeft w:val="0"/>
                      <w:marRight w:val="0"/>
                      <w:marTop w:val="0"/>
                      <w:marBottom w:val="0"/>
                      <w:divBdr>
                        <w:top w:val="none" w:sz="0" w:space="0" w:color="auto"/>
                        <w:left w:val="none" w:sz="0" w:space="0" w:color="auto"/>
                        <w:bottom w:val="none" w:sz="0" w:space="0" w:color="auto"/>
                        <w:right w:val="none" w:sz="0" w:space="0" w:color="auto"/>
                      </w:divBdr>
                    </w:div>
                  </w:divsChild>
                </w:div>
                <w:div w:id="1964310975">
                  <w:marLeft w:val="0"/>
                  <w:marRight w:val="0"/>
                  <w:marTop w:val="0"/>
                  <w:marBottom w:val="0"/>
                  <w:divBdr>
                    <w:top w:val="none" w:sz="0" w:space="0" w:color="auto"/>
                    <w:left w:val="none" w:sz="0" w:space="0" w:color="auto"/>
                    <w:bottom w:val="none" w:sz="0" w:space="0" w:color="auto"/>
                    <w:right w:val="none" w:sz="0" w:space="0" w:color="auto"/>
                  </w:divBdr>
                  <w:divsChild>
                    <w:div w:id="395276022">
                      <w:marLeft w:val="0"/>
                      <w:marRight w:val="0"/>
                      <w:marTop w:val="0"/>
                      <w:marBottom w:val="0"/>
                      <w:divBdr>
                        <w:top w:val="none" w:sz="0" w:space="0" w:color="auto"/>
                        <w:left w:val="none" w:sz="0" w:space="0" w:color="auto"/>
                        <w:bottom w:val="none" w:sz="0" w:space="0" w:color="auto"/>
                        <w:right w:val="none" w:sz="0" w:space="0" w:color="auto"/>
                      </w:divBdr>
                    </w:div>
                  </w:divsChild>
                </w:div>
                <w:div w:id="704675652">
                  <w:marLeft w:val="0"/>
                  <w:marRight w:val="0"/>
                  <w:marTop w:val="0"/>
                  <w:marBottom w:val="0"/>
                  <w:divBdr>
                    <w:top w:val="none" w:sz="0" w:space="0" w:color="auto"/>
                    <w:left w:val="none" w:sz="0" w:space="0" w:color="auto"/>
                    <w:bottom w:val="none" w:sz="0" w:space="0" w:color="auto"/>
                    <w:right w:val="none" w:sz="0" w:space="0" w:color="auto"/>
                  </w:divBdr>
                  <w:divsChild>
                    <w:div w:id="2095322451">
                      <w:marLeft w:val="0"/>
                      <w:marRight w:val="0"/>
                      <w:marTop w:val="0"/>
                      <w:marBottom w:val="0"/>
                      <w:divBdr>
                        <w:top w:val="none" w:sz="0" w:space="0" w:color="auto"/>
                        <w:left w:val="none" w:sz="0" w:space="0" w:color="auto"/>
                        <w:bottom w:val="none" w:sz="0" w:space="0" w:color="auto"/>
                        <w:right w:val="none" w:sz="0" w:space="0" w:color="auto"/>
                      </w:divBdr>
                    </w:div>
                  </w:divsChild>
                </w:div>
                <w:div w:id="203178509">
                  <w:marLeft w:val="0"/>
                  <w:marRight w:val="0"/>
                  <w:marTop w:val="0"/>
                  <w:marBottom w:val="0"/>
                  <w:divBdr>
                    <w:top w:val="none" w:sz="0" w:space="0" w:color="auto"/>
                    <w:left w:val="none" w:sz="0" w:space="0" w:color="auto"/>
                    <w:bottom w:val="none" w:sz="0" w:space="0" w:color="auto"/>
                    <w:right w:val="none" w:sz="0" w:space="0" w:color="auto"/>
                  </w:divBdr>
                  <w:divsChild>
                    <w:div w:id="2041394834">
                      <w:marLeft w:val="0"/>
                      <w:marRight w:val="0"/>
                      <w:marTop w:val="0"/>
                      <w:marBottom w:val="0"/>
                      <w:divBdr>
                        <w:top w:val="none" w:sz="0" w:space="0" w:color="auto"/>
                        <w:left w:val="none" w:sz="0" w:space="0" w:color="auto"/>
                        <w:bottom w:val="none" w:sz="0" w:space="0" w:color="auto"/>
                        <w:right w:val="none" w:sz="0" w:space="0" w:color="auto"/>
                      </w:divBdr>
                    </w:div>
                  </w:divsChild>
                </w:div>
                <w:div w:id="1306815463">
                  <w:marLeft w:val="0"/>
                  <w:marRight w:val="0"/>
                  <w:marTop w:val="0"/>
                  <w:marBottom w:val="0"/>
                  <w:divBdr>
                    <w:top w:val="none" w:sz="0" w:space="0" w:color="auto"/>
                    <w:left w:val="none" w:sz="0" w:space="0" w:color="auto"/>
                    <w:bottom w:val="none" w:sz="0" w:space="0" w:color="auto"/>
                    <w:right w:val="none" w:sz="0" w:space="0" w:color="auto"/>
                  </w:divBdr>
                  <w:divsChild>
                    <w:div w:id="344749613">
                      <w:marLeft w:val="0"/>
                      <w:marRight w:val="0"/>
                      <w:marTop w:val="0"/>
                      <w:marBottom w:val="0"/>
                      <w:divBdr>
                        <w:top w:val="none" w:sz="0" w:space="0" w:color="auto"/>
                        <w:left w:val="none" w:sz="0" w:space="0" w:color="auto"/>
                        <w:bottom w:val="none" w:sz="0" w:space="0" w:color="auto"/>
                        <w:right w:val="none" w:sz="0" w:space="0" w:color="auto"/>
                      </w:divBdr>
                    </w:div>
                  </w:divsChild>
                </w:div>
                <w:div w:id="1522623880">
                  <w:marLeft w:val="0"/>
                  <w:marRight w:val="0"/>
                  <w:marTop w:val="0"/>
                  <w:marBottom w:val="0"/>
                  <w:divBdr>
                    <w:top w:val="none" w:sz="0" w:space="0" w:color="auto"/>
                    <w:left w:val="none" w:sz="0" w:space="0" w:color="auto"/>
                    <w:bottom w:val="none" w:sz="0" w:space="0" w:color="auto"/>
                    <w:right w:val="none" w:sz="0" w:space="0" w:color="auto"/>
                  </w:divBdr>
                  <w:divsChild>
                    <w:div w:id="599337085">
                      <w:marLeft w:val="0"/>
                      <w:marRight w:val="0"/>
                      <w:marTop w:val="0"/>
                      <w:marBottom w:val="0"/>
                      <w:divBdr>
                        <w:top w:val="none" w:sz="0" w:space="0" w:color="auto"/>
                        <w:left w:val="none" w:sz="0" w:space="0" w:color="auto"/>
                        <w:bottom w:val="none" w:sz="0" w:space="0" w:color="auto"/>
                        <w:right w:val="none" w:sz="0" w:space="0" w:color="auto"/>
                      </w:divBdr>
                    </w:div>
                  </w:divsChild>
                </w:div>
                <w:div w:id="1171800059">
                  <w:marLeft w:val="0"/>
                  <w:marRight w:val="0"/>
                  <w:marTop w:val="0"/>
                  <w:marBottom w:val="0"/>
                  <w:divBdr>
                    <w:top w:val="none" w:sz="0" w:space="0" w:color="auto"/>
                    <w:left w:val="none" w:sz="0" w:space="0" w:color="auto"/>
                    <w:bottom w:val="none" w:sz="0" w:space="0" w:color="auto"/>
                    <w:right w:val="none" w:sz="0" w:space="0" w:color="auto"/>
                  </w:divBdr>
                  <w:divsChild>
                    <w:div w:id="898594269">
                      <w:marLeft w:val="0"/>
                      <w:marRight w:val="0"/>
                      <w:marTop w:val="0"/>
                      <w:marBottom w:val="0"/>
                      <w:divBdr>
                        <w:top w:val="none" w:sz="0" w:space="0" w:color="auto"/>
                        <w:left w:val="none" w:sz="0" w:space="0" w:color="auto"/>
                        <w:bottom w:val="none" w:sz="0" w:space="0" w:color="auto"/>
                        <w:right w:val="none" w:sz="0" w:space="0" w:color="auto"/>
                      </w:divBdr>
                    </w:div>
                  </w:divsChild>
                </w:div>
                <w:div w:id="1577668376">
                  <w:marLeft w:val="0"/>
                  <w:marRight w:val="0"/>
                  <w:marTop w:val="0"/>
                  <w:marBottom w:val="0"/>
                  <w:divBdr>
                    <w:top w:val="none" w:sz="0" w:space="0" w:color="auto"/>
                    <w:left w:val="none" w:sz="0" w:space="0" w:color="auto"/>
                    <w:bottom w:val="none" w:sz="0" w:space="0" w:color="auto"/>
                    <w:right w:val="none" w:sz="0" w:space="0" w:color="auto"/>
                  </w:divBdr>
                  <w:divsChild>
                    <w:div w:id="167985175">
                      <w:marLeft w:val="0"/>
                      <w:marRight w:val="0"/>
                      <w:marTop w:val="0"/>
                      <w:marBottom w:val="0"/>
                      <w:divBdr>
                        <w:top w:val="none" w:sz="0" w:space="0" w:color="auto"/>
                        <w:left w:val="none" w:sz="0" w:space="0" w:color="auto"/>
                        <w:bottom w:val="none" w:sz="0" w:space="0" w:color="auto"/>
                        <w:right w:val="none" w:sz="0" w:space="0" w:color="auto"/>
                      </w:divBdr>
                    </w:div>
                  </w:divsChild>
                </w:div>
                <w:div w:id="1768697977">
                  <w:marLeft w:val="0"/>
                  <w:marRight w:val="0"/>
                  <w:marTop w:val="0"/>
                  <w:marBottom w:val="0"/>
                  <w:divBdr>
                    <w:top w:val="none" w:sz="0" w:space="0" w:color="auto"/>
                    <w:left w:val="none" w:sz="0" w:space="0" w:color="auto"/>
                    <w:bottom w:val="none" w:sz="0" w:space="0" w:color="auto"/>
                    <w:right w:val="none" w:sz="0" w:space="0" w:color="auto"/>
                  </w:divBdr>
                  <w:divsChild>
                    <w:div w:id="1757313999">
                      <w:marLeft w:val="0"/>
                      <w:marRight w:val="0"/>
                      <w:marTop w:val="0"/>
                      <w:marBottom w:val="0"/>
                      <w:divBdr>
                        <w:top w:val="none" w:sz="0" w:space="0" w:color="auto"/>
                        <w:left w:val="none" w:sz="0" w:space="0" w:color="auto"/>
                        <w:bottom w:val="none" w:sz="0" w:space="0" w:color="auto"/>
                        <w:right w:val="none" w:sz="0" w:space="0" w:color="auto"/>
                      </w:divBdr>
                    </w:div>
                  </w:divsChild>
                </w:div>
                <w:div w:id="2023162965">
                  <w:marLeft w:val="0"/>
                  <w:marRight w:val="0"/>
                  <w:marTop w:val="0"/>
                  <w:marBottom w:val="0"/>
                  <w:divBdr>
                    <w:top w:val="none" w:sz="0" w:space="0" w:color="auto"/>
                    <w:left w:val="none" w:sz="0" w:space="0" w:color="auto"/>
                    <w:bottom w:val="none" w:sz="0" w:space="0" w:color="auto"/>
                    <w:right w:val="none" w:sz="0" w:space="0" w:color="auto"/>
                  </w:divBdr>
                  <w:divsChild>
                    <w:div w:id="360278030">
                      <w:marLeft w:val="0"/>
                      <w:marRight w:val="0"/>
                      <w:marTop w:val="0"/>
                      <w:marBottom w:val="0"/>
                      <w:divBdr>
                        <w:top w:val="none" w:sz="0" w:space="0" w:color="auto"/>
                        <w:left w:val="none" w:sz="0" w:space="0" w:color="auto"/>
                        <w:bottom w:val="none" w:sz="0" w:space="0" w:color="auto"/>
                        <w:right w:val="none" w:sz="0" w:space="0" w:color="auto"/>
                      </w:divBdr>
                    </w:div>
                  </w:divsChild>
                </w:div>
                <w:div w:id="1394818349">
                  <w:marLeft w:val="0"/>
                  <w:marRight w:val="0"/>
                  <w:marTop w:val="0"/>
                  <w:marBottom w:val="0"/>
                  <w:divBdr>
                    <w:top w:val="none" w:sz="0" w:space="0" w:color="auto"/>
                    <w:left w:val="none" w:sz="0" w:space="0" w:color="auto"/>
                    <w:bottom w:val="none" w:sz="0" w:space="0" w:color="auto"/>
                    <w:right w:val="none" w:sz="0" w:space="0" w:color="auto"/>
                  </w:divBdr>
                  <w:divsChild>
                    <w:div w:id="1282148825">
                      <w:marLeft w:val="0"/>
                      <w:marRight w:val="0"/>
                      <w:marTop w:val="0"/>
                      <w:marBottom w:val="0"/>
                      <w:divBdr>
                        <w:top w:val="none" w:sz="0" w:space="0" w:color="auto"/>
                        <w:left w:val="none" w:sz="0" w:space="0" w:color="auto"/>
                        <w:bottom w:val="none" w:sz="0" w:space="0" w:color="auto"/>
                        <w:right w:val="none" w:sz="0" w:space="0" w:color="auto"/>
                      </w:divBdr>
                    </w:div>
                  </w:divsChild>
                </w:div>
                <w:div w:id="2015254098">
                  <w:marLeft w:val="0"/>
                  <w:marRight w:val="0"/>
                  <w:marTop w:val="0"/>
                  <w:marBottom w:val="0"/>
                  <w:divBdr>
                    <w:top w:val="none" w:sz="0" w:space="0" w:color="auto"/>
                    <w:left w:val="none" w:sz="0" w:space="0" w:color="auto"/>
                    <w:bottom w:val="none" w:sz="0" w:space="0" w:color="auto"/>
                    <w:right w:val="none" w:sz="0" w:space="0" w:color="auto"/>
                  </w:divBdr>
                  <w:divsChild>
                    <w:div w:id="2085761978">
                      <w:marLeft w:val="0"/>
                      <w:marRight w:val="0"/>
                      <w:marTop w:val="0"/>
                      <w:marBottom w:val="0"/>
                      <w:divBdr>
                        <w:top w:val="none" w:sz="0" w:space="0" w:color="auto"/>
                        <w:left w:val="none" w:sz="0" w:space="0" w:color="auto"/>
                        <w:bottom w:val="none" w:sz="0" w:space="0" w:color="auto"/>
                        <w:right w:val="none" w:sz="0" w:space="0" w:color="auto"/>
                      </w:divBdr>
                    </w:div>
                  </w:divsChild>
                </w:div>
                <w:div w:id="763262745">
                  <w:marLeft w:val="0"/>
                  <w:marRight w:val="0"/>
                  <w:marTop w:val="0"/>
                  <w:marBottom w:val="0"/>
                  <w:divBdr>
                    <w:top w:val="none" w:sz="0" w:space="0" w:color="auto"/>
                    <w:left w:val="none" w:sz="0" w:space="0" w:color="auto"/>
                    <w:bottom w:val="none" w:sz="0" w:space="0" w:color="auto"/>
                    <w:right w:val="none" w:sz="0" w:space="0" w:color="auto"/>
                  </w:divBdr>
                  <w:divsChild>
                    <w:div w:id="792406397">
                      <w:marLeft w:val="0"/>
                      <w:marRight w:val="0"/>
                      <w:marTop w:val="0"/>
                      <w:marBottom w:val="0"/>
                      <w:divBdr>
                        <w:top w:val="none" w:sz="0" w:space="0" w:color="auto"/>
                        <w:left w:val="none" w:sz="0" w:space="0" w:color="auto"/>
                        <w:bottom w:val="none" w:sz="0" w:space="0" w:color="auto"/>
                        <w:right w:val="none" w:sz="0" w:space="0" w:color="auto"/>
                      </w:divBdr>
                    </w:div>
                  </w:divsChild>
                </w:div>
                <w:div w:id="568229368">
                  <w:marLeft w:val="0"/>
                  <w:marRight w:val="0"/>
                  <w:marTop w:val="0"/>
                  <w:marBottom w:val="0"/>
                  <w:divBdr>
                    <w:top w:val="none" w:sz="0" w:space="0" w:color="auto"/>
                    <w:left w:val="none" w:sz="0" w:space="0" w:color="auto"/>
                    <w:bottom w:val="none" w:sz="0" w:space="0" w:color="auto"/>
                    <w:right w:val="none" w:sz="0" w:space="0" w:color="auto"/>
                  </w:divBdr>
                  <w:divsChild>
                    <w:div w:id="692458168">
                      <w:marLeft w:val="0"/>
                      <w:marRight w:val="0"/>
                      <w:marTop w:val="0"/>
                      <w:marBottom w:val="0"/>
                      <w:divBdr>
                        <w:top w:val="none" w:sz="0" w:space="0" w:color="auto"/>
                        <w:left w:val="none" w:sz="0" w:space="0" w:color="auto"/>
                        <w:bottom w:val="none" w:sz="0" w:space="0" w:color="auto"/>
                        <w:right w:val="none" w:sz="0" w:space="0" w:color="auto"/>
                      </w:divBdr>
                    </w:div>
                  </w:divsChild>
                </w:div>
                <w:div w:id="1291863300">
                  <w:marLeft w:val="0"/>
                  <w:marRight w:val="0"/>
                  <w:marTop w:val="0"/>
                  <w:marBottom w:val="0"/>
                  <w:divBdr>
                    <w:top w:val="none" w:sz="0" w:space="0" w:color="auto"/>
                    <w:left w:val="none" w:sz="0" w:space="0" w:color="auto"/>
                    <w:bottom w:val="none" w:sz="0" w:space="0" w:color="auto"/>
                    <w:right w:val="none" w:sz="0" w:space="0" w:color="auto"/>
                  </w:divBdr>
                  <w:divsChild>
                    <w:div w:id="856895056">
                      <w:marLeft w:val="0"/>
                      <w:marRight w:val="0"/>
                      <w:marTop w:val="0"/>
                      <w:marBottom w:val="0"/>
                      <w:divBdr>
                        <w:top w:val="none" w:sz="0" w:space="0" w:color="auto"/>
                        <w:left w:val="none" w:sz="0" w:space="0" w:color="auto"/>
                        <w:bottom w:val="none" w:sz="0" w:space="0" w:color="auto"/>
                        <w:right w:val="none" w:sz="0" w:space="0" w:color="auto"/>
                      </w:divBdr>
                    </w:div>
                  </w:divsChild>
                </w:div>
                <w:div w:id="1339429249">
                  <w:marLeft w:val="0"/>
                  <w:marRight w:val="0"/>
                  <w:marTop w:val="0"/>
                  <w:marBottom w:val="0"/>
                  <w:divBdr>
                    <w:top w:val="none" w:sz="0" w:space="0" w:color="auto"/>
                    <w:left w:val="none" w:sz="0" w:space="0" w:color="auto"/>
                    <w:bottom w:val="none" w:sz="0" w:space="0" w:color="auto"/>
                    <w:right w:val="none" w:sz="0" w:space="0" w:color="auto"/>
                  </w:divBdr>
                  <w:divsChild>
                    <w:div w:id="1129742294">
                      <w:marLeft w:val="0"/>
                      <w:marRight w:val="0"/>
                      <w:marTop w:val="0"/>
                      <w:marBottom w:val="0"/>
                      <w:divBdr>
                        <w:top w:val="none" w:sz="0" w:space="0" w:color="auto"/>
                        <w:left w:val="none" w:sz="0" w:space="0" w:color="auto"/>
                        <w:bottom w:val="none" w:sz="0" w:space="0" w:color="auto"/>
                        <w:right w:val="none" w:sz="0" w:space="0" w:color="auto"/>
                      </w:divBdr>
                    </w:div>
                  </w:divsChild>
                </w:div>
                <w:div w:id="464009496">
                  <w:marLeft w:val="0"/>
                  <w:marRight w:val="0"/>
                  <w:marTop w:val="0"/>
                  <w:marBottom w:val="0"/>
                  <w:divBdr>
                    <w:top w:val="none" w:sz="0" w:space="0" w:color="auto"/>
                    <w:left w:val="none" w:sz="0" w:space="0" w:color="auto"/>
                    <w:bottom w:val="none" w:sz="0" w:space="0" w:color="auto"/>
                    <w:right w:val="none" w:sz="0" w:space="0" w:color="auto"/>
                  </w:divBdr>
                  <w:divsChild>
                    <w:div w:id="173614066">
                      <w:marLeft w:val="0"/>
                      <w:marRight w:val="0"/>
                      <w:marTop w:val="0"/>
                      <w:marBottom w:val="0"/>
                      <w:divBdr>
                        <w:top w:val="none" w:sz="0" w:space="0" w:color="auto"/>
                        <w:left w:val="none" w:sz="0" w:space="0" w:color="auto"/>
                        <w:bottom w:val="none" w:sz="0" w:space="0" w:color="auto"/>
                        <w:right w:val="none" w:sz="0" w:space="0" w:color="auto"/>
                      </w:divBdr>
                    </w:div>
                  </w:divsChild>
                </w:div>
                <w:div w:id="212083216">
                  <w:marLeft w:val="0"/>
                  <w:marRight w:val="0"/>
                  <w:marTop w:val="0"/>
                  <w:marBottom w:val="0"/>
                  <w:divBdr>
                    <w:top w:val="none" w:sz="0" w:space="0" w:color="auto"/>
                    <w:left w:val="none" w:sz="0" w:space="0" w:color="auto"/>
                    <w:bottom w:val="none" w:sz="0" w:space="0" w:color="auto"/>
                    <w:right w:val="none" w:sz="0" w:space="0" w:color="auto"/>
                  </w:divBdr>
                  <w:divsChild>
                    <w:div w:id="1553348609">
                      <w:marLeft w:val="0"/>
                      <w:marRight w:val="0"/>
                      <w:marTop w:val="0"/>
                      <w:marBottom w:val="0"/>
                      <w:divBdr>
                        <w:top w:val="none" w:sz="0" w:space="0" w:color="auto"/>
                        <w:left w:val="none" w:sz="0" w:space="0" w:color="auto"/>
                        <w:bottom w:val="none" w:sz="0" w:space="0" w:color="auto"/>
                        <w:right w:val="none" w:sz="0" w:space="0" w:color="auto"/>
                      </w:divBdr>
                    </w:div>
                  </w:divsChild>
                </w:div>
                <w:div w:id="432557578">
                  <w:marLeft w:val="0"/>
                  <w:marRight w:val="0"/>
                  <w:marTop w:val="0"/>
                  <w:marBottom w:val="0"/>
                  <w:divBdr>
                    <w:top w:val="none" w:sz="0" w:space="0" w:color="auto"/>
                    <w:left w:val="none" w:sz="0" w:space="0" w:color="auto"/>
                    <w:bottom w:val="none" w:sz="0" w:space="0" w:color="auto"/>
                    <w:right w:val="none" w:sz="0" w:space="0" w:color="auto"/>
                  </w:divBdr>
                  <w:divsChild>
                    <w:div w:id="1162894433">
                      <w:marLeft w:val="0"/>
                      <w:marRight w:val="0"/>
                      <w:marTop w:val="0"/>
                      <w:marBottom w:val="0"/>
                      <w:divBdr>
                        <w:top w:val="none" w:sz="0" w:space="0" w:color="auto"/>
                        <w:left w:val="none" w:sz="0" w:space="0" w:color="auto"/>
                        <w:bottom w:val="none" w:sz="0" w:space="0" w:color="auto"/>
                        <w:right w:val="none" w:sz="0" w:space="0" w:color="auto"/>
                      </w:divBdr>
                    </w:div>
                  </w:divsChild>
                </w:div>
                <w:div w:id="1041780613">
                  <w:marLeft w:val="0"/>
                  <w:marRight w:val="0"/>
                  <w:marTop w:val="0"/>
                  <w:marBottom w:val="0"/>
                  <w:divBdr>
                    <w:top w:val="none" w:sz="0" w:space="0" w:color="auto"/>
                    <w:left w:val="none" w:sz="0" w:space="0" w:color="auto"/>
                    <w:bottom w:val="none" w:sz="0" w:space="0" w:color="auto"/>
                    <w:right w:val="none" w:sz="0" w:space="0" w:color="auto"/>
                  </w:divBdr>
                  <w:divsChild>
                    <w:div w:id="1980304690">
                      <w:marLeft w:val="0"/>
                      <w:marRight w:val="0"/>
                      <w:marTop w:val="0"/>
                      <w:marBottom w:val="0"/>
                      <w:divBdr>
                        <w:top w:val="none" w:sz="0" w:space="0" w:color="auto"/>
                        <w:left w:val="none" w:sz="0" w:space="0" w:color="auto"/>
                        <w:bottom w:val="none" w:sz="0" w:space="0" w:color="auto"/>
                        <w:right w:val="none" w:sz="0" w:space="0" w:color="auto"/>
                      </w:divBdr>
                    </w:div>
                  </w:divsChild>
                </w:div>
                <w:div w:id="195508862">
                  <w:marLeft w:val="0"/>
                  <w:marRight w:val="0"/>
                  <w:marTop w:val="0"/>
                  <w:marBottom w:val="0"/>
                  <w:divBdr>
                    <w:top w:val="none" w:sz="0" w:space="0" w:color="auto"/>
                    <w:left w:val="none" w:sz="0" w:space="0" w:color="auto"/>
                    <w:bottom w:val="none" w:sz="0" w:space="0" w:color="auto"/>
                    <w:right w:val="none" w:sz="0" w:space="0" w:color="auto"/>
                  </w:divBdr>
                  <w:divsChild>
                    <w:div w:id="1003894141">
                      <w:marLeft w:val="0"/>
                      <w:marRight w:val="0"/>
                      <w:marTop w:val="0"/>
                      <w:marBottom w:val="0"/>
                      <w:divBdr>
                        <w:top w:val="none" w:sz="0" w:space="0" w:color="auto"/>
                        <w:left w:val="none" w:sz="0" w:space="0" w:color="auto"/>
                        <w:bottom w:val="none" w:sz="0" w:space="0" w:color="auto"/>
                        <w:right w:val="none" w:sz="0" w:space="0" w:color="auto"/>
                      </w:divBdr>
                    </w:div>
                  </w:divsChild>
                </w:div>
                <w:div w:id="1236015511">
                  <w:marLeft w:val="0"/>
                  <w:marRight w:val="0"/>
                  <w:marTop w:val="0"/>
                  <w:marBottom w:val="0"/>
                  <w:divBdr>
                    <w:top w:val="none" w:sz="0" w:space="0" w:color="auto"/>
                    <w:left w:val="none" w:sz="0" w:space="0" w:color="auto"/>
                    <w:bottom w:val="none" w:sz="0" w:space="0" w:color="auto"/>
                    <w:right w:val="none" w:sz="0" w:space="0" w:color="auto"/>
                  </w:divBdr>
                  <w:divsChild>
                    <w:div w:id="497812862">
                      <w:marLeft w:val="0"/>
                      <w:marRight w:val="0"/>
                      <w:marTop w:val="0"/>
                      <w:marBottom w:val="0"/>
                      <w:divBdr>
                        <w:top w:val="none" w:sz="0" w:space="0" w:color="auto"/>
                        <w:left w:val="none" w:sz="0" w:space="0" w:color="auto"/>
                        <w:bottom w:val="none" w:sz="0" w:space="0" w:color="auto"/>
                        <w:right w:val="none" w:sz="0" w:space="0" w:color="auto"/>
                      </w:divBdr>
                    </w:div>
                  </w:divsChild>
                </w:div>
                <w:div w:id="1663043814">
                  <w:marLeft w:val="0"/>
                  <w:marRight w:val="0"/>
                  <w:marTop w:val="0"/>
                  <w:marBottom w:val="0"/>
                  <w:divBdr>
                    <w:top w:val="none" w:sz="0" w:space="0" w:color="auto"/>
                    <w:left w:val="none" w:sz="0" w:space="0" w:color="auto"/>
                    <w:bottom w:val="none" w:sz="0" w:space="0" w:color="auto"/>
                    <w:right w:val="none" w:sz="0" w:space="0" w:color="auto"/>
                  </w:divBdr>
                  <w:divsChild>
                    <w:div w:id="1227951604">
                      <w:marLeft w:val="0"/>
                      <w:marRight w:val="0"/>
                      <w:marTop w:val="0"/>
                      <w:marBottom w:val="0"/>
                      <w:divBdr>
                        <w:top w:val="none" w:sz="0" w:space="0" w:color="auto"/>
                        <w:left w:val="none" w:sz="0" w:space="0" w:color="auto"/>
                        <w:bottom w:val="none" w:sz="0" w:space="0" w:color="auto"/>
                        <w:right w:val="none" w:sz="0" w:space="0" w:color="auto"/>
                      </w:divBdr>
                    </w:div>
                  </w:divsChild>
                </w:div>
                <w:div w:id="2104297642">
                  <w:marLeft w:val="0"/>
                  <w:marRight w:val="0"/>
                  <w:marTop w:val="0"/>
                  <w:marBottom w:val="0"/>
                  <w:divBdr>
                    <w:top w:val="none" w:sz="0" w:space="0" w:color="auto"/>
                    <w:left w:val="none" w:sz="0" w:space="0" w:color="auto"/>
                    <w:bottom w:val="none" w:sz="0" w:space="0" w:color="auto"/>
                    <w:right w:val="none" w:sz="0" w:space="0" w:color="auto"/>
                  </w:divBdr>
                  <w:divsChild>
                    <w:div w:id="2084178201">
                      <w:marLeft w:val="0"/>
                      <w:marRight w:val="0"/>
                      <w:marTop w:val="0"/>
                      <w:marBottom w:val="0"/>
                      <w:divBdr>
                        <w:top w:val="none" w:sz="0" w:space="0" w:color="auto"/>
                        <w:left w:val="none" w:sz="0" w:space="0" w:color="auto"/>
                        <w:bottom w:val="none" w:sz="0" w:space="0" w:color="auto"/>
                        <w:right w:val="none" w:sz="0" w:space="0" w:color="auto"/>
                      </w:divBdr>
                    </w:div>
                  </w:divsChild>
                </w:div>
                <w:div w:id="355084984">
                  <w:marLeft w:val="0"/>
                  <w:marRight w:val="0"/>
                  <w:marTop w:val="0"/>
                  <w:marBottom w:val="0"/>
                  <w:divBdr>
                    <w:top w:val="none" w:sz="0" w:space="0" w:color="auto"/>
                    <w:left w:val="none" w:sz="0" w:space="0" w:color="auto"/>
                    <w:bottom w:val="none" w:sz="0" w:space="0" w:color="auto"/>
                    <w:right w:val="none" w:sz="0" w:space="0" w:color="auto"/>
                  </w:divBdr>
                  <w:divsChild>
                    <w:div w:id="1843663333">
                      <w:marLeft w:val="0"/>
                      <w:marRight w:val="0"/>
                      <w:marTop w:val="0"/>
                      <w:marBottom w:val="0"/>
                      <w:divBdr>
                        <w:top w:val="none" w:sz="0" w:space="0" w:color="auto"/>
                        <w:left w:val="none" w:sz="0" w:space="0" w:color="auto"/>
                        <w:bottom w:val="none" w:sz="0" w:space="0" w:color="auto"/>
                        <w:right w:val="none" w:sz="0" w:space="0" w:color="auto"/>
                      </w:divBdr>
                    </w:div>
                  </w:divsChild>
                </w:div>
                <w:div w:id="880483675">
                  <w:marLeft w:val="0"/>
                  <w:marRight w:val="0"/>
                  <w:marTop w:val="0"/>
                  <w:marBottom w:val="0"/>
                  <w:divBdr>
                    <w:top w:val="none" w:sz="0" w:space="0" w:color="auto"/>
                    <w:left w:val="none" w:sz="0" w:space="0" w:color="auto"/>
                    <w:bottom w:val="none" w:sz="0" w:space="0" w:color="auto"/>
                    <w:right w:val="none" w:sz="0" w:space="0" w:color="auto"/>
                  </w:divBdr>
                  <w:divsChild>
                    <w:div w:id="1528986847">
                      <w:marLeft w:val="0"/>
                      <w:marRight w:val="0"/>
                      <w:marTop w:val="0"/>
                      <w:marBottom w:val="0"/>
                      <w:divBdr>
                        <w:top w:val="none" w:sz="0" w:space="0" w:color="auto"/>
                        <w:left w:val="none" w:sz="0" w:space="0" w:color="auto"/>
                        <w:bottom w:val="none" w:sz="0" w:space="0" w:color="auto"/>
                        <w:right w:val="none" w:sz="0" w:space="0" w:color="auto"/>
                      </w:divBdr>
                    </w:div>
                  </w:divsChild>
                </w:div>
                <w:div w:id="1912150987">
                  <w:marLeft w:val="0"/>
                  <w:marRight w:val="0"/>
                  <w:marTop w:val="0"/>
                  <w:marBottom w:val="0"/>
                  <w:divBdr>
                    <w:top w:val="none" w:sz="0" w:space="0" w:color="auto"/>
                    <w:left w:val="none" w:sz="0" w:space="0" w:color="auto"/>
                    <w:bottom w:val="none" w:sz="0" w:space="0" w:color="auto"/>
                    <w:right w:val="none" w:sz="0" w:space="0" w:color="auto"/>
                  </w:divBdr>
                  <w:divsChild>
                    <w:div w:id="1016615871">
                      <w:marLeft w:val="0"/>
                      <w:marRight w:val="0"/>
                      <w:marTop w:val="0"/>
                      <w:marBottom w:val="0"/>
                      <w:divBdr>
                        <w:top w:val="none" w:sz="0" w:space="0" w:color="auto"/>
                        <w:left w:val="none" w:sz="0" w:space="0" w:color="auto"/>
                        <w:bottom w:val="none" w:sz="0" w:space="0" w:color="auto"/>
                        <w:right w:val="none" w:sz="0" w:space="0" w:color="auto"/>
                      </w:divBdr>
                    </w:div>
                  </w:divsChild>
                </w:div>
                <w:div w:id="19209735">
                  <w:marLeft w:val="0"/>
                  <w:marRight w:val="0"/>
                  <w:marTop w:val="0"/>
                  <w:marBottom w:val="0"/>
                  <w:divBdr>
                    <w:top w:val="none" w:sz="0" w:space="0" w:color="auto"/>
                    <w:left w:val="none" w:sz="0" w:space="0" w:color="auto"/>
                    <w:bottom w:val="none" w:sz="0" w:space="0" w:color="auto"/>
                    <w:right w:val="none" w:sz="0" w:space="0" w:color="auto"/>
                  </w:divBdr>
                  <w:divsChild>
                    <w:div w:id="1286350857">
                      <w:marLeft w:val="0"/>
                      <w:marRight w:val="0"/>
                      <w:marTop w:val="0"/>
                      <w:marBottom w:val="0"/>
                      <w:divBdr>
                        <w:top w:val="none" w:sz="0" w:space="0" w:color="auto"/>
                        <w:left w:val="none" w:sz="0" w:space="0" w:color="auto"/>
                        <w:bottom w:val="none" w:sz="0" w:space="0" w:color="auto"/>
                        <w:right w:val="none" w:sz="0" w:space="0" w:color="auto"/>
                      </w:divBdr>
                    </w:div>
                  </w:divsChild>
                </w:div>
                <w:div w:id="2105609799">
                  <w:marLeft w:val="0"/>
                  <w:marRight w:val="0"/>
                  <w:marTop w:val="0"/>
                  <w:marBottom w:val="0"/>
                  <w:divBdr>
                    <w:top w:val="none" w:sz="0" w:space="0" w:color="auto"/>
                    <w:left w:val="none" w:sz="0" w:space="0" w:color="auto"/>
                    <w:bottom w:val="none" w:sz="0" w:space="0" w:color="auto"/>
                    <w:right w:val="none" w:sz="0" w:space="0" w:color="auto"/>
                  </w:divBdr>
                  <w:divsChild>
                    <w:div w:id="269747400">
                      <w:marLeft w:val="0"/>
                      <w:marRight w:val="0"/>
                      <w:marTop w:val="0"/>
                      <w:marBottom w:val="0"/>
                      <w:divBdr>
                        <w:top w:val="none" w:sz="0" w:space="0" w:color="auto"/>
                        <w:left w:val="none" w:sz="0" w:space="0" w:color="auto"/>
                        <w:bottom w:val="none" w:sz="0" w:space="0" w:color="auto"/>
                        <w:right w:val="none" w:sz="0" w:space="0" w:color="auto"/>
                      </w:divBdr>
                    </w:div>
                  </w:divsChild>
                </w:div>
                <w:div w:id="1604918150">
                  <w:marLeft w:val="0"/>
                  <w:marRight w:val="0"/>
                  <w:marTop w:val="0"/>
                  <w:marBottom w:val="0"/>
                  <w:divBdr>
                    <w:top w:val="none" w:sz="0" w:space="0" w:color="auto"/>
                    <w:left w:val="none" w:sz="0" w:space="0" w:color="auto"/>
                    <w:bottom w:val="none" w:sz="0" w:space="0" w:color="auto"/>
                    <w:right w:val="none" w:sz="0" w:space="0" w:color="auto"/>
                  </w:divBdr>
                  <w:divsChild>
                    <w:div w:id="988559026">
                      <w:marLeft w:val="0"/>
                      <w:marRight w:val="0"/>
                      <w:marTop w:val="0"/>
                      <w:marBottom w:val="0"/>
                      <w:divBdr>
                        <w:top w:val="none" w:sz="0" w:space="0" w:color="auto"/>
                        <w:left w:val="none" w:sz="0" w:space="0" w:color="auto"/>
                        <w:bottom w:val="none" w:sz="0" w:space="0" w:color="auto"/>
                        <w:right w:val="none" w:sz="0" w:space="0" w:color="auto"/>
                      </w:divBdr>
                    </w:div>
                  </w:divsChild>
                </w:div>
                <w:div w:id="237710068">
                  <w:marLeft w:val="0"/>
                  <w:marRight w:val="0"/>
                  <w:marTop w:val="0"/>
                  <w:marBottom w:val="0"/>
                  <w:divBdr>
                    <w:top w:val="none" w:sz="0" w:space="0" w:color="auto"/>
                    <w:left w:val="none" w:sz="0" w:space="0" w:color="auto"/>
                    <w:bottom w:val="none" w:sz="0" w:space="0" w:color="auto"/>
                    <w:right w:val="none" w:sz="0" w:space="0" w:color="auto"/>
                  </w:divBdr>
                  <w:divsChild>
                    <w:div w:id="1651519772">
                      <w:marLeft w:val="0"/>
                      <w:marRight w:val="0"/>
                      <w:marTop w:val="0"/>
                      <w:marBottom w:val="0"/>
                      <w:divBdr>
                        <w:top w:val="none" w:sz="0" w:space="0" w:color="auto"/>
                        <w:left w:val="none" w:sz="0" w:space="0" w:color="auto"/>
                        <w:bottom w:val="none" w:sz="0" w:space="0" w:color="auto"/>
                        <w:right w:val="none" w:sz="0" w:space="0" w:color="auto"/>
                      </w:divBdr>
                    </w:div>
                  </w:divsChild>
                </w:div>
                <w:div w:id="283537391">
                  <w:marLeft w:val="0"/>
                  <w:marRight w:val="0"/>
                  <w:marTop w:val="0"/>
                  <w:marBottom w:val="0"/>
                  <w:divBdr>
                    <w:top w:val="none" w:sz="0" w:space="0" w:color="auto"/>
                    <w:left w:val="none" w:sz="0" w:space="0" w:color="auto"/>
                    <w:bottom w:val="none" w:sz="0" w:space="0" w:color="auto"/>
                    <w:right w:val="none" w:sz="0" w:space="0" w:color="auto"/>
                  </w:divBdr>
                  <w:divsChild>
                    <w:div w:id="1461799498">
                      <w:marLeft w:val="0"/>
                      <w:marRight w:val="0"/>
                      <w:marTop w:val="0"/>
                      <w:marBottom w:val="0"/>
                      <w:divBdr>
                        <w:top w:val="none" w:sz="0" w:space="0" w:color="auto"/>
                        <w:left w:val="none" w:sz="0" w:space="0" w:color="auto"/>
                        <w:bottom w:val="none" w:sz="0" w:space="0" w:color="auto"/>
                        <w:right w:val="none" w:sz="0" w:space="0" w:color="auto"/>
                      </w:divBdr>
                    </w:div>
                  </w:divsChild>
                </w:div>
                <w:div w:id="1973439207">
                  <w:marLeft w:val="0"/>
                  <w:marRight w:val="0"/>
                  <w:marTop w:val="0"/>
                  <w:marBottom w:val="0"/>
                  <w:divBdr>
                    <w:top w:val="none" w:sz="0" w:space="0" w:color="auto"/>
                    <w:left w:val="none" w:sz="0" w:space="0" w:color="auto"/>
                    <w:bottom w:val="none" w:sz="0" w:space="0" w:color="auto"/>
                    <w:right w:val="none" w:sz="0" w:space="0" w:color="auto"/>
                  </w:divBdr>
                  <w:divsChild>
                    <w:div w:id="1287540104">
                      <w:marLeft w:val="0"/>
                      <w:marRight w:val="0"/>
                      <w:marTop w:val="0"/>
                      <w:marBottom w:val="0"/>
                      <w:divBdr>
                        <w:top w:val="none" w:sz="0" w:space="0" w:color="auto"/>
                        <w:left w:val="none" w:sz="0" w:space="0" w:color="auto"/>
                        <w:bottom w:val="none" w:sz="0" w:space="0" w:color="auto"/>
                        <w:right w:val="none" w:sz="0" w:space="0" w:color="auto"/>
                      </w:divBdr>
                    </w:div>
                  </w:divsChild>
                </w:div>
                <w:div w:id="1699506728">
                  <w:marLeft w:val="0"/>
                  <w:marRight w:val="0"/>
                  <w:marTop w:val="0"/>
                  <w:marBottom w:val="0"/>
                  <w:divBdr>
                    <w:top w:val="none" w:sz="0" w:space="0" w:color="auto"/>
                    <w:left w:val="none" w:sz="0" w:space="0" w:color="auto"/>
                    <w:bottom w:val="none" w:sz="0" w:space="0" w:color="auto"/>
                    <w:right w:val="none" w:sz="0" w:space="0" w:color="auto"/>
                  </w:divBdr>
                  <w:divsChild>
                    <w:div w:id="547574619">
                      <w:marLeft w:val="0"/>
                      <w:marRight w:val="0"/>
                      <w:marTop w:val="0"/>
                      <w:marBottom w:val="0"/>
                      <w:divBdr>
                        <w:top w:val="none" w:sz="0" w:space="0" w:color="auto"/>
                        <w:left w:val="none" w:sz="0" w:space="0" w:color="auto"/>
                        <w:bottom w:val="none" w:sz="0" w:space="0" w:color="auto"/>
                        <w:right w:val="none" w:sz="0" w:space="0" w:color="auto"/>
                      </w:divBdr>
                    </w:div>
                  </w:divsChild>
                </w:div>
                <w:div w:id="1834026429">
                  <w:marLeft w:val="0"/>
                  <w:marRight w:val="0"/>
                  <w:marTop w:val="0"/>
                  <w:marBottom w:val="0"/>
                  <w:divBdr>
                    <w:top w:val="none" w:sz="0" w:space="0" w:color="auto"/>
                    <w:left w:val="none" w:sz="0" w:space="0" w:color="auto"/>
                    <w:bottom w:val="none" w:sz="0" w:space="0" w:color="auto"/>
                    <w:right w:val="none" w:sz="0" w:space="0" w:color="auto"/>
                  </w:divBdr>
                  <w:divsChild>
                    <w:div w:id="870264384">
                      <w:marLeft w:val="0"/>
                      <w:marRight w:val="0"/>
                      <w:marTop w:val="0"/>
                      <w:marBottom w:val="0"/>
                      <w:divBdr>
                        <w:top w:val="none" w:sz="0" w:space="0" w:color="auto"/>
                        <w:left w:val="none" w:sz="0" w:space="0" w:color="auto"/>
                        <w:bottom w:val="none" w:sz="0" w:space="0" w:color="auto"/>
                        <w:right w:val="none" w:sz="0" w:space="0" w:color="auto"/>
                      </w:divBdr>
                    </w:div>
                  </w:divsChild>
                </w:div>
                <w:div w:id="410012007">
                  <w:marLeft w:val="0"/>
                  <w:marRight w:val="0"/>
                  <w:marTop w:val="0"/>
                  <w:marBottom w:val="0"/>
                  <w:divBdr>
                    <w:top w:val="none" w:sz="0" w:space="0" w:color="auto"/>
                    <w:left w:val="none" w:sz="0" w:space="0" w:color="auto"/>
                    <w:bottom w:val="none" w:sz="0" w:space="0" w:color="auto"/>
                    <w:right w:val="none" w:sz="0" w:space="0" w:color="auto"/>
                  </w:divBdr>
                  <w:divsChild>
                    <w:div w:id="636103700">
                      <w:marLeft w:val="0"/>
                      <w:marRight w:val="0"/>
                      <w:marTop w:val="0"/>
                      <w:marBottom w:val="0"/>
                      <w:divBdr>
                        <w:top w:val="none" w:sz="0" w:space="0" w:color="auto"/>
                        <w:left w:val="none" w:sz="0" w:space="0" w:color="auto"/>
                        <w:bottom w:val="none" w:sz="0" w:space="0" w:color="auto"/>
                        <w:right w:val="none" w:sz="0" w:space="0" w:color="auto"/>
                      </w:divBdr>
                    </w:div>
                  </w:divsChild>
                </w:div>
                <w:div w:id="1658878489">
                  <w:marLeft w:val="0"/>
                  <w:marRight w:val="0"/>
                  <w:marTop w:val="0"/>
                  <w:marBottom w:val="0"/>
                  <w:divBdr>
                    <w:top w:val="none" w:sz="0" w:space="0" w:color="auto"/>
                    <w:left w:val="none" w:sz="0" w:space="0" w:color="auto"/>
                    <w:bottom w:val="none" w:sz="0" w:space="0" w:color="auto"/>
                    <w:right w:val="none" w:sz="0" w:space="0" w:color="auto"/>
                  </w:divBdr>
                  <w:divsChild>
                    <w:div w:id="2145000272">
                      <w:marLeft w:val="0"/>
                      <w:marRight w:val="0"/>
                      <w:marTop w:val="0"/>
                      <w:marBottom w:val="0"/>
                      <w:divBdr>
                        <w:top w:val="none" w:sz="0" w:space="0" w:color="auto"/>
                        <w:left w:val="none" w:sz="0" w:space="0" w:color="auto"/>
                        <w:bottom w:val="none" w:sz="0" w:space="0" w:color="auto"/>
                        <w:right w:val="none" w:sz="0" w:space="0" w:color="auto"/>
                      </w:divBdr>
                    </w:div>
                  </w:divsChild>
                </w:div>
                <w:div w:id="335041884">
                  <w:marLeft w:val="0"/>
                  <w:marRight w:val="0"/>
                  <w:marTop w:val="0"/>
                  <w:marBottom w:val="0"/>
                  <w:divBdr>
                    <w:top w:val="none" w:sz="0" w:space="0" w:color="auto"/>
                    <w:left w:val="none" w:sz="0" w:space="0" w:color="auto"/>
                    <w:bottom w:val="none" w:sz="0" w:space="0" w:color="auto"/>
                    <w:right w:val="none" w:sz="0" w:space="0" w:color="auto"/>
                  </w:divBdr>
                  <w:divsChild>
                    <w:div w:id="1057633331">
                      <w:marLeft w:val="0"/>
                      <w:marRight w:val="0"/>
                      <w:marTop w:val="0"/>
                      <w:marBottom w:val="0"/>
                      <w:divBdr>
                        <w:top w:val="none" w:sz="0" w:space="0" w:color="auto"/>
                        <w:left w:val="none" w:sz="0" w:space="0" w:color="auto"/>
                        <w:bottom w:val="none" w:sz="0" w:space="0" w:color="auto"/>
                        <w:right w:val="none" w:sz="0" w:space="0" w:color="auto"/>
                      </w:divBdr>
                    </w:div>
                  </w:divsChild>
                </w:div>
                <w:div w:id="358052415">
                  <w:marLeft w:val="0"/>
                  <w:marRight w:val="0"/>
                  <w:marTop w:val="0"/>
                  <w:marBottom w:val="0"/>
                  <w:divBdr>
                    <w:top w:val="none" w:sz="0" w:space="0" w:color="auto"/>
                    <w:left w:val="none" w:sz="0" w:space="0" w:color="auto"/>
                    <w:bottom w:val="none" w:sz="0" w:space="0" w:color="auto"/>
                    <w:right w:val="none" w:sz="0" w:space="0" w:color="auto"/>
                  </w:divBdr>
                  <w:divsChild>
                    <w:div w:id="1301225378">
                      <w:marLeft w:val="0"/>
                      <w:marRight w:val="0"/>
                      <w:marTop w:val="0"/>
                      <w:marBottom w:val="0"/>
                      <w:divBdr>
                        <w:top w:val="none" w:sz="0" w:space="0" w:color="auto"/>
                        <w:left w:val="none" w:sz="0" w:space="0" w:color="auto"/>
                        <w:bottom w:val="none" w:sz="0" w:space="0" w:color="auto"/>
                        <w:right w:val="none" w:sz="0" w:space="0" w:color="auto"/>
                      </w:divBdr>
                    </w:div>
                  </w:divsChild>
                </w:div>
                <w:div w:id="1666780742">
                  <w:marLeft w:val="0"/>
                  <w:marRight w:val="0"/>
                  <w:marTop w:val="0"/>
                  <w:marBottom w:val="0"/>
                  <w:divBdr>
                    <w:top w:val="none" w:sz="0" w:space="0" w:color="auto"/>
                    <w:left w:val="none" w:sz="0" w:space="0" w:color="auto"/>
                    <w:bottom w:val="none" w:sz="0" w:space="0" w:color="auto"/>
                    <w:right w:val="none" w:sz="0" w:space="0" w:color="auto"/>
                  </w:divBdr>
                  <w:divsChild>
                    <w:div w:id="376246716">
                      <w:marLeft w:val="0"/>
                      <w:marRight w:val="0"/>
                      <w:marTop w:val="0"/>
                      <w:marBottom w:val="0"/>
                      <w:divBdr>
                        <w:top w:val="none" w:sz="0" w:space="0" w:color="auto"/>
                        <w:left w:val="none" w:sz="0" w:space="0" w:color="auto"/>
                        <w:bottom w:val="none" w:sz="0" w:space="0" w:color="auto"/>
                        <w:right w:val="none" w:sz="0" w:space="0" w:color="auto"/>
                      </w:divBdr>
                    </w:div>
                  </w:divsChild>
                </w:div>
                <w:div w:id="1012143393">
                  <w:marLeft w:val="0"/>
                  <w:marRight w:val="0"/>
                  <w:marTop w:val="0"/>
                  <w:marBottom w:val="0"/>
                  <w:divBdr>
                    <w:top w:val="none" w:sz="0" w:space="0" w:color="auto"/>
                    <w:left w:val="none" w:sz="0" w:space="0" w:color="auto"/>
                    <w:bottom w:val="none" w:sz="0" w:space="0" w:color="auto"/>
                    <w:right w:val="none" w:sz="0" w:space="0" w:color="auto"/>
                  </w:divBdr>
                  <w:divsChild>
                    <w:div w:id="499733681">
                      <w:marLeft w:val="0"/>
                      <w:marRight w:val="0"/>
                      <w:marTop w:val="0"/>
                      <w:marBottom w:val="0"/>
                      <w:divBdr>
                        <w:top w:val="none" w:sz="0" w:space="0" w:color="auto"/>
                        <w:left w:val="none" w:sz="0" w:space="0" w:color="auto"/>
                        <w:bottom w:val="none" w:sz="0" w:space="0" w:color="auto"/>
                        <w:right w:val="none" w:sz="0" w:space="0" w:color="auto"/>
                      </w:divBdr>
                    </w:div>
                  </w:divsChild>
                </w:div>
                <w:div w:id="192768929">
                  <w:marLeft w:val="0"/>
                  <w:marRight w:val="0"/>
                  <w:marTop w:val="0"/>
                  <w:marBottom w:val="0"/>
                  <w:divBdr>
                    <w:top w:val="none" w:sz="0" w:space="0" w:color="auto"/>
                    <w:left w:val="none" w:sz="0" w:space="0" w:color="auto"/>
                    <w:bottom w:val="none" w:sz="0" w:space="0" w:color="auto"/>
                    <w:right w:val="none" w:sz="0" w:space="0" w:color="auto"/>
                  </w:divBdr>
                  <w:divsChild>
                    <w:div w:id="690910016">
                      <w:marLeft w:val="0"/>
                      <w:marRight w:val="0"/>
                      <w:marTop w:val="0"/>
                      <w:marBottom w:val="0"/>
                      <w:divBdr>
                        <w:top w:val="none" w:sz="0" w:space="0" w:color="auto"/>
                        <w:left w:val="none" w:sz="0" w:space="0" w:color="auto"/>
                        <w:bottom w:val="none" w:sz="0" w:space="0" w:color="auto"/>
                        <w:right w:val="none" w:sz="0" w:space="0" w:color="auto"/>
                      </w:divBdr>
                    </w:div>
                  </w:divsChild>
                </w:div>
                <w:div w:id="322396070">
                  <w:marLeft w:val="0"/>
                  <w:marRight w:val="0"/>
                  <w:marTop w:val="0"/>
                  <w:marBottom w:val="0"/>
                  <w:divBdr>
                    <w:top w:val="none" w:sz="0" w:space="0" w:color="auto"/>
                    <w:left w:val="none" w:sz="0" w:space="0" w:color="auto"/>
                    <w:bottom w:val="none" w:sz="0" w:space="0" w:color="auto"/>
                    <w:right w:val="none" w:sz="0" w:space="0" w:color="auto"/>
                  </w:divBdr>
                  <w:divsChild>
                    <w:div w:id="771435687">
                      <w:marLeft w:val="0"/>
                      <w:marRight w:val="0"/>
                      <w:marTop w:val="0"/>
                      <w:marBottom w:val="0"/>
                      <w:divBdr>
                        <w:top w:val="none" w:sz="0" w:space="0" w:color="auto"/>
                        <w:left w:val="none" w:sz="0" w:space="0" w:color="auto"/>
                        <w:bottom w:val="none" w:sz="0" w:space="0" w:color="auto"/>
                        <w:right w:val="none" w:sz="0" w:space="0" w:color="auto"/>
                      </w:divBdr>
                    </w:div>
                  </w:divsChild>
                </w:div>
                <w:div w:id="637539425">
                  <w:marLeft w:val="0"/>
                  <w:marRight w:val="0"/>
                  <w:marTop w:val="0"/>
                  <w:marBottom w:val="0"/>
                  <w:divBdr>
                    <w:top w:val="none" w:sz="0" w:space="0" w:color="auto"/>
                    <w:left w:val="none" w:sz="0" w:space="0" w:color="auto"/>
                    <w:bottom w:val="none" w:sz="0" w:space="0" w:color="auto"/>
                    <w:right w:val="none" w:sz="0" w:space="0" w:color="auto"/>
                  </w:divBdr>
                  <w:divsChild>
                    <w:div w:id="304939199">
                      <w:marLeft w:val="0"/>
                      <w:marRight w:val="0"/>
                      <w:marTop w:val="0"/>
                      <w:marBottom w:val="0"/>
                      <w:divBdr>
                        <w:top w:val="none" w:sz="0" w:space="0" w:color="auto"/>
                        <w:left w:val="none" w:sz="0" w:space="0" w:color="auto"/>
                        <w:bottom w:val="none" w:sz="0" w:space="0" w:color="auto"/>
                        <w:right w:val="none" w:sz="0" w:space="0" w:color="auto"/>
                      </w:divBdr>
                    </w:div>
                  </w:divsChild>
                </w:div>
                <w:div w:id="182714668">
                  <w:marLeft w:val="0"/>
                  <w:marRight w:val="0"/>
                  <w:marTop w:val="0"/>
                  <w:marBottom w:val="0"/>
                  <w:divBdr>
                    <w:top w:val="none" w:sz="0" w:space="0" w:color="auto"/>
                    <w:left w:val="none" w:sz="0" w:space="0" w:color="auto"/>
                    <w:bottom w:val="none" w:sz="0" w:space="0" w:color="auto"/>
                    <w:right w:val="none" w:sz="0" w:space="0" w:color="auto"/>
                  </w:divBdr>
                  <w:divsChild>
                    <w:div w:id="1554001643">
                      <w:marLeft w:val="0"/>
                      <w:marRight w:val="0"/>
                      <w:marTop w:val="0"/>
                      <w:marBottom w:val="0"/>
                      <w:divBdr>
                        <w:top w:val="none" w:sz="0" w:space="0" w:color="auto"/>
                        <w:left w:val="none" w:sz="0" w:space="0" w:color="auto"/>
                        <w:bottom w:val="none" w:sz="0" w:space="0" w:color="auto"/>
                        <w:right w:val="none" w:sz="0" w:space="0" w:color="auto"/>
                      </w:divBdr>
                    </w:div>
                  </w:divsChild>
                </w:div>
                <w:div w:id="94179402">
                  <w:marLeft w:val="0"/>
                  <w:marRight w:val="0"/>
                  <w:marTop w:val="0"/>
                  <w:marBottom w:val="0"/>
                  <w:divBdr>
                    <w:top w:val="none" w:sz="0" w:space="0" w:color="auto"/>
                    <w:left w:val="none" w:sz="0" w:space="0" w:color="auto"/>
                    <w:bottom w:val="none" w:sz="0" w:space="0" w:color="auto"/>
                    <w:right w:val="none" w:sz="0" w:space="0" w:color="auto"/>
                  </w:divBdr>
                  <w:divsChild>
                    <w:div w:id="1786383124">
                      <w:marLeft w:val="0"/>
                      <w:marRight w:val="0"/>
                      <w:marTop w:val="0"/>
                      <w:marBottom w:val="0"/>
                      <w:divBdr>
                        <w:top w:val="none" w:sz="0" w:space="0" w:color="auto"/>
                        <w:left w:val="none" w:sz="0" w:space="0" w:color="auto"/>
                        <w:bottom w:val="none" w:sz="0" w:space="0" w:color="auto"/>
                        <w:right w:val="none" w:sz="0" w:space="0" w:color="auto"/>
                      </w:divBdr>
                    </w:div>
                  </w:divsChild>
                </w:div>
                <w:div w:id="628170551">
                  <w:marLeft w:val="0"/>
                  <w:marRight w:val="0"/>
                  <w:marTop w:val="0"/>
                  <w:marBottom w:val="0"/>
                  <w:divBdr>
                    <w:top w:val="none" w:sz="0" w:space="0" w:color="auto"/>
                    <w:left w:val="none" w:sz="0" w:space="0" w:color="auto"/>
                    <w:bottom w:val="none" w:sz="0" w:space="0" w:color="auto"/>
                    <w:right w:val="none" w:sz="0" w:space="0" w:color="auto"/>
                  </w:divBdr>
                  <w:divsChild>
                    <w:div w:id="12730547">
                      <w:marLeft w:val="0"/>
                      <w:marRight w:val="0"/>
                      <w:marTop w:val="0"/>
                      <w:marBottom w:val="0"/>
                      <w:divBdr>
                        <w:top w:val="none" w:sz="0" w:space="0" w:color="auto"/>
                        <w:left w:val="none" w:sz="0" w:space="0" w:color="auto"/>
                        <w:bottom w:val="none" w:sz="0" w:space="0" w:color="auto"/>
                        <w:right w:val="none" w:sz="0" w:space="0" w:color="auto"/>
                      </w:divBdr>
                    </w:div>
                  </w:divsChild>
                </w:div>
                <w:div w:id="257255673">
                  <w:marLeft w:val="0"/>
                  <w:marRight w:val="0"/>
                  <w:marTop w:val="0"/>
                  <w:marBottom w:val="0"/>
                  <w:divBdr>
                    <w:top w:val="none" w:sz="0" w:space="0" w:color="auto"/>
                    <w:left w:val="none" w:sz="0" w:space="0" w:color="auto"/>
                    <w:bottom w:val="none" w:sz="0" w:space="0" w:color="auto"/>
                    <w:right w:val="none" w:sz="0" w:space="0" w:color="auto"/>
                  </w:divBdr>
                  <w:divsChild>
                    <w:div w:id="121848433">
                      <w:marLeft w:val="0"/>
                      <w:marRight w:val="0"/>
                      <w:marTop w:val="0"/>
                      <w:marBottom w:val="0"/>
                      <w:divBdr>
                        <w:top w:val="none" w:sz="0" w:space="0" w:color="auto"/>
                        <w:left w:val="none" w:sz="0" w:space="0" w:color="auto"/>
                        <w:bottom w:val="none" w:sz="0" w:space="0" w:color="auto"/>
                        <w:right w:val="none" w:sz="0" w:space="0" w:color="auto"/>
                      </w:divBdr>
                    </w:div>
                  </w:divsChild>
                </w:div>
                <w:div w:id="627930930">
                  <w:marLeft w:val="0"/>
                  <w:marRight w:val="0"/>
                  <w:marTop w:val="0"/>
                  <w:marBottom w:val="0"/>
                  <w:divBdr>
                    <w:top w:val="none" w:sz="0" w:space="0" w:color="auto"/>
                    <w:left w:val="none" w:sz="0" w:space="0" w:color="auto"/>
                    <w:bottom w:val="none" w:sz="0" w:space="0" w:color="auto"/>
                    <w:right w:val="none" w:sz="0" w:space="0" w:color="auto"/>
                  </w:divBdr>
                  <w:divsChild>
                    <w:div w:id="960456275">
                      <w:marLeft w:val="0"/>
                      <w:marRight w:val="0"/>
                      <w:marTop w:val="0"/>
                      <w:marBottom w:val="0"/>
                      <w:divBdr>
                        <w:top w:val="none" w:sz="0" w:space="0" w:color="auto"/>
                        <w:left w:val="none" w:sz="0" w:space="0" w:color="auto"/>
                        <w:bottom w:val="none" w:sz="0" w:space="0" w:color="auto"/>
                        <w:right w:val="none" w:sz="0" w:space="0" w:color="auto"/>
                      </w:divBdr>
                    </w:div>
                  </w:divsChild>
                </w:div>
                <w:div w:id="126626481">
                  <w:marLeft w:val="0"/>
                  <w:marRight w:val="0"/>
                  <w:marTop w:val="0"/>
                  <w:marBottom w:val="0"/>
                  <w:divBdr>
                    <w:top w:val="none" w:sz="0" w:space="0" w:color="auto"/>
                    <w:left w:val="none" w:sz="0" w:space="0" w:color="auto"/>
                    <w:bottom w:val="none" w:sz="0" w:space="0" w:color="auto"/>
                    <w:right w:val="none" w:sz="0" w:space="0" w:color="auto"/>
                  </w:divBdr>
                  <w:divsChild>
                    <w:div w:id="1817649505">
                      <w:marLeft w:val="0"/>
                      <w:marRight w:val="0"/>
                      <w:marTop w:val="0"/>
                      <w:marBottom w:val="0"/>
                      <w:divBdr>
                        <w:top w:val="none" w:sz="0" w:space="0" w:color="auto"/>
                        <w:left w:val="none" w:sz="0" w:space="0" w:color="auto"/>
                        <w:bottom w:val="none" w:sz="0" w:space="0" w:color="auto"/>
                        <w:right w:val="none" w:sz="0" w:space="0" w:color="auto"/>
                      </w:divBdr>
                    </w:div>
                  </w:divsChild>
                </w:div>
                <w:div w:id="864095431">
                  <w:marLeft w:val="0"/>
                  <w:marRight w:val="0"/>
                  <w:marTop w:val="0"/>
                  <w:marBottom w:val="0"/>
                  <w:divBdr>
                    <w:top w:val="none" w:sz="0" w:space="0" w:color="auto"/>
                    <w:left w:val="none" w:sz="0" w:space="0" w:color="auto"/>
                    <w:bottom w:val="none" w:sz="0" w:space="0" w:color="auto"/>
                    <w:right w:val="none" w:sz="0" w:space="0" w:color="auto"/>
                  </w:divBdr>
                  <w:divsChild>
                    <w:div w:id="1333413357">
                      <w:marLeft w:val="0"/>
                      <w:marRight w:val="0"/>
                      <w:marTop w:val="0"/>
                      <w:marBottom w:val="0"/>
                      <w:divBdr>
                        <w:top w:val="none" w:sz="0" w:space="0" w:color="auto"/>
                        <w:left w:val="none" w:sz="0" w:space="0" w:color="auto"/>
                        <w:bottom w:val="none" w:sz="0" w:space="0" w:color="auto"/>
                        <w:right w:val="none" w:sz="0" w:space="0" w:color="auto"/>
                      </w:divBdr>
                    </w:div>
                  </w:divsChild>
                </w:div>
                <w:div w:id="865098519">
                  <w:marLeft w:val="0"/>
                  <w:marRight w:val="0"/>
                  <w:marTop w:val="0"/>
                  <w:marBottom w:val="0"/>
                  <w:divBdr>
                    <w:top w:val="none" w:sz="0" w:space="0" w:color="auto"/>
                    <w:left w:val="none" w:sz="0" w:space="0" w:color="auto"/>
                    <w:bottom w:val="none" w:sz="0" w:space="0" w:color="auto"/>
                    <w:right w:val="none" w:sz="0" w:space="0" w:color="auto"/>
                  </w:divBdr>
                  <w:divsChild>
                    <w:div w:id="908230573">
                      <w:marLeft w:val="0"/>
                      <w:marRight w:val="0"/>
                      <w:marTop w:val="0"/>
                      <w:marBottom w:val="0"/>
                      <w:divBdr>
                        <w:top w:val="none" w:sz="0" w:space="0" w:color="auto"/>
                        <w:left w:val="none" w:sz="0" w:space="0" w:color="auto"/>
                        <w:bottom w:val="none" w:sz="0" w:space="0" w:color="auto"/>
                        <w:right w:val="none" w:sz="0" w:space="0" w:color="auto"/>
                      </w:divBdr>
                    </w:div>
                  </w:divsChild>
                </w:div>
                <w:div w:id="1998803884">
                  <w:marLeft w:val="0"/>
                  <w:marRight w:val="0"/>
                  <w:marTop w:val="0"/>
                  <w:marBottom w:val="0"/>
                  <w:divBdr>
                    <w:top w:val="none" w:sz="0" w:space="0" w:color="auto"/>
                    <w:left w:val="none" w:sz="0" w:space="0" w:color="auto"/>
                    <w:bottom w:val="none" w:sz="0" w:space="0" w:color="auto"/>
                    <w:right w:val="none" w:sz="0" w:space="0" w:color="auto"/>
                  </w:divBdr>
                  <w:divsChild>
                    <w:div w:id="929047244">
                      <w:marLeft w:val="0"/>
                      <w:marRight w:val="0"/>
                      <w:marTop w:val="0"/>
                      <w:marBottom w:val="0"/>
                      <w:divBdr>
                        <w:top w:val="none" w:sz="0" w:space="0" w:color="auto"/>
                        <w:left w:val="none" w:sz="0" w:space="0" w:color="auto"/>
                        <w:bottom w:val="none" w:sz="0" w:space="0" w:color="auto"/>
                        <w:right w:val="none" w:sz="0" w:space="0" w:color="auto"/>
                      </w:divBdr>
                    </w:div>
                  </w:divsChild>
                </w:div>
                <w:div w:id="1425300072">
                  <w:marLeft w:val="0"/>
                  <w:marRight w:val="0"/>
                  <w:marTop w:val="0"/>
                  <w:marBottom w:val="0"/>
                  <w:divBdr>
                    <w:top w:val="none" w:sz="0" w:space="0" w:color="auto"/>
                    <w:left w:val="none" w:sz="0" w:space="0" w:color="auto"/>
                    <w:bottom w:val="none" w:sz="0" w:space="0" w:color="auto"/>
                    <w:right w:val="none" w:sz="0" w:space="0" w:color="auto"/>
                  </w:divBdr>
                  <w:divsChild>
                    <w:div w:id="2091390469">
                      <w:marLeft w:val="0"/>
                      <w:marRight w:val="0"/>
                      <w:marTop w:val="0"/>
                      <w:marBottom w:val="0"/>
                      <w:divBdr>
                        <w:top w:val="none" w:sz="0" w:space="0" w:color="auto"/>
                        <w:left w:val="none" w:sz="0" w:space="0" w:color="auto"/>
                        <w:bottom w:val="none" w:sz="0" w:space="0" w:color="auto"/>
                        <w:right w:val="none" w:sz="0" w:space="0" w:color="auto"/>
                      </w:divBdr>
                    </w:div>
                  </w:divsChild>
                </w:div>
                <w:div w:id="1146163613">
                  <w:marLeft w:val="0"/>
                  <w:marRight w:val="0"/>
                  <w:marTop w:val="0"/>
                  <w:marBottom w:val="0"/>
                  <w:divBdr>
                    <w:top w:val="none" w:sz="0" w:space="0" w:color="auto"/>
                    <w:left w:val="none" w:sz="0" w:space="0" w:color="auto"/>
                    <w:bottom w:val="none" w:sz="0" w:space="0" w:color="auto"/>
                    <w:right w:val="none" w:sz="0" w:space="0" w:color="auto"/>
                  </w:divBdr>
                  <w:divsChild>
                    <w:div w:id="1747145048">
                      <w:marLeft w:val="0"/>
                      <w:marRight w:val="0"/>
                      <w:marTop w:val="0"/>
                      <w:marBottom w:val="0"/>
                      <w:divBdr>
                        <w:top w:val="none" w:sz="0" w:space="0" w:color="auto"/>
                        <w:left w:val="none" w:sz="0" w:space="0" w:color="auto"/>
                        <w:bottom w:val="none" w:sz="0" w:space="0" w:color="auto"/>
                        <w:right w:val="none" w:sz="0" w:space="0" w:color="auto"/>
                      </w:divBdr>
                    </w:div>
                  </w:divsChild>
                </w:div>
                <w:div w:id="653219365">
                  <w:marLeft w:val="0"/>
                  <w:marRight w:val="0"/>
                  <w:marTop w:val="0"/>
                  <w:marBottom w:val="0"/>
                  <w:divBdr>
                    <w:top w:val="none" w:sz="0" w:space="0" w:color="auto"/>
                    <w:left w:val="none" w:sz="0" w:space="0" w:color="auto"/>
                    <w:bottom w:val="none" w:sz="0" w:space="0" w:color="auto"/>
                    <w:right w:val="none" w:sz="0" w:space="0" w:color="auto"/>
                  </w:divBdr>
                  <w:divsChild>
                    <w:div w:id="862671902">
                      <w:marLeft w:val="0"/>
                      <w:marRight w:val="0"/>
                      <w:marTop w:val="0"/>
                      <w:marBottom w:val="0"/>
                      <w:divBdr>
                        <w:top w:val="none" w:sz="0" w:space="0" w:color="auto"/>
                        <w:left w:val="none" w:sz="0" w:space="0" w:color="auto"/>
                        <w:bottom w:val="none" w:sz="0" w:space="0" w:color="auto"/>
                        <w:right w:val="none" w:sz="0" w:space="0" w:color="auto"/>
                      </w:divBdr>
                    </w:div>
                  </w:divsChild>
                </w:div>
                <w:div w:id="2024429556">
                  <w:marLeft w:val="0"/>
                  <w:marRight w:val="0"/>
                  <w:marTop w:val="0"/>
                  <w:marBottom w:val="0"/>
                  <w:divBdr>
                    <w:top w:val="none" w:sz="0" w:space="0" w:color="auto"/>
                    <w:left w:val="none" w:sz="0" w:space="0" w:color="auto"/>
                    <w:bottom w:val="none" w:sz="0" w:space="0" w:color="auto"/>
                    <w:right w:val="none" w:sz="0" w:space="0" w:color="auto"/>
                  </w:divBdr>
                  <w:divsChild>
                    <w:div w:id="2041005814">
                      <w:marLeft w:val="0"/>
                      <w:marRight w:val="0"/>
                      <w:marTop w:val="0"/>
                      <w:marBottom w:val="0"/>
                      <w:divBdr>
                        <w:top w:val="none" w:sz="0" w:space="0" w:color="auto"/>
                        <w:left w:val="none" w:sz="0" w:space="0" w:color="auto"/>
                        <w:bottom w:val="none" w:sz="0" w:space="0" w:color="auto"/>
                        <w:right w:val="none" w:sz="0" w:space="0" w:color="auto"/>
                      </w:divBdr>
                    </w:div>
                  </w:divsChild>
                </w:div>
                <w:div w:id="1532105535">
                  <w:marLeft w:val="0"/>
                  <w:marRight w:val="0"/>
                  <w:marTop w:val="0"/>
                  <w:marBottom w:val="0"/>
                  <w:divBdr>
                    <w:top w:val="none" w:sz="0" w:space="0" w:color="auto"/>
                    <w:left w:val="none" w:sz="0" w:space="0" w:color="auto"/>
                    <w:bottom w:val="none" w:sz="0" w:space="0" w:color="auto"/>
                    <w:right w:val="none" w:sz="0" w:space="0" w:color="auto"/>
                  </w:divBdr>
                  <w:divsChild>
                    <w:div w:id="1216623315">
                      <w:marLeft w:val="0"/>
                      <w:marRight w:val="0"/>
                      <w:marTop w:val="0"/>
                      <w:marBottom w:val="0"/>
                      <w:divBdr>
                        <w:top w:val="none" w:sz="0" w:space="0" w:color="auto"/>
                        <w:left w:val="none" w:sz="0" w:space="0" w:color="auto"/>
                        <w:bottom w:val="none" w:sz="0" w:space="0" w:color="auto"/>
                        <w:right w:val="none" w:sz="0" w:space="0" w:color="auto"/>
                      </w:divBdr>
                    </w:div>
                  </w:divsChild>
                </w:div>
                <w:div w:id="1749571570">
                  <w:marLeft w:val="0"/>
                  <w:marRight w:val="0"/>
                  <w:marTop w:val="0"/>
                  <w:marBottom w:val="0"/>
                  <w:divBdr>
                    <w:top w:val="none" w:sz="0" w:space="0" w:color="auto"/>
                    <w:left w:val="none" w:sz="0" w:space="0" w:color="auto"/>
                    <w:bottom w:val="none" w:sz="0" w:space="0" w:color="auto"/>
                    <w:right w:val="none" w:sz="0" w:space="0" w:color="auto"/>
                  </w:divBdr>
                  <w:divsChild>
                    <w:div w:id="1886983953">
                      <w:marLeft w:val="0"/>
                      <w:marRight w:val="0"/>
                      <w:marTop w:val="0"/>
                      <w:marBottom w:val="0"/>
                      <w:divBdr>
                        <w:top w:val="none" w:sz="0" w:space="0" w:color="auto"/>
                        <w:left w:val="none" w:sz="0" w:space="0" w:color="auto"/>
                        <w:bottom w:val="none" w:sz="0" w:space="0" w:color="auto"/>
                        <w:right w:val="none" w:sz="0" w:space="0" w:color="auto"/>
                      </w:divBdr>
                    </w:div>
                  </w:divsChild>
                </w:div>
                <w:div w:id="1681663589">
                  <w:marLeft w:val="0"/>
                  <w:marRight w:val="0"/>
                  <w:marTop w:val="0"/>
                  <w:marBottom w:val="0"/>
                  <w:divBdr>
                    <w:top w:val="none" w:sz="0" w:space="0" w:color="auto"/>
                    <w:left w:val="none" w:sz="0" w:space="0" w:color="auto"/>
                    <w:bottom w:val="none" w:sz="0" w:space="0" w:color="auto"/>
                    <w:right w:val="none" w:sz="0" w:space="0" w:color="auto"/>
                  </w:divBdr>
                  <w:divsChild>
                    <w:div w:id="1885871208">
                      <w:marLeft w:val="0"/>
                      <w:marRight w:val="0"/>
                      <w:marTop w:val="0"/>
                      <w:marBottom w:val="0"/>
                      <w:divBdr>
                        <w:top w:val="none" w:sz="0" w:space="0" w:color="auto"/>
                        <w:left w:val="none" w:sz="0" w:space="0" w:color="auto"/>
                        <w:bottom w:val="none" w:sz="0" w:space="0" w:color="auto"/>
                        <w:right w:val="none" w:sz="0" w:space="0" w:color="auto"/>
                      </w:divBdr>
                    </w:div>
                  </w:divsChild>
                </w:div>
                <w:div w:id="1022629063">
                  <w:marLeft w:val="0"/>
                  <w:marRight w:val="0"/>
                  <w:marTop w:val="0"/>
                  <w:marBottom w:val="0"/>
                  <w:divBdr>
                    <w:top w:val="none" w:sz="0" w:space="0" w:color="auto"/>
                    <w:left w:val="none" w:sz="0" w:space="0" w:color="auto"/>
                    <w:bottom w:val="none" w:sz="0" w:space="0" w:color="auto"/>
                    <w:right w:val="none" w:sz="0" w:space="0" w:color="auto"/>
                  </w:divBdr>
                  <w:divsChild>
                    <w:div w:id="44261468">
                      <w:marLeft w:val="0"/>
                      <w:marRight w:val="0"/>
                      <w:marTop w:val="0"/>
                      <w:marBottom w:val="0"/>
                      <w:divBdr>
                        <w:top w:val="none" w:sz="0" w:space="0" w:color="auto"/>
                        <w:left w:val="none" w:sz="0" w:space="0" w:color="auto"/>
                        <w:bottom w:val="none" w:sz="0" w:space="0" w:color="auto"/>
                        <w:right w:val="none" w:sz="0" w:space="0" w:color="auto"/>
                      </w:divBdr>
                    </w:div>
                  </w:divsChild>
                </w:div>
                <w:div w:id="1376738601">
                  <w:marLeft w:val="0"/>
                  <w:marRight w:val="0"/>
                  <w:marTop w:val="0"/>
                  <w:marBottom w:val="0"/>
                  <w:divBdr>
                    <w:top w:val="none" w:sz="0" w:space="0" w:color="auto"/>
                    <w:left w:val="none" w:sz="0" w:space="0" w:color="auto"/>
                    <w:bottom w:val="none" w:sz="0" w:space="0" w:color="auto"/>
                    <w:right w:val="none" w:sz="0" w:space="0" w:color="auto"/>
                  </w:divBdr>
                  <w:divsChild>
                    <w:div w:id="786049743">
                      <w:marLeft w:val="0"/>
                      <w:marRight w:val="0"/>
                      <w:marTop w:val="0"/>
                      <w:marBottom w:val="0"/>
                      <w:divBdr>
                        <w:top w:val="none" w:sz="0" w:space="0" w:color="auto"/>
                        <w:left w:val="none" w:sz="0" w:space="0" w:color="auto"/>
                        <w:bottom w:val="none" w:sz="0" w:space="0" w:color="auto"/>
                        <w:right w:val="none" w:sz="0" w:space="0" w:color="auto"/>
                      </w:divBdr>
                    </w:div>
                  </w:divsChild>
                </w:div>
                <w:div w:id="1142162240">
                  <w:marLeft w:val="0"/>
                  <w:marRight w:val="0"/>
                  <w:marTop w:val="0"/>
                  <w:marBottom w:val="0"/>
                  <w:divBdr>
                    <w:top w:val="none" w:sz="0" w:space="0" w:color="auto"/>
                    <w:left w:val="none" w:sz="0" w:space="0" w:color="auto"/>
                    <w:bottom w:val="none" w:sz="0" w:space="0" w:color="auto"/>
                    <w:right w:val="none" w:sz="0" w:space="0" w:color="auto"/>
                  </w:divBdr>
                  <w:divsChild>
                    <w:div w:id="110981843">
                      <w:marLeft w:val="0"/>
                      <w:marRight w:val="0"/>
                      <w:marTop w:val="0"/>
                      <w:marBottom w:val="0"/>
                      <w:divBdr>
                        <w:top w:val="none" w:sz="0" w:space="0" w:color="auto"/>
                        <w:left w:val="none" w:sz="0" w:space="0" w:color="auto"/>
                        <w:bottom w:val="none" w:sz="0" w:space="0" w:color="auto"/>
                        <w:right w:val="none" w:sz="0" w:space="0" w:color="auto"/>
                      </w:divBdr>
                    </w:div>
                  </w:divsChild>
                </w:div>
                <w:div w:id="434792088">
                  <w:marLeft w:val="0"/>
                  <w:marRight w:val="0"/>
                  <w:marTop w:val="0"/>
                  <w:marBottom w:val="0"/>
                  <w:divBdr>
                    <w:top w:val="none" w:sz="0" w:space="0" w:color="auto"/>
                    <w:left w:val="none" w:sz="0" w:space="0" w:color="auto"/>
                    <w:bottom w:val="none" w:sz="0" w:space="0" w:color="auto"/>
                    <w:right w:val="none" w:sz="0" w:space="0" w:color="auto"/>
                  </w:divBdr>
                  <w:divsChild>
                    <w:div w:id="7842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722754086">
      <w:bodyDiv w:val="1"/>
      <w:marLeft w:val="0"/>
      <w:marRight w:val="0"/>
      <w:marTop w:val="0"/>
      <w:marBottom w:val="0"/>
      <w:divBdr>
        <w:top w:val="none" w:sz="0" w:space="0" w:color="auto"/>
        <w:left w:val="none" w:sz="0" w:space="0" w:color="auto"/>
        <w:bottom w:val="none" w:sz="0" w:space="0" w:color="auto"/>
        <w:right w:val="none" w:sz="0" w:space="0" w:color="auto"/>
      </w:divBdr>
      <w:divsChild>
        <w:div w:id="1720320322">
          <w:marLeft w:val="0"/>
          <w:marRight w:val="0"/>
          <w:marTop w:val="0"/>
          <w:marBottom w:val="0"/>
          <w:divBdr>
            <w:top w:val="none" w:sz="0" w:space="0" w:color="auto"/>
            <w:left w:val="none" w:sz="0" w:space="0" w:color="auto"/>
            <w:bottom w:val="none" w:sz="0" w:space="0" w:color="auto"/>
            <w:right w:val="none" w:sz="0" w:space="0" w:color="auto"/>
          </w:divBdr>
          <w:divsChild>
            <w:div w:id="1267419594">
              <w:marLeft w:val="0"/>
              <w:marRight w:val="0"/>
              <w:marTop w:val="0"/>
              <w:marBottom w:val="0"/>
              <w:divBdr>
                <w:top w:val="none" w:sz="0" w:space="0" w:color="auto"/>
                <w:left w:val="none" w:sz="0" w:space="0" w:color="auto"/>
                <w:bottom w:val="none" w:sz="0" w:space="0" w:color="auto"/>
                <w:right w:val="none" w:sz="0" w:space="0" w:color="auto"/>
              </w:divBdr>
            </w:div>
          </w:divsChild>
        </w:div>
        <w:div w:id="915555698">
          <w:marLeft w:val="0"/>
          <w:marRight w:val="0"/>
          <w:marTop w:val="0"/>
          <w:marBottom w:val="0"/>
          <w:divBdr>
            <w:top w:val="none" w:sz="0" w:space="0" w:color="auto"/>
            <w:left w:val="none" w:sz="0" w:space="0" w:color="auto"/>
            <w:bottom w:val="none" w:sz="0" w:space="0" w:color="auto"/>
            <w:right w:val="none" w:sz="0" w:space="0" w:color="auto"/>
          </w:divBdr>
          <w:divsChild>
            <w:div w:id="908926356">
              <w:marLeft w:val="0"/>
              <w:marRight w:val="0"/>
              <w:marTop w:val="0"/>
              <w:marBottom w:val="0"/>
              <w:divBdr>
                <w:top w:val="none" w:sz="0" w:space="0" w:color="auto"/>
                <w:left w:val="none" w:sz="0" w:space="0" w:color="auto"/>
                <w:bottom w:val="none" w:sz="0" w:space="0" w:color="auto"/>
                <w:right w:val="none" w:sz="0" w:space="0" w:color="auto"/>
              </w:divBdr>
            </w:div>
          </w:divsChild>
        </w:div>
        <w:div w:id="1227914275">
          <w:marLeft w:val="0"/>
          <w:marRight w:val="0"/>
          <w:marTop w:val="0"/>
          <w:marBottom w:val="0"/>
          <w:divBdr>
            <w:top w:val="none" w:sz="0" w:space="0" w:color="auto"/>
            <w:left w:val="none" w:sz="0" w:space="0" w:color="auto"/>
            <w:bottom w:val="none" w:sz="0" w:space="0" w:color="auto"/>
            <w:right w:val="none" w:sz="0" w:space="0" w:color="auto"/>
          </w:divBdr>
          <w:divsChild>
            <w:div w:id="843859047">
              <w:marLeft w:val="0"/>
              <w:marRight w:val="0"/>
              <w:marTop w:val="0"/>
              <w:marBottom w:val="0"/>
              <w:divBdr>
                <w:top w:val="none" w:sz="0" w:space="0" w:color="auto"/>
                <w:left w:val="none" w:sz="0" w:space="0" w:color="auto"/>
                <w:bottom w:val="none" w:sz="0" w:space="0" w:color="auto"/>
                <w:right w:val="none" w:sz="0" w:space="0" w:color="auto"/>
              </w:divBdr>
            </w:div>
          </w:divsChild>
        </w:div>
        <w:div w:id="847332666">
          <w:marLeft w:val="0"/>
          <w:marRight w:val="0"/>
          <w:marTop w:val="0"/>
          <w:marBottom w:val="0"/>
          <w:divBdr>
            <w:top w:val="none" w:sz="0" w:space="0" w:color="auto"/>
            <w:left w:val="none" w:sz="0" w:space="0" w:color="auto"/>
            <w:bottom w:val="none" w:sz="0" w:space="0" w:color="auto"/>
            <w:right w:val="none" w:sz="0" w:space="0" w:color="auto"/>
          </w:divBdr>
          <w:divsChild>
            <w:div w:id="18282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7102">
      <w:bodyDiv w:val="1"/>
      <w:marLeft w:val="0"/>
      <w:marRight w:val="0"/>
      <w:marTop w:val="0"/>
      <w:marBottom w:val="0"/>
      <w:divBdr>
        <w:top w:val="none" w:sz="0" w:space="0" w:color="auto"/>
        <w:left w:val="none" w:sz="0" w:space="0" w:color="auto"/>
        <w:bottom w:val="none" w:sz="0" w:space="0" w:color="auto"/>
        <w:right w:val="none" w:sz="0" w:space="0" w:color="auto"/>
      </w:divBdr>
      <w:divsChild>
        <w:div w:id="2082407992">
          <w:marLeft w:val="0"/>
          <w:marRight w:val="0"/>
          <w:marTop w:val="0"/>
          <w:marBottom w:val="0"/>
          <w:divBdr>
            <w:top w:val="none" w:sz="0" w:space="0" w:color="auto"/>
            <w:left w:val="none" w:sz="0" w:space="0" w:color="auto"/>
            <w:bottom w:val="none" w:sz="0" w:space="0" w:color="auto"/>
            <w:right w:val="none" w:sz="0" w:space="0" w:color="auto"/>
          </w:divBdr>
          <w:divsChild>
            <w:div w:id="673726905">
              <w:marLeft w:val="0"/>
              <w:marRight w:val="0"/>
              <w:marTop w:val="0"/>
              <w:marBottom w:val="0"/>
              <w:divBdr>
                <w:top w:val="none" w:sz="0" w:space="0" w:color="auto"/>
                <w:left w:val="none" w:sz="0" w:space="0" w:color="auto"/>
                <w:bottom w:val="none" w:sz="0" w:space="0" w:color="auto"/>
                <w:right w:val="none" w:sz="0" w:space="0" w:color="auto"/>
              </w:divBdr>
              <w:divsChild>
                <w:div w:id="11963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1653">
      <w:bodyDiv w:val="1"/>
      <w:marLeft w:val="0"/>
      <w:marRight w:val="0"/>
      <w:marTop w:val="0"/>
      <w:marBottom w:val="0"/>
      <w:divBdr>
        <w:top w:val="none" w:sz="0" w:space="0" w:color="auto"/>
        <w:left w:val="none" w:sz="0" w:space="0" w:color="auto"/>
        <w:bottom w:val="none" w:sz="0" w:space="0" w:color="auto"/>
        <w:right w:val="none" w:sz="0" w:space="0" w:color="auto"/>
      </w:divBdr>
      <w:divsChild>
        <w:div w:id="584412447">
          <w:marLeft w:val="0"/>
          <w:marRight w:val="0"/>
          <w:marTop w:val="0"/>
          <w:marBottom w:val="0"/>
          <w:divBdr>
            <w:top w:val="none" w:sz="0" w:space="0" w:color="auto"/>
            <w:left w:val="none" w:sz="0" w:space="0" w:color="auto"/>
            <w:bottom w:val="none" w:sz="0" w:space="0" w:color="auto"/>
            <w:right w:val="none" w:sz="0" w:space="0" w:color="auto"/>
          </w:divBdr>
          <w:divsChild>
            <w:div w:id="1128400403">
              <w:marLeft w:val="0"/>
              <w:marRight w:val="0"/>
              <w:marTop w:val="0"/>
              <w:marBottom w:val="0"/>
              <w:divBdr>
                <w:top w:val="none" w:sz="0" w:space="0" w:color="auto"/>
                <w:left w:val="none" w:sz="0" w:space="0" w:color="auto"/>
                <w:bottom w:val="none" w:sz="0" w:space="0" w:color="auto"/>
                <w:right w:val="none" w:sz="0" w:space="0" w:color="auto"/>
              </w:divBdr>
            </w:div>
          </w:divsChild>
        </w:div>
        <w:div w:id="494343170">
          <w:marLeft w:val="0"/>
          <w:marRight w:val="0"/>
          <w:marTop w:val="0"/>
          <w:marBottom w:val="0"/>
          <w:divBdr>
            <w:top w:val="none" w:sz="0" w:space="0" w:color="auto"/>
            <w:left w:val="none" w:sz="0" w:space="0" w:color="auto"/>
            <w:bottom w:val="none" w:sz="0" w:space="0" w:color="auto"/>
            <w:right w:val="none" w:sz="0" w:space="0" w:color="auto"/>
          </w:divBdr>
          <w:divsChild>
            <w:div w:id="2024671026">
              <w:marLeft w:val="0"/>
              <w:marRight w:val="0"/>
              <w:marTop w:val="0"/>
              <w:marBottom w:val="0"/>
              <w:divBdr>
                <w:top w:val="none" w:sz="0" w:space="0" w:color="auto"/>
                <w:left w:val="none" w:sz="0" w:space="0" w:color="auto"/>
                <w:bottom w:val="none" w:sz="0" w:space="0" w:color="auto"/>
                <w:right w:val="none" w:sz="0" w:space="0" w:color="auto"/>
              </w:divBdr>
            </w:div>
          </w:divsChild>
        </w:div>
        <w:div w:id="2119983299">
          <w:marLeft w:val="0"/>
          <w:marRight w:val="0"/>
          <w:marTop w:val="0"/>
          <w:marBottom w:val="0"/>
          <w:divBdr>
            <w:top w:val="none" w:sz="0" w:space="0" w:color="auto"/>
            <w:left w:val="none" w:sz="0" w:space="0" w:color="auto"/>
            <w:bottom w:val="none" w:sz="0" w:space="0" w:color="auto"/>
            <w:right w:val="none" w:sz="0" w:space="0" w:color="auto"/>
          </w:divBdr>
          <w:divsChild>
            <w:div w:id="367874517">
              <w:marLeft w:val="0"/>
              <w:marRight w:val="0"/>
              <w:marTop w:val="0"/>
              <w:marBottom w:val="0"/>
              <w:divBdr>
                <w:top w:val="none" w:sz="0" w:space="0" w:color="auto"/>
                <w:left w:val="none" w:sz="0" w:space="0" w:color="auto"/>
                <w:bottom w:val="none" w:sz="0" w:space="0" w:color="auto"/>
                <w:right w:val="none" w:sz="0" w:space="0" w:color="auto"/>
              </w:divBdr>
            </w:div>
          </w:divsChild>
        </w:div>
        <w:div w:id="196813893">
          <w:marLeft w:val="0"/>
          <w:marRight w:val="0"/>
          <w:marTop w:val="0"/>
          <w:marBottom w:val="0"/>
          <w:divBdr>
            <w:top w:val="none" w:sz="0" w:space="0" w:color="auto"/>
            <w:left w:val="none" w:sz="0" w:space="0" w:color="auto"/>
            <w:bottom w:val="none" w:sz="0" w:space="0" w:color="auto"/>
            <w:right w:val="none" w:sz="0" w:space="0" w:color="auto"/>
          </w:divBdr>
          <w:divsChild>
            <w:div w:id="764688985">
              <w:marLeft w:val="0"/>
              <w:marRight w:val="0"/>
              <w:marTop w:val="0"/>
              <w:marBottom w:val="0"/>
              <w:divBdr>
                <w:top w:val="none" w:sz="0" w:space="0" w:color="auto"/>
                <w:left w:val="none" w:sz="0" w:space="0" w:color="auto"/>
                <w:bottom w:val="none" w:sz="0" w:space="0" w:color="auto"/>
                <w:right w:val="none" w:sz="0" w:space="0" w:color="auto"/>
              </w:divBdr>
            </w:div>
          </w:divsChild>
        </w:div>
        <w:div w:id="1591697839">
          <w:marLeft w:val="0"/>
          <w:marRight w:val="0"/>
          <w:marTop w:val="0"/>
          <w:marBottom w:val="0"/>
          <w:divBdr>
            <w:top w:val="none" w:sz="0" w:space="0" w:color="auto"/>
            <w:left w:val="none" w:sz="0" w:space="0" w:color="auto"/>
            <w:bottom w:val="none" w:sz="0" w:space="0" w:color="auto"/>
            <w:right w:val="none" w:sz="0" w:space="0" w:color="auto"/>
          </w:divBdr>
          <w:divsChild>
            <w:div w:id="242956898">
              <w:marLeft w:val="0"/>
              <w:marRight w:val="0"/>
              <w:marTop w:val="0"/>
              <w:marBottom w:val="0"/>
              <w:divBdr>
                <w:top w:val="none" w:sz="0" w:space="0" w:color="auto"/>
                <w:left w:val="none" w:sz="0" w:space="0" w:color="auto"/>
                <w:bottom w:val="none" w:sz="0" w:space="0" w:color="auto"/>
                <w:right w:val="none" w:sz="0" w:space="0" w:color="auto"/>
              </w:divBdr>
            </w:div>
          </w:divsChild>
        </w:div>
        <w:div w:id="1335689895">
          <w:marLeft w:val="0"/>
          <w:marRight w:val="0"/>
          <w:marTop w:val="0"/>
          <w:marBottom w:val="0"/>
          <w:divBdr>
            <w:top w:val="none" w:sz="0" w:space="0" w:color="auto"/>
            <w:left w:val="none" w:sz="0" w:space="0" w:color="auto"/>
            <w:bottom w:val="none" w:sz="0" w:space="0" w:color="auto"/>
            <w:right w:val="none" w:sz="0" w:space="0" w:color="auto"/>
          </w:divBdr>
          <w:divsChild>
            <w:div w:id="672151668">
              <w:marLeft w:val="0"/>
              <w:marRight w:val="0"/>
              <w:marTop w:val="0"/>
              <w:marBottom w:val="0"/>
              <w:divBdr>
                <w:top w:val="none" w:sz="0" w:space="0" w:color="auto"/>
                <w:left w:val="none" w:sz="0" w:space="0" w:color="auto"/>
                <w:bottom w:val="none" w:sz="0" w:space="0" w:color="auto"/>
                <w:right w:val="none" w:sz="0" w:space="0" w:color="auto"/>
              </w:divBdr>
            </w:div>
          </w:divsChild>
        </w:div>
        <w:div w:id="127360724">
          <w:marLeft w:val="0"/>
          <w:marRight w:val="0"/>
          <w:marTop w:val="0"/>
          <w:marBottom w:val="0"/>
          <w:divBdr>
            <w:top w:val="none" w:sz="0" w:space="0" w:color="auto"/>
            <w:left w:val="none" w:sz="0" w:space="0" w:color="auto"/>
            <w:bottom w:val="none" w:sz="0" w:space="0" w:color="auto"/>
            <w:right w:val="none" w:sz="0" w:space="0" w:color="auto"/>
          </w:divBdr>
          <w:divsChild>
            <w:div w:id="1238907451">
              <w:marLeft w:val="0"/>
              <w:marRight w:val="0"/>
              <w:marTop w:val="0"/>
              <w:marBottom w:val="0"/>
              <w:divBdr>
                <w:top w:val="none" w:sz="0" w:space="0" w:color="auto"/>
                <w:left w:val="none" w:sz="0" w:space="0" w:color="auto"/>
                <w:bottom w:val="none" w:sz="0" w:space="0" w:color="auto"/>
                <w:right w:val="none" w:sz="0" w:space="0" w:color="auto"/>
              </w:divBdr>
            </w:div>
          </w:divsChild>
        </w:div>
        <w:div w:id="1516991858">
          <w:marLeft w:val="0"/>
          <w:marRight w:val="0"/>
          <w:marTop w:val="0"/>
          <w:marBottom w:val="0"/>
          <w:divBdr>
            <w:top w:val="none" w:sz="0" w:space="0" w:color="auto"/>
            <w:left w:val="none" w:sz="0" w:space="0" w:color="auto"/>
            <w:bottom w:val="none" w:sz="0" w:space="0" w:color="auto"/>
            <w:right w:val="none" w:sz="0" w:space="0" w:color="auto"/>
          </w:divBdr>
          <w:divsChild>
            <w:div w:id="2085298184">
              <w:marLeft w:val="0"/>
              <w:marRight w:val="0"/>
              <w:marTop w:val="0"/>
              <w:marBottom w:val="0"/>
              <w:divBdr>
                <w:top w:val="none" w:sz="0" w:space="0" w:color="auto"/>
                <w:left w:val="none" w:sz="0" w:space="0" w:color="auto"/>
                <w:bottom w:val="none" w:sz="0" w:space="0" w:color="auto"/>
                <w:right w:val="none" w:sz="0" w:space="0" w:color="auto"/>
              </w:divBdr>
            </w:div>
          </w:divsChild>
        </w:div>
        <w:div w:id="2056738070">
          <w:marLeft w:val="0"/>
          <w:marRight w:val="0"/>
          <w:marTop w:val="0"/>
          <w:marBottom w:val="0"/>
          <w:divBdr>
            <w:top w:val="none" w:sz="0" w:space="0" w:color="auto"/>
            <w:left w:val="none" w:sz="0" w:space="0" w:color="auto"/>
            <w:bottom w:val="none" w:sz="0" w:space="0" w:color="auto"/>
            <w:right w:val="none" w:sz="0" w:space="0" w:color="auto"/>
          </w:divBdr>
          <w:divsChild>
            <w:div w:id="1070032356">
              <w:marLeft w:val="0"/>
              <w:marRight w:val="0"/>
              <w:marTop w:val="0"/>
              <w:marBottom w:val="0"/>
              <w:divBdr>
                <w:top w:val="none" w:sz="0" w:space="0" w:color="auto"/>
                <w:left w:val="none" w:sz="0" w:space="0" w:color="auto"/>
                <w:bottom w:val="none" w:sz="0" w:space="0" w:color="auto"/>
                <w:right w:val="none" w:sz="0" w:space="0" w:color="auto"/>
              </w:divBdr>
            </w:div>
          </w:divsChild>
        </w:div>
        <w:div w:id="1544365043">
          <w:marLeft w:val="0"/>
          <w:marRight w:val="0"/>
          <w:marTop w:val="0"/>
          <w:marBottom w:val="0"/>
          <w:divBdr>
            <w:top w:val="none" w:sz="0" w:space="0" w:color="auto"/>
            <w:left w:val="none" w:sz="0" w:space="0" w:color="auto"/>
            <w:bottom w:val="none" w:sz="0" w:space="0" w:color="auto"/>
            <w:right w:val="none" w:sz="0" w:space="0" w:color="auto"/>
          </w:divBdr>
          <w:divsChild>
            <w:div w:id="1427379657">
              <w:marLeft w:val="0"/>
              <w:marRight w:val="0"/>
              <w:marTop w:val="0"/>
              <w:marBottom w:val="0"/>
              <w:divBdr>
                <w:top w:val="none" w:sz="0" w:space="0" w:color="auto"/>
                <w:left w:val="none" w:sz="0" w:space="0" w:color="auto"/>
                <w:bottom w:val="none" w:sz="0" w:space="0" w:color="auto"/>
                <w:right w:val="none" w:sz="0" w:space="0" w:color="auto"/>
              </w:divBdr>
            </w:div>
          </w:divsChild>
        </w:div>
        <w:div w:id="1277327881">
          <w:marLeft w:val="0"/>
          <w:marRight w:val="0"/>
          <w:marTop w:val="0"/>
          <w:marBottom w:val="0"/>
          <w:divBdr>
            <w:top w:val="none" w:sz="0" w:space="0" w:color="auto"/>
            <w:left w:val="none" w:sz="0" w:space="0" w:color="auto"/>
            <w:bottom w:val="none" w:sz="0" w:space="0" w:color="auto"/>
            <w:right w:val="none" w:sz="0" w:space="0" w:color="auto"/>
          </w:divBdr>
          <w:divsChild>
            <w:div w:id="684283648">
              <w:marLeft w:val="0"/>
              <w:marRight w:val="0"/>
              <w:marTop w:val="0"/>
              <w:marBottom w:val="0"/>
              <w:divBdr>
                <w:top w:val="none" w:sz="0" w:space="0" w:color="auto"/>
                <w:left w:val="none" w:sz="0" w:space="0" w:color="auto"/>
                <w:bottom w:val="none" w:sz="0" w:space="0" w:color="auto"/>
                <w:right w:val="none" w:sz="0" w:space="0" w:color="auto"/>
              </w:divBdr>
            </w:div>
          </w:divsChild>
        </w:div>
        <w:div w:id="1873303869">
          <w:marLeft w:val="0"/>
          <w:marRight w:val="0"/>
          <w:marTop w:val="0"/>
          <w:marBottom w:val="0"/>
          <w:divBdr>
            <w:top w:val="none" w:sz="0" w:space="0" w:color="auto"/>
            <w:left w:val="none" w:sz="0" w:space="0" w:color="auto"/>
            <w:bottom w:val="none" w:sz="0" w:space="0" w:color="auto"/>
            <w:right w:val="none" w:sz="0" w:space="0" w:color="auto"/>
          </w:divBdr>
          <w:divsChild>
            <w:div w:id="1271933728">
              <w:marLeft w:val="0"/>
              <w:marRight w:val="0"/>
              <w:marTop w:val="0"/>
              <w:marBottom w:val="0"/>
              <w:divBdr>
                <w:top w:val="none" w:sz="0" w:space="0" w:color="auto"/>
                <w:left w:val="none" w:sz="0" w:space="0" w:color="auto"/>
                <w:bottom w:val="none" w:sz="0" w:space="0" w:color="auto"/>
                <w:right w:val="none" w:sz="0" w:space="0" w:color="auto"/>
              </w:divBdr>
            </w:div>
          </w:divsChild>
        </w:div>
        <w:div w:id="1027098566">
          <w:marLeft w:val="0"/>
          <w:marRight w:val="0"/>
          <w:marTop w:val="0"/>
          <w:marBottom w:val="0"/>
          <w:divBdr>
            <w:top w:val="none" w:sz="0" w:space="0" w:color="auto"/>
            <w:left w:val="none" w:sz="0" w:space="0" w:color="auto"/>
            <w:bottom w:val="none" w:sz="0" w:space="0" w:color="auto"/>
            <w:right w:val="none" w:sz="0" w:space="0" w:color="auto"/>
          </w:divBdr>
          <w:divsChild>
            <w:div w:id="742531366">
              <w:marLeft w:val="0"/>
              <w:marRight w:val="0"/>
              <w:marTop w:val="0"/>
              <w:marBottom w:val="0"/>
              <w:divBdr>
                <w:top w:val="none" w:sz="0" w:space="0" w:color="auto"/>
                <w:left w:val="none" w:sz="0" w:space="0" w:color="auto"/>
                <w:bottom w:val="none" w:sz="0" w:space="0" w:color="auto"/>
                <w:right w:val="none" w:sz="0" w:space="0" w:color="auto"/>
              </w:divBdr>
            </w:div>
          </w:divsChild>
        </w:div>
        <w:div w:id="452402459">
          <w:marLeft w:val="0"/>
          <w:marRight w:val="0"/>
          <w:marTop w:val="0"/>
          <w:marBottom w:val="0"/>
          <w:divBdr>
            <w:top w:val="none" w:sz="0" w:space="0" w:color="auto"/>
            <w:left w:val="none" w:sz="0" w:space="0" w:color="auto"/>
            <w:bottom w:val="none" w:sz="0" w:space="0" w:color="auto"/>
            <w:right w:val="none" w:sz="0" w:space="0" w:color="auto"/>
          </w:divBdr>
          <w:divsChild>
            <w:div w:id="652954520">
              <w:marLeft w:val="0"/>
              <w:marRight w:val="0"/>
              <w:marTop w:val="0"/>
              <w:marBottom w:val="0"/>
              <w:divBdr>
                <w:top w:val="none" w:sz="0" w:space="0" w:color="auto"/>
                <w:left w:val="none" w:sz="0" w:space="0" w:color="auto"/>
                <w:bottom w:val="none" w:sz="0" w:space="0" w:color="auto"/>
                <w:right w:val="none" w:sz="0" w:space="0" w:color="auto"/>
              </w:divBdr>
            </w:div>
          </w:divsChild>
        </w:div>
        <w:div w:id="667828345">
          <w:marLeft w:val="0"/>
          <w:marRight w:val="0"/>
          <w:marTop w:val="0"/>
          <w:marBottom w:val="0"/>
          <w:divBdr>
            <w:top w:val="none" w:sz="0" w:space="0" w:color="auto"/>
            <w:left w:val="none" w:sz="0" w:space="0" w:color="auto"/>
            <w:bottom w:val="none" w:sz="0" w:space="0" w:color="auto"/>
            <w:right w:val="none" w:sz="0" w:space="0" w:color="auto"/>
          </w:divBdr>
          <w:divsChild>
            <w:div w:id="844633611">
              <w:marLeft w:val="0"/>
              <w:marRight w:val="0"/>
              <w:marTop w:val="0"/>
              <w:marBottom w:val="0"/>
              <w:divBdr>
                <w:top w:val="none" w:sz="0" w:space="0" w:color="auto"/>
                <w:left w:val="none" w:sz="0" w:space="0" w:color="auto"/>
                <w:bottom w:val="none" w:sz="0" w:space="0" w:color="auto"/>
                <w:right w:val="none" w:sz="0" w:space="0" w:color="auto"/>
              </w:divBdr>
            </w:div>
          </w:divsChild>
        </w:div>
        <w:div w:id="523179082">
          <w:marLeft w:val="0"/>
          <w:marRight w:val="0"/>
          <w:marTop w:val="0"/>
          <w:marBottom w:val="0"/>
          <w:divBdr>
            <w:top w:val="none" w:sz="0" w:space="0" w:color="auto"/>
            <w:left w:val="none" w:sz="0" w:space="0" w:color="auto"/>
            <w:bottom w:val="none" w:sz="0" w:space="0" w:color="auto"/>
            <w:right w:val="none" w:sz="0" w:space="0" w:color="auto"/>
          </w:divBdr>
          <w:divsChild>
            <w:div w:id="1964576636">
              <w:marLeft w:val="0"/>
              <w:marRight w:val="0"/>
              <w:marTop w:val="0"/>
              <w:marBottom w:val="0"/>
              <w:divBdr>
                <w:top w:val="none" w:sz="0" w:space="0" w:color="auto"/>
                <w:left w:val="none" w:sz="0" w:space="0" w:color="auto"/>
                <w:bottom w:val="none" w:sz="0" w:space="0" w:color="auto"/>
                <w:right w:val="none" w:sz="0" w:space="0" w:color="auto"/>
              </w:divBdr>
            </w:div>
          </w:divsChild>
        </w:div>
        <w:div w:id="614362677">
          <w:marLeft w:val="0"/>
          <w:marRight w:val="0"/>
          <w:marTop w:val="0"/>
          <w:marBottom w:val="0"/>
          <w:divBdr>
            <w:top w:val="none" w:sz="0" w:space="0" w:color="auto"/>
            <w:left w:val="none" w:sz="0" w:space="0" w:color="auto"/>
            <w:bottom w:val="none" w:sz="0" w:space="0" w:color="auto"/>
            <w:right w:val="none" w:sz="0" w:space="0" w:color="auto"/>
          </w:divBdr>
          <w:divsChild>
            <w:div w:id="2054578284">
              <w:marLeft w:val="0"/>
              <w:marRight w:val="0"/>
              <w:marTop w:val="0"/>
              <w:marBottom w:val="0"/>
              <w:divBdr>
                <w:top w:val="none" w:sz="0" w:space="0" w:color="auto"/>
                <w:left w:val="none" w:sz="0" w:space="0" w:color="auto"/>
                <w:bottom w:val="none" w:sz="0" w:space="0" w:color="auto"/>
                <w:right w:val="none" w:sz="0" w:space="0" w:color="auto"/>
              </w:divBdr>
            </w:div>
          </w:divsChild>
        </w:div>
        <w:div w:id="1821386131">
          <w:marLeft w:val="0"/>
          <w:marRight w:val="0"/>
          <w:marTop w:val="0"/>
          <w:marBottom w:val="0"/>
          <w:divBdr>
            <w:top w:val="none" w:sz="0" w:space="0" w:color="auto"/>
            <w:left w:val="none" w:sz="0" w:space="0" w:color="auto"/>
            <w:bottom w:val="none" w:sz="0" w:space="0" w:color="auto"/>
            <w:right w:val="none" w:sz="0" w:space="0" w:color="auto"/>
          </w:divBdr>
          <w:divsChild>
            <w:div w:id="510417512">
              <w:marLeft w:val="0"/>
              <w:marRight w:val="0"/>
              <w:marTop w:val="0"/>
              <w:marBottom w:val="0"/>
              <w:divBdr>
                <w:top w:val="none" w:sz="0" w:space="0" w:color="auto"/>
                <w:left w:val="none" w:sz="0" w:space="0" w:color="auto"/>
                <w:bottom w:val="none" w:sz="0" w:space="0" w:color="auto"/>
                <w:right w:val="none" w:sz="0" w:space="0" w:color="auto"/>
              </w:divBdr>
            </w:div>
          </w:divsChild>
        </w:div>
        <w:div w:id="1272736872">
          <w:marLeft w:val="0"/>
          <w:marRight w:val="0"/>
          <w:marTop w:val="0"/>
          <w:marBottom w:val="0"/>
          <w:divBdr>
            <w:top w:val="none" w:sz="0" w:space="0" w:color="auto"/>
            <w:left w:val="none" w:sz="0" w:space="0" w:color="auto"/>
            <w:bottom w:val="none" w:sz="0" w:space="0" w:color="auto"/>
            <w:right w:val="none" w:sz="0" w:space="0" w:color="auto"/>
          </w:divBdr>
          <w:divsChild>
            <w:div w:id="271399872">
              <w:marLeft w:val="0"/>
              <w:marRight w:val="0"/>
              <w:marTop w:val="0"/>
              <w:marBottom w:val="0"/>
              <w:divBdr>
                <w:top w:val="none" w:sz="0" w:space="0" w:color="auto"/>
                <w:left w:val="none" w:sz="0" w:space="0" w:color="auto"/>
                <w:bottom w:val="none" w:sz="0" w:space="0" w:color="auto"/>
                <w:right w:val="none" w:sz="0" w:space="0" w:color="auto"/>
              </w:divBdr>
            </w:div>
          </w:divsChild>
        </w:div>
        <w:div w:id="1096243836">
          <w:marLeft w:val="0"/>
          <w:marRight w:val="0"/>
          <w:marTop w:val="0"/>
          <w:marBottom w:val="0"/>
          <w:divBdr>
            <w:top w:val="none" w:sz="0" w:space="0" w:color="auto"/>
            <w:left w:val="none" w:sz="0" w:space="0" w:color="auto"/>
            <w:bottom w:val="none" w:sz="0" w:space="0" w:color="auto"/>
            <w:right w:val="none" w:sz="0" w:space="0" w:color="auto"/>
          </w:divBdr>
          <w:divsChild>
            <w:div w:id="130682993">
              <w:marLeft w:val="0"/>
              <w:marRight w:val="0"/>
              <w:marTop w:val="0"/>
              <w:marBottom w:val="0"/>
              <w:divBdr>
                <w:top w:val="none" w:sz="0" w:space="0" w:color="auto"/>
                <w:left w:val="none" w:sz="0" w:space="0" w:color="auto"/>
                <w:bottom w:val="none" w:sz="0" w:space="0" w:color="auto"/>
                <w:right w:val="none" w:sz="0" w:space="0" w:color="auto"/>
              </w:divBdr>
            </w:div>
          </w:divsChild>
        </w:div>
        <w:div w:id="1590310647">
          <w:marLeft w:val="0"/>
          <w:marRight w:val="0"/>
          <w:marTop w:val="0"/>
          <w:marBottom w:val="0"/>
          <w:divBdr>
            <w:top w:val="none" w:sz="0" w:space="0" w:color="auto"/>
            <w:left w:val="none" w:sz="0" w:space="0" w:color="auto"/>
            <w:bottom w:val="none" w:sz="0" w:space="0" w:color="auto"/>
            <w:right w:val="none" w:sz="0" w:space="0" w:color="auto"/>
          </w:divBdr>
          <w:divsChild>
            <w:div w:id="1777752610">
              <w:marLeft w:val="0"/>
              <w:marRight w:val="0"/>
              <w:marTop w:val="0"/>
              <w:marBottom w:val="0"/>
              <w:divBdr>
                <w:top w:val="none" w:sz="0" w:space="0" w:color="auto"/>
                <w:left w:val="none" w:sz="0" w:space="0" w:color="auto"/>
                <w:bottom w:val="none" w:sz="0" w:space="0" w:color="auto"/>
                <w:right w:val="none" w:sz="0" w:space="0" w:color="auto"/>
              </w:divBdr>
            </w:div>
          </w:divsChild>
        </w:div>
        <w:div w:id="2009559445">
          <w:marLeft w:val="0"/>
          <w:marRight w:val="0"/>
          <w:marTop w:val="0"/>
          <w:marBottom w:val="0"/>
          <w:divBdr>
            <w:top w:val="none" w:sz="0" w:space="0" w:color="auto"/>
            <w:left w:val="none" w:sz="0" w:space="0" w:color="auto"/>
            <w:bottom w:val="none" w:sz="0" w:space="0" w:color="auto"/>
            <w:right w:val="none" w:sz="0" w:space="0" w:color="auto"/>
          </w:divBdr>
          <w:divsChild>
            <w:div w:id="803812002">
              <w:marLeft w:val="0"/>
              <w:marRight w:val="0"/>
              <w:marTop w:val="0"/>
              <w:marBottom w:val="0"/>
              <w:divBdr>
                <w:top w:val="none" w:sz="0" w:space="0" w:color="auto"/>
                <w:left w:val="none" w:sz="0" w:space="0" w:color="auto"/>
                <w:bottom w:val="none" w:sz="0" w:space="0" w:color="auto"/>
                <w:right w:val="none" w:sz="0" w:space="0" w:color="auto"/>
              </w:divBdr>
            </w:div>
          </w:divsChild>
        </w:div>
        <w:div w:id="655912696">
          <w:marLeft w:val="0"/>
          <w:marRight w:val="0"/>
          <w:marTop w:val="0"/>
          <w:marBottom w:val="0"/>
          <w:divBdr>
            <w:top w:val="none" w:sz="0" w:space="0" w:color="auto"/>
            <w:left w:val="none" w:sz="0" w:space="0" w:color="auto"/>
            <w:bottom w:val="none" w:sz="0" w:space="0" w:color="auto"/>
            <w:right w:val="none" w:sz="0" w:space="0" w:color="auto"/>
          </w:divBdr>
          <w:divsChild>
            <w:div w:id="110126442">
              <w:marLeft w:val="0"/>
              <w:marRight w:val="0"/>
              <w:marTop w:val="0"/>
              <w:marBottom w:val="0"/>
              <w:divBdr>
                <w:top w:val="none" w:sz="0" w:space="0" w:color="auto"/>
                <w:left w:val="none" w:sz="0" w:space="0" w:color="auto"/>
                <w:bottom w:val="none" w:sz="0" w:space="0" w:color="auto"/>
                <w:right w:val="none" w:sz="0" w:space="0" w:color="auto"/>
              </w:divBdr>
            </w:div>
          </w:divsChild>
        </w:div>
        <w:div w:id="1843350947">
          <w:marLeft w:val="0"/>
          <w:marRight w:val="0"/>
          <w:marTop w:val="0"/>
          <w:marBottom w:val="0"/>
          <w:divBdr>
            <w:top w:val="none" w:sz="0" w:space="0" w:color="auto"/>
            <w:left w:val="none" w:sz="0" w:space="0" w:color="auto"/>
            <w:bottom w:val="none" w:sz="0" w:space="0" w:color="auto"/>
            <w:right w:val="none" w:sz="0" w:space="0" w:color="auto"/>
          </w:divBdr>
          <w:divsChild>
            <w:div w:id="1401561738">
              <w:marLeft w:val="0"/>
              <w:marRight w:val="0"/>
              <w:marTop w:val="0"/>
              <w:marBottom w:val="0"/>
              <w:divBdr>
                <w:top w:val="none" w:sz="0" w:space="0" w:color="auto"/>
                <w:left w:val="none" w:sz="0" w:space="0" w:color="auto"/>
                <w:bottom w:val="none" w:sz="0" w:space="0" w:color="auto"/>
                <w:right w:val="none" w:sz="0" w:space="0" w:color="auto"/>
              </w:divBdr>
            </w:div>
            <w:div w:id="353576425">
              <w:marLeft w:val="0"/>
              <w:marRight w:val="0"/>
              <w:marTop w:val="0"/>
              <w:marBottom w:val="0"/>
              <w:divBdr>
                <w:top w:val="none" w:sz="0" w:space="0" w:color="auto"/>
                <w:left w:val="none" w:sz="0" w:space="0" w:color="auto"/>
                <w:bottom w:val="none" w:sz="0" w:space="0" w:color="auto"/>
                <w:right w:val="none" w:sz="0" w:space="0" w:color="auto"/>
              </w:divBdr>
            </w:div>
          </w:divsChild>
        </w:div>
        <w:div w:id="170682631">
          <w:marLeft w:val="0"/>
          <w:marRight w:val="0"/>
          <w:marTop w:val="0"/>
          <w:marBottom w:val="0"/>
          <w:divBdr>
            <w:top w:val="none" w:sz="0" w:space="0" w:color="auto"/>
            <w:left w:val="none" w:sz="0" w:space="0" w:color="auto"/>
            <w:bottom w:val="none" w:sz="0" w:space="0" w:color="auto"/>
            <w:right w:val="none" w:sz="0" w:space="0" w:color="auto"/>
          </w:divBdr>
          <w:divsChild>
            <w:div w:id="2114545914">
              <w:marLeft w:val="0"/>
              <w:marRight w:val="0"/>
              <w:marTop w:val="0"/>
              <w:marBottom w:val="0"/>
              <w:divBdr>
                <w:top w:val="none" w:sz="0" w:space="0" w:color="auto"/>
                <w:left w:val="none" w:sz="0" w:space="0" w:color="auto"/>
                <w:bottom w:val="none" w:sz="0" w:space="0" w:color="auto"/>
                <w:right w:val="none" w:sz="0" w:space="0" w:color="auto"/>
              </w:divBdr>
            </w:div>
            <w:div w:id="1451048641">
              <w:marLeft w:val="0"/>
              <w:marRight w:val="0"/>
              <w:marTop w:val="0"/>
              <w:marBottom w:val="0"/>
              <w:divBdr>
                <w:top w:val="none" w:sz="0" w:space="0" w:color="auto"/>
                <w:left w:val="none" w:sz="0" w:space="0" w:color="auto"/>
                <w:bottom w:val="none" w:sz="0" w:space="0" w:color="auto"/>
                <w:right w:val="none" w:sz="0" w:space="0" w:color="auto"/>
              </w:divBdr>
            </w:div>
          </w:divsChild>
        </w:div>
        <w:div w:id="490634745">
          <w:marLeft w:val="0"/>
          <w:marRight w:val="0"/>
          <w:marTop w:val="0"/>
          <w:marBottom w:val="0"/>
          <w:divBdr>
            <w:top w:val="none" w:sz="0" w:space="0" w:color="auto"/>
            <w:left w:val="none" w:sz="0" w:space="0" w:color="auto"/>
            <w:bottom w:val="none" w:sz="0" w:space="0" w:color="auto"/>
            <w:right w:val="none" w:sz="0" w:space="0" w:color="auto"/>
          </w:divBdr>
          <w:divsChild>
            <w:div w:id="1333794792">
              <w:marLeft w:val="0"/>
              <w:marRight w:val="0"/>
              <w:marTop w:val="0"/>
              <w:marBottom w:val="0"/>
              <w:divBdr>
                <w:top w:val="none" w:sz="0" w:space="0" w:color="auto"/>
                <w:left w:val="none" w:sz="0" w:space="0" w:color="auto"/>
                <w:bottom w:val="none" w:sz="0" w:space="0" w:color="auto"/>
                <w:right w:val="none" w:sz="0" w:space="0" w:color="auto"/>
              </w:divBdr>
            </w:div>
          </w:divsChild>
        </w:div>
        <w:div w:id="1377467737">
          <w:marLeft w:val="0"/>
          <w:marRight w:val="0"/>
          <w:marTop w:val="0"/>
          <w:marBottom w:val="0"/>
          <w:divBdr>
            <w:top w:val="none" w:sz="0" w:space="0" w:color="auto"/>
            <w:left w:val="none" w:sz="0" w:space="0" w:color="auto"/>
            <w:bottom w:val="none" w:sz="0" w:space="0" w:color="auto"/>
            <w:right w:val="none" w:sz="0" w:space="0" w:color="auto"/>
          </w:divBdr>
          <w:divsChild>
            <w:div w:id="1518957865">
              <w:marLeft w:val="0"/>
              <w:marRight w:val="0"/>
              <w:marTop w:val="0"/>
              <w:marBottom w:val="0"/>
              <w:divBdr>
                <w:top w:val="none" w:sz="0" w:space="0" w:color="auto"/>
                <w:left w:val="none" w:sz="0" w:space="0" w:color="auto"/>
                <w:bottom w:val="none" w:sz="0" w:space="0" w:color="auto"/>
                <w:right w:val="none" w:sz="0" w:space="0" w:color="auto"/>
              </w:divBdr>
            </w:div>
          </w:divsChild>
        </w:div>
        <w:div w:id="564419173">
          <w:marLeft w:val="0"/>
          <w:marRight w:val="0"/>
          <w:marTop w:val="0"/>
          <w:marBottom w:val="0"/>
          <w:divBdr>
            <w:top w:val="none" w:sz="0" w:space="0" w:color="auto"/>
            <w:left w:val="none" w:sz="0" w:space="0" w:color="auto"/>
            <w:bottom w:val="none" w:sz="0" w:space="0" w:color="auto"/>
            <w:right w:val="none" w:sz="0" w:space="0" w:color="auto"/>
          </w:divBdr>
          <w:divsChild>
            <w:div w:id="1760327800">
              <w:marLeft w:val="0"/>
              <w:marRight w:val="0"/>
              <w:marTop w:val="0"/>
              <w:marBottom w:val="0"/>
              <w:divBdr>
                <w:top w:val="none" w:sz="0" w:space="0" w:color="auto"/>
                <w:left w:val="none" w:sz="0" w:space="0" w:color="auto"/>
                <w:bottom w:val="none" w:sz="0" w:space="0" w:color="auto"/>
                <w:right w:val="none" w:sz="0" w:space="0" w:color="auto"/>
              </w:divBdr>
            </w:div>
            <w:div w:id="833178451">
              <w:marLeft w:val="0"/>
              <w:marRight w:val="0"/>
              <w:marTop w:val="0"/>
              <w:marBottom w:val="0"/>
              <w:divBdr>
                <w:top w:val="none" w:sz="0" w:space="0" w:color="auto"/>
                <w:left w:val="none" w:sz="0" w:space="0" w:color="auto"/>
                <w:bottom w:val="none" w:sz="0" w:space="0" w:color="auto"/>
                <w:right w:val="none" w:sz="0" w:space="0" w:color="auto"/>
              </w:divBdr>
            </w:div>
            <w:div w:id="12807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60">
      <w:bodyDiv w:val="1"/>
      <w:marLeft w:val="0"/>
      <w:marRight w:val="0"/>
      <w:marTop w:val="0"/>
      <w:marBottom w:val="0"/>
      <w:divBdr>
        <w:top w:val="none" w:sz="0" w:space="0" w:color="auto"/>
        <w:left w:val="none" w:sz="0" w:space="0" w:color="auto"/>
        <w:bottom w:val="none" w:sz="0" w:space="0" w:color="auto"/>
        <w:right w:val="none" w:sz="0" w:space="0" w:color="auto"/>
      </w:divBdr>
    </w:div>
    <w:div w:id="2007662575">
      <w:bodyDiv w:val="1"/>
      <w:marLeft w:val="0"/>
      <w:marRight w:val="0"/>
      <w:marTop w:val="0"/>
      <w:marBottom w:val="0"/>
      <w:divBdr>
        <w:top w:val="none" w:sz="0" w:space="0" w:color="auto"/>
        <w:left w:val="none" w:sz="0" w:space="0" w:color="auto"/>
        <w:bottom w:val="none" w:sz="0" w:space="0" w:color="auto"/>
        <w:right w:val="none" w:sz="0" w:space="0" w:color="auto"/>
      </w:divBdr>
      <w:divsChild>
        <w:div w:id="745808819">
          <w:marLeft w:val="0"/>
          <w:marRight w:val="0"/>
          <w:marTop w:val="0"/>
          <w:marBottom w:val="0"/>
          <w:divBdr>
            <w:top w:val="none" w:sz="0" w:space="0" w:color="auto"/>
            <w:left w:val="none" w:sz="0" w:space="0" w:color="auto"/>
            <w:bottom w:val="none" w:sz="0" w:space="0" w:color="auto"/>
            <w:right w:val="none" w:sz="0" w:space="0" w:color="auto"/>
          </w:divBdr>
          <w:divsChild>
            <w:div w:id="1531069953">
              <w:marLeft w:val="0"/>
              <w:marRight w:val="0"/>
              <w:marTop w:val="0"/>
              <w:marBottom w:val="0"/>
              <w:divBdr>
                <w:top w:val="none" w:sz="0" w:space="0" w:color="auto"/>
                <w:left w:val="none" w:sz="0" w:space="0" w:color="auto"/>
                <w:bottom w:val="none" w:sz="0" w:space="0" w:color="auto"/>
                <w:right w:val="none" w:sz="0" w:space="0" w:color="auto"/>
              </w:divBdr>
            </w:div>
          </w:divsChild>
        </w:div>
        <w:div w:id="1881623177">
          <w:marLeft w:val="0"/>
          <w:marRight w:val="0"/>
          <w:marTop w:val="0"/>
          <w:marBottom w:val="0"/>
          <w:divBdr>
            <w:top w:val="none" w:sz="0" w:space="0" w:color="auto"/>
            <w:left w:val="none" w:sz="0" w:space="0" w:color="auto"/>
            <w:bottom w:val="none" w:sz="0" w:space="0" w:color="auto"/>
            <w:right w:val="none" w:sz="0" w:space="0" w:color="auto"/>
          </w:divBdr>
          <w:divsChild>
            <w:div w:id="625162951">
              <w:marLeft w:val="0"/>
              <w:marRight w:val="0"/>
              <w:marTop w:val="0"/>
              <w:marBottom w:val="0"/>
              <w:divBdr>
                <w:top w:val="none" w:sz="0" w:space="0" w:color="auto"/>
                <w:left w:val="none" w:sz="0" w:space="0" w:color="auto"/>
                <w:bottom w:val="none" w:sz="0" w:space="0" w:color="auto"/>
                <w:right w:val="none" w:sz="0" w:space="0" w:color="auto"/>
              </w:divBdr>
            </w:div>
          </w:divsChild>
        </w:div>
        <w:div w:id="1058751033">
          <w:marLeft w:val="0"/>
          <w:marRight w:val="0"/>
          <w:marTop w:val="0"/>
          <w:marBottom w:val="0"/>
          <w:divBdr>
            <w:top w:val="none" w:sz="0" w:space="0" w:color="auto"/>
            <w:left w:val="none" w:sz="0" w:space="0" w:color="auto"/>
            <w:bottom w:val="none" w:sz="0" w:space="0" w:color="auto"/>
            <w:right w:val="none" w:sz="0" w:space="0" w:color="auto"/>
          </w:divBdr>
          <w:divsChild>
            <w:div w:id="2060855007">
              <w:marLeft w:val="0"/>
              <w:marRight w:val="0"/>
              <w:marTop w:val="0"/>
              <w:marBottom w:val="0"/>
              <w:divBdr>
                <w:top w:val="none" w:sz="0" w:space="0" w:color="auto"/>
                <w:left w:val="none" w:sz="0" w:space="0" w:color="auto"/>
                <w:bottom w:val="none" w:sz="0" w:space="0" w:color="auto"/>
                <w:right w:val="none" w:sz="0" w:space="0" w:color="auto"/>
              </w:divBdr>
            </w:div>
          </w:divsChild>
        </w:div>
        <w:div w:id="1550650036">
          <w:marLeft w:val="0"/>
          <w:marRight w:val="0"/>
          <w:marTop w:val="0"/>
          <w:marBottom w:val="0"/>
          <w:divBdr>
            <w:top w:val="none" w:sz="0" w:space="0" w:color="auto"/>
            <w:left w:val="none" w:sz="0" w:space="0" w:color="auto"/>
            <w:bottom w:val="none" w:sz="0" w:space="0" w:color="auto"/>
            <w:right w:val="none" w:sz="0" w:space="0" w:color="auto"/>
          </w:divBdr>
          <w:divsChild>
            <w:div w:id="238053359">
              <w:marLeft w:val="0"/>
              <w:marRight w:val="0"/>
              <w:marTop w:val="0"/>
              <w:marBottom w:val="0"/>
              <w:divBdr>
                <w:top w:val="none" w:sz="0" w:space="0" w:color="auto"/>
                <w:left w:val="none" w:sz="0" w:space="0" w:color="auto"/>
                <w:bottom w:val="none" w:sz="0" w:space="0" w:color="auto"/>
                <w:right w:val="none" w:sz="0" w:space="0" w:color="auto"/>
              </w:divBdr>
            </w:div>
          </w:divsChild>
        </w:div>
        <w:div w:id="1880042957">
          <w:marLeft w:val="0"/>
          <w:marRight w:val="0"/>
          <w:marTop w:val="0"/>
          <w:marBottom w:val="0"/>
          <w:divBdr>
            <w:top w:val="none" w:sz="0" w:space="0" w:color="auto"/>
            <w:left w:val="none" w:sz="0" w:space="0" w:color="auto"/>
            <w:bottom w:val="none" w:sz="0" w:space="0" w:color="auto"/>
            <w:right w:val="none" w:sz="0" w:space="0" w:color="auto"/>
          </w:divBdr>
          <w:divsChild>
            <w:div w:id="849951708">
              <w:marLeft w:val="0"/>
              <w:marRight w:val="0"/>
              <w:marTop w:val="0"/>
              <w:marBottom w:val="0"/>
              <w:divBdr>
                <w:top w:val="none" w:sz="0" w:space="0" w:color="auto"/>
                <w:left w:val="none" w:sz="0" w:space="0" w:color="auto"/>
                <w:bottom w:val="none" w:sz="0" w:space="0" w:color="auto"/>
                <w:right w:val="none" w:sz="0" w:space="0" w:color="auto"/>
              </w:divBdr>
            </w:div>
          </w:divsChild>
        </w:div>
        <w:div w:id="344720376">
          <w:marLeft w:val="0"/>
          <w:marRight w:val="0"/>
          <w:marTop w:val="0"/>
          <w:marBottom w:val="0"/>
          <w:divBdr>
            <w:top w:val="none" w:sz="0" w:space="0" w:color="auto"/>
            <w:left w:val="none" w:sz="0" w:space="0" w:color="auto"/>
            <w:bottom w:val="none" w:sz="0" w:space="0" w:color="auto"/>
            <w:right w:val="none" w:sz="0" w:space="0" w:color="auto"/>
          </w:divBdr>
          <w:divsChild>
            <w:div w:id="707802563">
              <w:marLeft w:val="0"/>
              <w:marRight w:val="0"/>
              <w:marTop w:val="0"/>
              <w:marBottom w:val="0"/>
              <w:divBdr>
                <w:top w:val="none" w:sz="0" w:space="0" w:color="auto"/>
                <w:left w:val="none" w:sz="0" w:space="0" w:color="auto"/>
                <w:bottom w:val="none" w:sz="0" w:space="0" w:color="auto"/>
                <w:right w:val="none" w:sz="0" w:space="0" w:color="auto"/>
              </w:divBdr>
            </w:div>
          </w:divsChild>
        </w:div>
        <w:div w:id="831290761">
          <w:marLeft w:val="0"/>
          <w:marRight w:val="0"/>
          <w:marTop w:val="0"/>
          <w:marBottom w:val="0"/>
          <w:divBdr>
            <w:top w:val="none" w:sz="0" w:space="0" w:color="auto"/>
            <w:left w:val="none" w:sz="0" w:space="0" w:color="auto"/>
            <w:bottom w:val="none" w:sz="0" w:space="0" w:color="auto"/>
            <w:right w:val="none" w:sz="0" w:space="0" w:color="auto"/>
          </w:divBdr>
          <w:divsChild>
            <w:div w:id="1132869824">
              <w:marLeft w:val="0"/>
              <w:marRight w:val="0"/>
              <w:marTop w:val="0"/>
              <w:marBottom w:val="0"/>
              <w:divBdr>
                <w:top w:val="none" w:sz="0" w:space="0" w:color="auto"/>
                <w:left w:val="none" w:sz="0" w:space="0" w:color="auto"/>
                <w:bottom w:val="none" w:sz="0" w:space="0" w:color="auto"/>
                <w:right w:val="none" w:sz="0" w:space="0" w:color="auto"/>
              </w:divBdr>
            </w:div>
          </w:divsChild>
        </w:div>
        <w:div w:id="1571379356">
          <w:marLeft w:val="0"/>
          <w:marRight w:val="0"/>
          <w:marTop w:val="0"/>
          <w:marBottom w:val="0"/>
          <w:divBdr>
            <w:top w:val="none" w:sz="0" w:space="0" w:color="auto"/>
            <w:left w:val="none" w:sz="0" w:space="0" w:color="auto"/>
            <w:bottom w:val="none" w:sz="0" w:space="0" w:color="auto"/>
            <w:right w:val="none" w:sz="0" w:space="0" w:color="auto"/>
          </w:divBdr>
          <w:divsChild>
            <w:div w:id="737747896">
              <w:marLeft w:val="0"/>
              <w:marRight w:val="0"/>
              <w:marTop w:val="0"/>
              <w:marBottom w:val="0"/>
              <w:divBdr>
                <w:top w:val="none" w:sz="0" w:space="0" w:color="auto"/>
                <w:left w:val="none" w:sz="0" w:space="0" w:color="auto"/>
                <w:bottom w:val="none" w:sz="0" w:space="0" w:color="auto"/>
                <w:right w:val="none" w:sz="0" w:space="0" w:color="auto"/>
              </w:divBdr>
            </w:div>
          </w:divsChild>
        </w:div>
        <w:div w:id="1709913343">
          <w:marLeft w:val="0"/>
          <w:marRight w:val="0"/>
          <w:marTop w:val="0"/>
          <w:marBottom w:val="0"/>
          <w:divBdr>
            <w:top w:val="none" w:sz="0" w:space="0" w:color="auto"/>
            <w:left w:val="none" w:sz="0" w:space="0" w:color="auto"/>
            <w:bottom w:val="none" w:sz="0" w:space="0" w:color="auto"/>
            <w:right w:val="none" w:sz="0" w:space="0" w:color="auto"/>
          </w:divBdr>
          <w:divsChild>
            <w:div w:id="1805735194">
              <w:marLeft w:val="0"/>
              <w:marRight w:val="0"/>
              <w:marTop w:val="0"/>
              <w:marBottom w:val="0"/>
              <w:divBdr>
                <w:top w:val="none" w:sz="0" w:space="0" w:color="auto"/>
                <w:left w:val="none" w:sz="0" w:space="0" w:color="auto"/>
                <w:bottom w:val="none" w:sz="0" w:space="0" w:color="auto"/>
                <w:right w:val="none" w:sz="0" w:space="0" w:color="auto"/>
              </w:divBdr>
            </w:div>
          </w:divsChild>
        </w:div>
        <w:div w:id="1099639806">
          <w:marLeft w:val="0"/>
          <w:marRight w:val="0"/>
          <w:marTop w:val="0"/>
          <w:marBottom w:val="0"/>
          <w:divBdr>
            <w:top w:val="none" w:sz="0" w:space="0" w:color="auto"/>
            <w:left w:val="none" w:sz="0" w:space="0" w:color="auto"/>
            <w:bottom w:val="none" w:sz="0" w:space="0" w:color="auto"/>
            <w:right w:val="none" w:sz="0" w:space="0" w:color="auto"/>
          </w:divBdr>
          <w:divsChild>
            <w:div w:id="936598633">
              <w:marLeft w:val="0"/>
              <w:marRight w:val="0"/>
              <w:marTop w:val="0"/>
              <w:marBottom w:val="0"/>
              <w:divBdr>
                <w:top w:val="none" w:sz="0" w:space="0" w:color="auto"/>
                <w:left w:val="none" w:sz="0" w:space="0" w:color="auto"/>
                <w:bottom w:val="none" w:sz="0" w:space="0" w:color="auto"/>
                <w:right w:val="none" w:sz="0" w:space="0" w:color="auto"/>
              </w:divBdr>
            </w:div>
          </w:divsChild>
        </w:div>
        <w:div w:id="998843838">
          <w:marLeft w:val="0"/>
          <w:marRight w:val="0"/>
          <w:marTop w:val="0"/>
          <w:marBottom w:val="0"/>
          <w:divBdr>
            <w:top w:val="none" w:sz="0" w:space="0" w:color="auto"/>
            <w:left w:val="none" w:sz="0" w:space="0" w:color="auto"/>
            <w:bottom w:val="none" w:sz="0" w:space="0" w:color="auto"/>
            <w:right w:val="none" w:sz="0" w:space="0" w:color="auto"/>
          </w:divBdr>
          <w:divsChild>
            <w:div w:id="1436174416">
              <w:marLeft w:val="0"/>
              <w:marRight w:val="0"/>
              <w:marTop w:val="0"/>
              <w:marBottom w:val="0"/>
              <w:divBdr>
                <w:top w:val="none" w:sz="0" w:space="0" w:color="auto"/>
                <w:left w:val="none" w:sz="0" w:space="0" w:color="auto"/>
                <w:bottom w:val="none" w:sz="0" w:space="0" w:color="auto"/>
                <w:right w:val="none" w:sz="0" w:space="0" w:color="auto"/>
              </w:divBdr>
            </w:div>
          </w:divsChild>
        </w:div>
        <w:div w:id="1507283405">
          <w:marLeft w:val="0"/>
          <w:marRight w:val="0"/>
          <w:marTop w:val="0"/>
          <w:marBottom w:val="0"/>
          <w:divBdr>
            <w:top w:val="none" w:sz="0" w:space="0" w:color="auto"/>
            <w:left w:val="none" w:sz="0" w:space="0" w:color="auto"/>
            <w:bottom w:val="none" w:sz="0" w:space="0" w:color="auto"/>
            <w:right w:val="none" w:sz="0" w:space="0" w:color="auto"/>
          </w:divBdr>
          <w:divsChild>
            <w:div w:id="138546713">
              <w:marLeft w:val="0"/>
              <w:marRight w:val="0"/>
              <w:marTop w:val="0"/>
              <w:marBottom w:val="0"/>
              <w:divBdr>
                <w:top w:val="none" w:sz="0" w:space="0" w:color="auto"/>
                <w:left w:val="none" w:sz="0" w:space="0" w:color="auto"/>
                <w:bottom w:val="none" w:sz="0" w:space="0" w:color="auto"/>
                <w:right w:val="none" w:sz="0" w:space="0" w:color="auto"/>
              </w:divBdr>
            </w:div>
          </w:divsChild>
        </w:div>
        <w:div w:id="727846326">
          <w:marLeft w:val="0"/>
          <w:marRight w:val="0"/>
          <w:marTop w:val="0"/>
          <w:marBottom w:val="0"/>
          <w:divBdr>
            <w:top w:val="none" w:sz="0" w:space="0" w:color="auto"/>
            <w:left w:val="none" w:sz="0" w:space="0" w:color="auto"/>
            <w:bottom w:val="none" w:sz="0" w:space="0" w:color="auto"/>
            <w:right w:val="none" w:sz="0" w:space="0" w:color="auto"/>
          </w:divBdr>
          <w:divsChild>
            <w:div w:id="1078945764">
              <w:marLeft w:val="0"/>
              <w:marRight w:val="0"/>
              <w:marTop w:val="0"/>
              <w:marBottom w:val="0"/>
              <w:divBdr>
                <w:top w:val="none" w:sz="0" w:space="0" w:color="auto"/>
                <w:left w:val="none" w:sz="0" w:space="0" w:color="auto"/>
                <w:bottom w:val="none" w:sz="0" w:space="0" w:color="auto"/>
                <w:right w:val="none" w:sz="0" w:space="0" w:color="auto"/>
              </w:divBdr>
            </w:div>
          </w:divsChild>
        </w:div>
        <w:div w:id="2030522296">
          <w:marLeft w:val="0"/>
          <w:marRight w:val="0"/>
          <w:marTop w:val="0"/>
          <w:marBottom w:val="0"/>
          <w:divBdr>
            <w:top w:val="none" w:sz="0" w:space="0" w:color="auto"/>
            <w:left w:val="none" w:sz="0" w:space="0" w:color="auto"/>
            <w:bottom w:val="none" w:sz="0" w:space="0" w:color="auto"/>
            <w:right w:val="none" w:sz="0" w:space="0" w:color="auto"/>
          </w:divBdr>
          <w:divsChild>
            <w:div w:id="417101432">
              <w:marLeft w:val="0"/>
              <w:marRight w:val="0"/>
              <w:marTop w:val="0"/>
              <w:marBottom w:val="0"/>
              <w:divBdr>
                <w:top w:val="none" w:sz="0" w:space="0" w:color="auto"/>
                <w:left w:val="none" w:sz="0" w:space="0" w:color="auto"/>
                <w:bottom w:val="none" w:sz="0" w:space="0" w:color="auto"/>
                <w:right w:val="none" w:sz="0" w:space="0" w:color="auto"/>
              </w:divBdr>
            </w:div>
          </w:divsChild>
        </w:div>
        <w:div w:id="332488532">
          <w:marLeft w:val="0"/>
          <w:marRight w:val="0"/>
          <w:marTop w:val="0"/>
          <w:marBottom w:val="0"/>
          <w:divBdr>
            <w:top w:val="none" w:sz="0" w:space="0" w:color="auto"/>
            <w:left w:val="none" w:sz="0" w:space="0" w:color="auto"/>
            <w:bottom w:val="none" w:sz="0" w:space="0" w:color="auto"/>
            <w:right w:val="none" w:sz="0" w:space="0" w:color="auto"/>
          </w:divBdr>
          <w:divsChild>
            <w:div w:id="1462335163">
              <w:marLeft w:val="0"/>
              <w:marRight w:val="0"/>
              <w:marTop w:val="0"/>
              <w:marBottom w:val="0"/>
              <w:divBdr>
                <w:top w:val="none" w:sz="0" w:space="0" w:color="auto"/>
                <w:left w:val="none" w:sz="0" w:space="0" w:color="auto"/>
                <w:bottom w:val="none" w:sz="0" w:space="0" w:color="auto"/>
                <w:right w:val="none" w:sz="0" w:space="0" w:color="auto"/>
              </w:divBdr>
            </w:div>
          </w:divsChild>
        </w:div>
        <w:div w:id="1136530763">
          <w:marLeft w:val="0"/>
          <w:marRight w:val="0"/>
          <w:marTop w:val="0"/>
          <w:marBottom w:val="0"/>
          <w:divBdr>
            <w:top w:val="none" w:sz="0" w:space="0" w:color="auto"/>
            <w:left w:val="none" w:sz="0" w:space="0" w:color="auto"/>
            <w:bottom w:val="none" w:sz="0" w:space="0" w:color="auto"/>
            <w:right w:val="none" w:sz="0" w:space="0" w:color="auto"/>
          </w:divBdr>
          <w:divsChild>
            <w:div w:id="958758546">
              <w:marLeft w:val="0"/>
              <w:marRight w:val="0"/>
              <w:marTop w:val="0"/>
              <w:marBottom w:val="0"/>
              <w:divBdr>
                <w:top w:val="none" w:sz="0" w:space="0" w:color="auto"/>
                <w:left w:val="none" w:sz="0" w:space="0" w:color="auto"/>
                <w:bottom w:val="none" w:sz="0" w:space="0" w:color="auto"/>
                <w:right w:val="none" w:sz="0" w:space="0" w:color="auto"/>
              </w:divBdr>
            </w:div>
          </w:divsChild>
        </w:div>
        <w:div w:id="1961108545">
          <w:marLeft w:val="0"/>
          <w:marRight w:val="0"/>
          <w:marTop w:val="0"/>
          <w:marBottom w:val="0"/>
          <w:divBdr>
            <w:top w:val="none" w:sz="0" w:space="0" w:color="auto"/>
            <w:left w:val="none" w:sz="0" w:space="0" w:color="auto"/>
            <w:bottom w:val="none" w:sz="0" w:space="0" w:color="auto"/>
            <w:right w:val="none" w:sz="0" w:space="0" w:color="auto"/>
          </w:divBdr>
          <w:divsChild>
            <w:div w:id="1547832344">
              <w:marLeft w:val="0"/>
              <w:marRight w:val="0"/>
              <w:marTop w:val="0"/>
              <w:marBottom w:val="0"/>
              <w:divBdr>
                <w:top w:val="none" w:sz="0" w:space="0" w:color="auto"/>
                <w:left w:val="none" w:sz="0" w:space="0" w:color="auto"/>
                <w:bottom w:val="none" w:sz="0" w:space="0" w:color="auto"/>
                <w:right w:val="none" w:sz="0" w:space="0" w:color="auto"/>
              </w:divBdr>
            </w:div>
          </w:divsChild>
        </w:div>
        <w:div w:id="12341981">
          <w:marLeft w:val="0"/>
          <w:marRight w:val="0"/>
          <w:marTop w:val="0"/>
          <w:marBottom w:val="0"/>
          <w:divBdr>
            <w:top w:val="none" w:sz="0" w:space="0" w:color="auto"/>
            <w:left w:val="none" w:sz="0" w:space="0" w:color="auto"/>
            <w:bottom w:val="none" w:sz="0" w:space="0" w:color="auto"/>
            <w:right w:val="none" w:sz="0" w:space="0" w:color="auto"/>
          </w:divBdr>
          <w:divsChild>
            <w:div w:id="1459644530">
              <w:marLeft w:val="0"/>
              <w:marRight w:val="0"/>
              <w:marTop w:val="0"/>
              <w:marBottom w:val="0"/>
              <w:divBdr>
                <w:top w:val="none" w:sz="0" w:space="0" w:color="auto"/>
                <w:left w:val="none" w:sz="0" w:space="0" w:color="auto"/>
                <w:bottom w:val="none" w:sz="0" w:space="0" w:color="auto"/>
                <w:right w:val="none" w:sz="0" w:space="0" w:color="auto"/>
              </w:divBdr>
            </w:div>
          </w:divsChild>
        </w:div>
        <w:div w:id="1514879915">
          <w:marLeft w:val="0"/>
          <w:marRight w:val="0"/>
          <w:marTop w:val="0"/>
          <w:marBottom w:val="0"/>
          <w:divBdr>
            <w:top w:val="none" w:sz="0" w:space="0" w:color="auto"/>
            <w:left w:val="none" w:sz="0" w:space="0" w:color="auto"/>
            <w:bottom w:val="none" w:sz="0" w:space="0" w:color="auto"/>
            <w:right w:val="none" w:sz="0" w:space="0" w:color="auto"/>
          </w:divBdr>
          <w:divsChild>
            <w:div w:id="321544725">
              <w:marLeft w:val="0"/>
              <w:marRight w:val="0"/>
              <w:marTop w:val="0"/>
              <w:marBottom w:val="0"/>
              <w:divBdr>
                <w:top w:val="none" w:sz="0" w:space="0" w:color="auto"/>
                <w:left w:val="none" w:sz="0" w:space="0" w:color="auto"/>
                <w:bottom w:val="none" w:sz="0" w:space="0" w:color="auto"/>
                <w:right w:val="none" w:sz="0" w:space="0" w:color="auto"/>
              </w:divBdr>
            </w:div>
          </w:divsChild>
        </w:div>
        <w:div w:id="1010333989">
          <w:marLeft w:val="0"/>
          <w:marRight w:val="0"/>
          <w:marTop w:val="0"/>
          <w:marBottom w:val="0"/>
          <w:divBdr>
            <w:top w:val="none" w:sz="0" w:space="0" w:color="auto"/>
            <w:left w:val="none" w:sz="0" w:space="0" w:color="auto"/>
            <w:bottom w:val="none" w:sz="0" w:space="0" w:color="auto"/>
            <w:right w:val="none" w:sz="0" w:space="0" w:color="auto"/>
          </w:divBdr>
          <w:divsChild>
            <w:div w:id="958536604">
              <w:marLeft w:val="0"/>
              <w:marRight w:val="0"/>
              <w:marTop w:val="0"/>
              <w:marBottom w:val="0"/>
              <w:divBdr>
                <w:top w:val="none" w:sz="0" w:space="0" w:color="auto"/>
                <w:left w:val="none" w:sz="0" w:space="0" w:color="auto"/>
                <w:bottom w:val="none" w:sz="0" w:space="0" w:color="auto"/>
                <w:right w:val="none" w:sz="0" w:space="0" w:color="auto"/>
              </w:divBdr>
            </w:div>
          </w:divsChild>
        </w:div>
        <w:div w:id="270362732">
          <w:marLeft w:val="0"/>
          <w:marRight w:val="0"/>
          <w:marTop w:val="0"/>
          <w:marBottom w:val="0"/>
          <w:divBdr>
            <w:top w:val="none" w:sz="0" w:space="0" w:color="auto"/>
            <w:left w:val="none" w:sz="0" w:space="0" w:color="auto"/>
            <w:bottom w:val="none" w:sz="0" w:space="0" w:color="auto"/>
            <w:right w:val="none" w:sz="0" w:space="0" w:color="auto"/>
          </w:divBdr>
          <w:divsChild>
            <w:div w:id="976108779">
              <w:marLeft w:val="0"/>
              <w:marRight w:val="0"/>
              <w:marTop w:val="0"/>
              <w:marBottom w:val="0"/>
              <w:divBdr>
                <w:top w:val="none" w:sz="0" w:space="0" w:color="auto"/>
                <w:left w:val="none" w:sz="0" w:space="0" w:color="auto"/>
                <w:bottom w:val="none" w:sz="0" w:space="0" w:color="auto"/>
                <w:right w:val="none" w:sz="0" w:space="0" w:color="auto"/>
              </w:divBdr>
            </w:div>
          </w:divsChild>
        </w:div>
        <w:div w:id="1904757619">
          <w:marLeft w:val="0"/>
          <w:marRight w:val="0"/>
          <w:marTop w:val="0"/>
          <w:marBottom w:val="0"/>
          <w:divBdr>
            <w:top w:val="none" w:sz="0" w:space="0" w:color="auto"/>
            <w:left w:val="none" w:sz="0" w:space="0" w:color="auto"/>
            <w:bottom w:val="none" w:sz="0" w:space="0" w:color="auto"/>
            <w:right w:val="none" w:sz="0" w:space="0" w:color="auto"/>
          </w:divBdr>
          <w:divsChild>
            <w:div w:id="565072624">
              <w:marLeft w:val="0"/>
              <w:marRight w:val="0"/>
              <w:marTop w:val="0"/>
              <w:marBottom w:val="0"/>
              <w:divBdr>
                <w:top w:val="none" w:sz="0" w:space="0" w:color="auto"/>
                <w:left w:val="none" w:sz="0" w:space="0" w:color="auto"/>
                <w:bottom w:val="none" w:sz="0" w:space="0" w:color="auto"/>
                <w:right w:val="none" w:sz="0" w:space="0" w:color="auto"/>
              </w:divBdr>
            </w:div>
          </w:divsChild>
        </w:div>
        <w:div w:id="1917474855">
          <w:marLeft w:val="0"/>
          <w:marRight w:val="0"/>
          <w:marTop w:val="0"/>
          <w:marBottom w:val="0"/>
          <w:divBdr>
            <w:top w:val="none" w:sz="0" w:space="0" w:color="auto"/>
            <w:left w:val="none" w:sz="0" w:space="0" w:color="auto"/>
            <w:bottom w:val="none" w:sz="0" w:space="0" w:color="auto"/>
            <w:right w:val="none" w:sz="0" w:space="0" w:color="auto"/>
          </w:divBdr>
          <w:divsChild>
            <w:div w:id="281498966">
              <w:marLeft w:val="0"/>
              <w:marRight w:val="0"/>
              <w:marTop w:val="0"/>
              <w:marBottom w:val="0"/>
              <w:divBdr>
                <w:top w:val="none" w:sz="0" w:space="0" w:color="auto"/>
                <w:left w:val="none" w:sz="0" w:space="0" w:color="auto"/>
                <w:bottom w:val="none" w:sz="0" w:space="0" w:color="auto"/>
                <w:right w:val="none" w:sz="0" w:space="0" w:color="auto"/>
              </w:divBdr>
            </w:div>
          </w:divsChild>
        </w:div>
        <w:div w:id="829559231">
          <w:marLeft w:val="0"/>
          <w:marRight w:val="0"/>
          <w:marTop w:val="0"/>
          <w:marBottom w:val="0"/>
          <w:divBdr>
            <w:top w:val="none" w:sz="0" w:space="0" w:color="auto"/>
            <w:left w:val="none" w:sz="0" w:space="0" w:color="auto"/>
            <w:bottom w:val="none" w:sz="0" w:space="0" w:color="auto"/>
            <w:right w:val="none" w:sz="0" w:space="0" w:color="auto"/>
          </w:divBdr>
          <w:divsChild>
            <w:div w:id="2048679307">
              <w:marLeft w:val="0"/>
              <w:marRight w:val="0"/>
              <w:marTop w:val="0"/>
              <w:marBottom w:val="0"/>
              <w:divBdr>
                <w:top w:val="none" w:sz="0" w:space="0" w:color="auto"/>
                <w:left w:val="none" w:sz="0" w:space="0" w:color="auto"/>
                <w:bottom w:val="none" w:sz="0" w:space="0" w:color="auto"/>
                <w:right w:val="none" w:sz="0" w:space="0" w:color="auto"/>
              </w:divBdr>
            </w:div>
          </w:divsChild>
        </w:div>
        <w:div w:id="1608272665">
          <w:marLeft w:val="0"/>
          <w:marRight w:val="0"/>
          <w:marTop w:val="0"/>
          <w:marBottom w:val="0"/>
          <w:divBdr>
            <w:top w:val="none" w:sz="0" w:space="0" w:color="auto"/>
            <w:left w:val="none" w:sz="0" w:space="0" w:color="auto"/>
            <w:bottom w:val="none" w:sz="0" w:space="0" w:color="auto"/>
            <w:right w:val="none" w:sz="0" w:space="0" w:color="auto"/>
          </w:divBdr>
          <w:divsChild>
            <w:div w:id="1452095691">
              <w:marLeft w:val="0"/>
              <w:marRight w:val="0"/>
              <w:marTop w:val="0"/>
              <w:marBottom w:val="0"/>
              <w:divBdr>
                <w:top w:val="none" w:sz="0" w:space="0" w:color="auto"/>
                <w:left w:val="none" w:sz="0" w:space="0" w:color="auto"/>
                <w:bottom w:val="none" w:sz="0" w:space="0" w:color="auto"/>
                <w:right w:val="none" w:sz="0" w:space="0" w:color="auto"/>
              </w:divBdr>
            </w:div>
          </w:divsChild>
        </w:div>
        <w:div w:id="544874354">
          <w:marLeft w:val="0"/>
          <w:marRight w:val="0"/>
          <w:marTop w:val="0"/>
          <w:marBottom w:val="0"/>
          <w:divBdr>
            <w:top w:val="none" w:sz="0" w:space="0" w:color="auto"/>
            <w:left w:val="none" w:sz="0" w:space="0" w:color="auto"/>
            <w:bottom w:val="none" w:sz="0" w:space="0" w:color="auto"/>
            <w:right w:val="none" w:sz="0" w:space="0" w:color="auto"/>
          </w:divBdr>
          <w:divsChild>
            <w:div w:id="583804051">
              <w:marLeft w:val="0"/>
              <w:marRight w:val="0"/>
              <w:marTop w:val="0"/>
              <w:marBottom w:val="0"/>
              <w:divBdr>
                <w:top w:val="none" w:sz="0" w:space="0" w:color="auto"/>
                <w:left w:val="none" w:sz="0" w:space="0" w:color="auto"/>
                <w:bottom w:val="none" w:sz="0" w:space="0" w:color="auto"/>
                <w:right w:val="none" w:sz="0" w:space="0" w:color="auto"/>
              </w:divBdr>
            </w:div>
          </w:divsChild>
        </w:div>
        <w:div w:id="768626892">
          <w:marLeft w:val="0"/>
          <w:marRight w:val="0"/>
          <w:marTop w:val="0"/>
          <w:marBottom w:val="0"/>
          <w:divBdr>
            <w:top w:val="none" w:sz="0" w:space="0" w:color="auto"/>
            <w:left w:val="none" w:sz="0" w:space="0" w:color="auto"/>
            <w:bottom w:val="none" w:sz="0" w:space="0" w:color="auto"/>
            <w:right w:val="none" w:sz="0" w:space="0" w:color="auto"/>
          </w:divBdr>
          <w:divsChild>
            <w:div w:id="1808081009">
              <w:marLeft w:val="0"/>
              <w:marRight w:val="0"/>
              <w:marTop w:val="0"/>
              <w:marBottom w:val="0"/>
              <w:divBdr>
                <w:top w:val="none" w:sz="0" w:space="0" w:color="auto"/>
                <w:left w:val="none" w:sz="0" w:space="0" w:color="auto"/>
                <w:bottom w:val="none" w:sz="0" w:space="0" w:color="auto"/>
                <w:right w:val="none" w:sz="0" w:space="0" w:color="auto"/>
              </w:divBdr>
            </w:div>
          </w:divsChild>
        </w:div>
        <w:div w:id="1971282401">
          <w:marLeft w:val="0"/>
          <w:marRight w:val="0"/>
          <w:marTop w:val="0"/>
          <w:marBottom w:val="0"/>
          <w:divBdr>
            <w:top w:val="none" w:sz="0" w:space="0" w:color="auto"/>
            <w:left w:val="none" w:sz="0" w:space="0" w:color="auto"/>
            <w:bottom w:val="none" w:sz="0" w:space="0" w:color="auto"/>
            <w:right w:val="none" w:sz="0" w:space="0" w:color="auto"/>
          </w:divBdr>
          <w:divsChild>
            <w:div w:id="1157652713">
              <w:marLeft w:val="0"/>
              <w:marRight w:val="0"/>
              <w:marTop w:val="0"/>
              <w:marBottom w:val="0"/>
              <w:divBdr>
                <w:top w:val="none" w:sz="0" w:space="0" w:color="auto"/>
                <w:left w:val="none" w:sz="0" w:space="0" w:color="auto"/>
                <w:bottom w:val="none" w:sz="0" w:space="0" w:color="auto"/>
                <w:right w:val="none" w:sz="0" w:space="0" w:color="auto"/>
              </w:divBdr>
            </w:div>
          </w:divsChild>
        </w:div>
        <w:div w:id="227617134">
          <w:marLeft w:val="0"/>
          <w:marRight w:val="0"/>
          <w:marTop w:val="0"/>
          <w:marBottom w:val="0"/>
          <w:divBdr>
            <w:top w:val="none" w:sz="0" w:space="0" w:color="auto"/>
            <w:left w:val="none" w:sz="0" w:space="0" w:color="auto"/>
            <w:bottom w:val="none" w:sz="0" w:space="0" w:color="auto"/>
            <w:right w:val="none" w:sz="0" w:space="0" w:color="auto"/>
          </w:divBdr>
          <w:divsChild>
            <w:div w:id="384791640">
              <w:marLeft w:val="0"/>
              <w:marRight w:val="0"/>
              <w:marTop w:val="0"/>
              <w:marBottom w:val="0"/>
              <w:divBdr>
                <w:top w:val="none" w:sz="0" w:space="0" w:color="auto"/>
                <w:left w:val="none" w:sz="0" w:space="0" w:color="auto"/>
                <w:bottom w:val="none" w:sz="0" w:space="0" w:color="auto"/>
                <w:right w:val="none" w:sz="0" w:space="0" w:color="auto"/>
              </w:divBdr>
            </w:div>
          </w:divsChild>
        </w:div>
        <w:div w:id="382559169">
          <w:marLeft w:val="0"/>
          <w:marRight w:val="0"/>
          <w:marTop w:val="0"/>
          <w:marBottom w:val="0"/>
          <w:divBdr>
            <w:top w:val="none" w:sz="0" w:space="0" w:color="auto"/>
            <w:left w:val="none" w:sz="0" w:space="0" w:color="auto"/>
            <w:bottom w:val="none" w:sz="0" w:space="0" w:color="auto"/>
            <w:right w:val="none" w:sz="0" w:space="0" w:color="auto"/>
          </w:divBdr>
          <w:divsChild>
            <w:div w:id="1680504080">
              <w:marLeft w:val="0"/>
              <w:marRight w:val="0"/>
              <w:marTop w:val="0"/>
              <w:marBottom w:val="0"/>
              <w:divBdr>
                <w:top w:val="none" w:sz="0" w:space="0" w:color="auto"/>
                <w:left w:val="none" w:sz="0" w:space="0" w:color="auto"/>
                <w:bottom w:val="none" w:sz="0" w:space="0" w:color="auto"/>
                <w:right w:val="none" w:sz="0" w:space="0" w:color="auto"/>
              </w:divBdr>
            </w:div>
          </w:divsChild>
        </w:div>
        <w:div w:id="2097549396">
          <w:marLeft w:val="0"/>
          <w:marRight w:val="0"/>
          <w:marTop w:val="0"/>
          <w:marBottom w:val="0"/>
          <w:divBdr>
            <w:top w:val="none" w:sz="0" w:space="0" w:color="auto"/>
            <w:left w:val="none" w:sz="0" w:space="0" w:color="auto"/>
            <w:bottom w:val="none" w:sz="0" w:space="0" w:color="auto"/>
            <w:right w:val="none" w:sz="0" w:space="0" w:color="auto"/>
          </w:divBdr>
          <w:divsChild>
            <w:div w:id="344595454">
              <w:marLeft w:val="0"/>
              <w:marRight w:val="0"/>
              <w:marTop w:val="0"/>
              <w:marBottom w:val="0"/>
              <w:divBdr>
                <w:top w:val="none" w:sz="0" w:space="0" w:color="auto"/>
                <w:left w:val="none" w:sz="0" w:space="0" w:color="auto"/>
                <w:bottom w:val="none" w:sz="0" w:space="0" w:color="auto"/>
                <w:right w:val="none" w:sz="0" w:space="0" w:color="auto"/>
              </w:divBdr>
            </w:div>
          </w:divsChild>
        </w:div>
        <w:div w:id="682392308">
          <w:marLeft w:val="0"/>
          <w:marRight w:val="0"/>
          <w:marTop w:val="0"/>
          <w:marBottom w:val="0"/>
          <w:divBdr>
            <w:top w:val="none" w:sz="0" w:space="0" w:color="auto"/>
            <w:left w:val="none" w:sz="0" w:space="0" w:color="auto"/>
            <w:bottom w:val="none" w:sz="0" w:space="0" w:color="auto"/>
            <w:right w:val="none" w:sz="0" w:space="0" w:color="auto"/>
          </w:divBdr>
          <w:divsChild>
            <w:div w:id="1923443504">
              <w:marLeft w:val="0"/>
              <w:marRight w:val="0"/>
              <w:marTop w:val="0"/>
              <w:marBottom w:val="0"/>
              <w:divBdr>
                <w:top w:val="none" w:sz="0" w:space="0" w:color="auto"/>
                <w:left w:val="none" w:sz="0" w:space="0" w:color="auto"/>
                <w:bottom w:val="none" w:sz="0" w:space="0" w:color="auto"/>
                <w:right w:val="none" w:sz="0" w:space="0" w:color="auto"/>
              </w:divBdr>
            </w:div>
          </w:divsChild>
        </w:div>
        <w:div w:id="546530316">
          <w:marLeft w:val="0"/>
          <w:marRight w:val="0"/>
          <w:marTop w:val="0"/>
          <w:marBottom w:val="0"/>
          <w:divBdr>
            <w:top w:val="none" w:sz="0" w:space="0" w:color="auto"/>
            <w:left w:val="none" w:sz="0" w:space="0" w:color="auto"/>
            <w:bottom w:val="none" w:sz="0" w:space="0" w:color="auto"/>
            <w:right w:val="none" w:sz="0" w:space="0" w:color="auto"/>
          </w:divBdr>
          <w:divsChild>
            <w:div w:id="458113877">
              <w:marLeft w:val="0"/>
              <w:marRight w:val="0"/>
              <w:marTop w:val="0"/>
              <w:marBottom w:val="0"/>
              <w:divBdr>
                <w:top w:val="none" w:sz="0" w:space="0" w:color="auto"/>
                <w:left w:val="none" w:sz="0" w:space="0" w:color="auto"/>
                <w:bottom w:val="none" w:sz="0" w:space="0" w:color="auto"/>
                <w:right w:val="none" w:sz="0" w:space="0" w:color="auto"/>
              </w:divBdr>
            </w:div>
          </w:divsChild>
        </w:div>
        <w:div w:id="888954614">
          <w:marLeft w:val="0"/>
          <w:marRight w:val="0"/>
          <w:marTop w:val="0"/>
          <w:marBottom w:val="0"/>
          <w:divBdr>
            <w:top w:val="none" w:sz="0" w:space="0" w:color="auto"/>
            <w:left w:val="none" w:sz="0" w:space="0" w:color="auto"/>
            <w:bottom w:val="none" w:sz="0" w:space="0" w:color="auto"/>
            <w:right w:val="none" w:sz="0" w:space="0" w:color="auto"/>
          </w:divBdr>
          <w:divsChild>
            <w:div w:id="1163544979">
              <w:marLeft w:val="0"/>
              <w:marRight w:val="0"/>
              <w:marTop w:val="0"/>
              <w:marBottom w:val="0"/>
              <w:divBdr>
                <w:top w:val="none" w:sz="0" w:space="0" w:color="auto"/>
                <w:left w:val="none" w:sz="0" w:space="0" w:color="auto"/>
                <w:bottom w:val="none" w:sz="0" w:space="0" w:color="auto"/>
                <w:right w:val="none" w:sz="0" w:space="0" w:color="auto"/>
              </w:divBdr>
            </w:div>
          </w:divsChild>
        </w:div>
        <w:div w:id="1327514347">
          <w:marLeft w:val="0"/>
          <w:marRight w:val="0"/>
          <w:marTop w:val="0"/>
          <w:marBottom w:val="0"/>
          <w:divBdr>
            <w:top w:val="none" w:sz="0" w:space="0" w:color="auto"/>
            <w:left w:val="none" w:sz="0" w:space="0" w:color="auto"/>
            <w:bottom w:val="none" w:sz="0" w:space="0" w:color="auto"/>
            <w:right w:val="none" w:sz="0" w:space="0" w:color="auto"/>
          </w:divBdr>
          <w:divsChild>
            <w:div w:id="583685588">
              <w:marLeft w:val="0"/>
              <w:marRight w:val="0"/>
              <w:marTop w:val="0"/>
              <w:marBottom w:val="0"/>
              <w:divBdr>
                <w:top w:val="none" w:sz="0" w:space="0" w:color="auto"/>
                <w:left w:val="none" w:sz="0" w:space="0" w:color="auto"/>
                <w:bottom w:val="none" w:sz="0" w:space="0" w:color="auto"/>
                <w:right w:val="none" w:sz="0" w:space="0" w:color="auto"/>
              </w:divBdr>
            </w:div>
          </w:divsChild>
        </w:div>
        <w:div w:id="1800758794">
          <w:marLeft w:val="0"/>
          <w:marRight w:val="0"/>
          <w:marTop w:val="0"/>
          <w:marBottom w:val="0"/>
          <w:divBdr>
            <w:top w:val="none" w:sz="0" w:space="0" w:color="auto"/>
            <w:left w:val="none" w:sz="0" w:space="0" w:color="auto"/>
            <w:bottom w:val="none" w:sz="0" w:space="0" w:color="auto"/>
            <w:right w:val="none" w:sz="0" w:space="0" w:color="auto"/>
          </w:divBdr>
          <w:divsChild>
            <w:div w:id="1298335540">
              <w:marLeft w:val="0"/>
              <w:marRight w:val="0"/>
              <w:marTop w:val="0"/>
              <w:marBottom w:val="0"/>
              <w:divBdr>
                <w:top w:val="none" w:sz="0" w:space="0" w:color="auto"/>
                <w:left w:val="none" w:sz="0" w:space="0" w:color="auto"/>
                <w:bottom w:val="none" w:sz="0" w:space="0" w:color="auto"/>
                <w:right w:val="none" w:sz="0" w:space="0" w:color="auto"/>
              </w:divBdr>
            </w:div>
          </w:divsChild>
        </w:div>
        <w:div w:id="1029572649">
          <w:marLeft w:val="0"/>
          <w:marRight w:val="0"/>
          <w:marTop w:val="0"/>
          <w:marBottom w:val="0"/>
          <w:divBdr>
            <w:top w:val="none" w:sz="0" w:space="0" w:color="auto"/>
            <w:left w:val="none" w:sz="0" w:space="0" w:color="auto"/>
            <w:bottom w:val="none" w:sz="0" w:space="0" w:color="auto"/>
            <w:right w:val="none" w:sz="0" w:space="0" w:color="auto"/>
          </w:divBdr>
          <w:divsChild>
            <w:div w:id="1099327794">
              <w:marLeft w:val="0"/>
              <w:marRight w:val="0"/>
              <w:marTop w:val="0"/>
              <w:marBottom w:val="0"/>
              <w:divBdr>
                <w:top w:val="none" w:sz="0" w:space="0" w:color="auto"/>
                <w:left w:val="none" w:sz="0" w:space="0" w:color="auto"/>
                <w:bottom w:val="none" w:sz="0" w:space="0" w:color="auto"/>
                <w:right w:val="none" w:sz="0" w:space="0" w:color="auto"/>
              </w:divBdr>
            </w:div>
          </w:divsChild>
        </w:div>
        <w:div w:id="1104032843">
          <w:marLeft w:val="0"/>
          <w:marRight w:val="0"/>
          <w:marTop w:val="0"/>
          <w:marBottom w:val="0"/>
          <w:divBdr>
            <w:top w:val="none" w:sz="0" w:space="0" w:color="auto"/>
            <w:left w:val="none" w:sz="0" w:space="0" w:color="auto"/>
            <w:bottom w:val="none" w:sz="0" w:space="0" w:color="auto"/>
            <w:right w:val="none" w:sz="0" w:space="0" w:color="auto"/>
          </w:divBdr>
          <w:divsChild>
            <w:div w:id="81997939">
              <w:marLeft w:val="0"/>
              <w:marRight w:val="0"/>
              <w:marTop w:val="0"/>
              <w:marBottom w:val="0"/>
              <w:divBdr>
                <w:top w:val="none" w:sz="0" w:space="0" w:color="auto"/>
                <w:left w:val="none" w:sz="0" w:space="0" w:color="auto"/>
                <w:bottom w:val="none" w:sz="0" w:space="0" w:color="auto"/>
                <w:right w:val="none" w:sz="0" w:space="0" w:color="auto"/>
              </w:divBdr>
            </w:div>
          </w:divsChild>
        </w:div>
        <w:div w:id="805977218">
          <w:marLeft w:val="0"/>
          <w:marRight w:val="0"/>
          <w:marTop w:val="0"/>
          <w:marBottom w:val="0"/>
          <w:divBdr>
            <w:top w:val="none" w:sz="0" w:space="0" w:color="auto"/>
            <w:left w:val="none" w:sz="0" w:space="0" w:color="auto"/>
            <w:bottom w:val="none" w:sz="0" w:space="0" w:color="auto"/>
            <w:right w:val="none" w:sz="0" w:space="0" w:color="auto"/>
          </w:divBdr>
          <w:divsChild>
            <w:div w:id="638263339">
              <w:marLeft w:val="0"/>
              <w:marRight w:val="0"/>
              <w:marTop w:val="0"/>
              <w:marBottom w:val="0"/>
              <w:divBdr>
                <w:top w:val="none" w:sz="0" w:space="0" w:color="auto"/>
                <w:left w:val="none" w:sz="0" w:space="0" w:color="auto"/>
                <w:bottom w:val="none" w:sz="0" w:space="0" w:color="auto"/>
                <w:right w:val="none" w:sz="0" w:space="0" w:color="auto"/>
              </w:divBdr>
            </w:div>
          </w:divsChild>
        </w:div>
        <w:div w:id="1964850589">
          <w:marLeft w:val="0"/>
          <w:marRight w:val="0"/>
          <w:marTop w:val="0"/>
          <w:marBottom w:val="0"/>
          <w:divBdr>
            <w:top w:val="none" w:sz="0" w:space="0" w:color="auto"/>
            <w:left w:val="none" w:sz="0" w:space="0" w:color="auto"/>
            <w:bottom w:val="none" w:sz="0" w:space="0" w:color="auto"/>
            <w:right w:val="none" w:sz="0" w:space="0" w:color="auto"/>
          </w:divBdr>
          <w:divsChild>
            <w:div w:id="1367752723">
              <w:marLeft w:val="0"/>
              <w:marRight w:val="0"/>
              <w:marTop w:val="0"/>
              <w:marBottom w:val="0"/>
              <w:divBdr>
                <w:top w:val="none" w:sz="0" w:space="0" w:color="auto"/>
                <w:left w:val="none" w:sz="0" w:space="0" w:color="auto"/>
                <w:bottom w:val="none" w:sz="0" w:space="0" w:color="auto"/>
                <w:right w:val="none" w:sz="0" w:space="0" w:color="auto"/>
              </w:divBdr>
            </w:div>
            <w:div w:id="592710720">
              <w:marLeft w:val="0"/>
              <w:marRight w:val="0"/>
              <w:marTop w:val="0"/>
              <w:marBottom w:val="0"/>
              <w:divBdr>
                <w:top w:val="none" w:sz="0" w:space="0" w:color="auto"/>
                <w:left w:val="none" w:sz="0" w:space="0" w:color="auto"/>
                <w:bottom w:val="none" w:sz="0" w:space="0" w:color="auto"/>
                <w:right w:val="none" w:sz="0" w:space="0" w:color="auto"/>
              </w:divBdr>
            </w:div>
          </w:divsChild>
        </w:div>
        <w:div w:id="1351757503">
          <w:marLeft w:val="0"/>
          <w:marRight w:val="0"/>
          <w:marTop w:val="0"/>
          <w:marBottom w:val="0"/>
          <w:divBdr>
            <w:top w:val="none" w:sz="0" w:space="0" w:color="auto"/>
            <w:left w:val="none" w:sz="0" w:space="0" w:color="auto"/>
            <w:bottom w:val="none" w:sz="0" w:space="0" w:color="auto"/>
            <w:right w:val="none" w:sz="0" w:space="0" w:color="auto"/>
          </w:divBdr>
          <w:divsChild>
            <w:div w:id="1127821541">
              <w:marLeft w:val="0"/>
              <w:marRight w:val="0"/>
              <w:marTop w:val="0"/>
              <w:marBottom w:val="0"/>
              <w:divBdr>
                <w:top w:val="none" w:sz="0" w:space="0" w:color="auto"/>
                <w:left w:val="none" w:sz="0" w:space="0" w:color="auto"/>
                <w:bottom w:val="none" w:sz="0" w:space="0" w:color="auto"/>
                <w:right w:val="none" w:sz="0" w:space="0" w:color="auto"/>
              </w:divBdr>
            </w:div>
          </w:divsChild>
        </w:div>
        <w:div w:id="1984264093">
          <w:marLeft w:val="0"/>
          <w:marRight w:val="0"/>
          <w:marTop w:val="0"/>
          <w:marBottom w:val="0"/>
          <w:divBdr>
            <w:top w:val="none" w:sz="0" w:space="0" w:color="auto"/>
            <w:left w:val="none" w:sz="0" w:space="0" w:color="auto"/>
            <w:bottom w:val="none" w:sz="0" w:space="0" w:color="auto"/>
            <w:right w:val="none" w:sz="0" w:space="0" w:color="auto"/>
          </w:divBdr>
          <w:divsChild>
            <w:div w:id="1936286757">
              <w:marLeft w:val="0"/>
              <w:marRight w:val="0"/>
              <w:marTop w:val="0"/>
              <w:marBottom w:val="0"/>
              <w:divBdr>
                <w:top w:val="none" w:sz="0" w:space="0" w:color="auto"/>
                <w:left w:val="none" w:sz="0" w:space="0" w:color="auto"/>
                <w:bottom w:val="none" w:sz="0" w:space="0" w:color="auto"/>
                <w:right w:val="none" w:sz="0" w:space="0" w:color="auto"/>
              </w:divBdr>
            </w:div>
            <w:div w:id="218634848">
              <w:marLeft w:val="0"/>
              <w:marRight w:val="0"/>
              <w:marTop w:val="0"/>
              <w:marBottom w:val="0"/>
              <w:divBdr>
                <w:top w:val="none" w:sz="0" w:space="0" w:color="auto"/>
                <w:left w:val="none" w:sz="0" w:space="0" w:color="auto"/>
                <w:bottom w:val="none" w:sz="0" w:space="0" w:color="auto"/>
                <w:right w:val="none" w:sz="0" w:space="0" w:color="auto"/>
              </w:divBdr>
            </w:div>
          </w:divsChild>
        </w:div>
        <w:div w:id="1011252277">
          <w:marLeft w:val="0"/>
          <w:marRight w:val="0"/>
          <w:marTop w:val="0"/>
          <w:marBottom w:val="0"/>
          <w:divBdr>
            <w:top w:val="none" w:sz="0" w:space="0" w:color="auto"/>
            <w:left w:val="none" w:sz="0" w:space="0" w:color="auto"/>
            <w:bottom w:val="none" w:sz="0" w:space="0" w:color="auto"/>
            <w:right w:val="none" w:sz="0" w:space="0" w:color="auto"/>
          </w:divBdr>
          <w:divsChild>
            <w:div w:id="1928151400">
              <w:marLeft w:val="0"/>
              <w:marRight w:val="0"/>
              <w:marTop w:val="0"/>
              <w:marBottom w:val="0"/>
              <w:divBdr>
                <w:top w:val="none" w:sz="0" w:space="0" w:color="auto"/>
                <w:left w:val="none" w:sz="0" w:space="0" w:color="auto"/>
                <w:bottom w:val="none" w:sz="0" w:space="0" w:color="auto"/>
                <w:right w:val="none" w:sz="0" w:space="0" w:color="auto"/>
              </w:divBdr>
            </w:div>
          </w:divsChild>
        </w:div>
        <w:div w:id="2146926205">
          <w:marLeft w:val="0"/>
          <w:marRight w:val="0"/>
          <w:marTop w:val="0"/>
          <w:marBottom w:val="0"/>
          <w:divBdr>
            <w:top w:val="none" w:sz="0" w:space="0" w:color="auto"/>
            <w:left w:val="none" w:sz="0" w:space="0" w:color="auto"/>
            <w:bottom w:val="none" w:sz="0" w:space="0" w:color="auto"/>
            <w:right w:val="none" w:sz="0" w:space="0" w:color="auto"/>
          </w:divBdr>
          <w:divsChild>
            <w:div w:id="661540836">
              <w:marLeft w:val="0"/>
              <w:marRight w:val="0"/>
              <w:marTop w:val="0"/>
              <w:marBottom w:val="0"/>
              <w:divBdr>
                <w:top w:val="none" w:sz="0" w:space="0" w:color="auto"/>
                <w:left w:val="none" w:sz="0" w:space="0" w:color="auto"/>
                <w:bottom w:val="none" w:sz="0" w:space="0" w:color="auto"/>
                <w:right w:val="none" w:sz="0" w:space="0" w:color="auto"/>
              </w:divBdr>
            </w:div>
          </w:divsChild>
        </w:div>
        <w:div w:id="424156478">
          <w:marLeft w:val="0"/>
          <w:marRight w:val="0"/>
          <w:marTop w:val="0"/>
          <w:marBottom w:val="0"/>
          <w:divBdr>
            <w:top w:val="none" w:sz="0" w:space="0" w:color="auto"/>
            <w:left w:val="none" w:sz="0" w:space="0" w:color="auto"/>
            <w:bottom w:val="none" w:sz="0" w:space="0" w:color="auto"/>
            <w:right w:val="none" w:sz="0" w:space="0" w:color="auto"/>
          </w:divBdr>
          <w:divsChild>
            <w:div w:id="671224401">
              <w:marLeft w:val="0"/>
              <w:marRight w:val="0"/>
              <w:marTop w:val="0"/>
              <w:marBottom w:val="0"/>
              <w:divBdr>
                <w:top w:val="none" w:sz="0" w:space="0" w:color="auto"/>
                <w:left w:val="none" w:sz="0" w:space="0" w:color="auto"/>
                <w:bottom w:val="none" w:sz="0" w:space="0" w:color="auto"/>
                <w:right w:val="none" w:sz="0" w:space="0" w:color="auto"/>
              </w:divBdr>
            </w:div>
            <w:div w:id="1226912253">
              <w:marLeft w:val="0"/>
              <w:marRight w:val="0"/>
              <w:marTop w:val="0"/>
              <w:marBottom w:val="0"/>
              <w:divBdr>
                <w:top w:val="none" w:sz="0" w:space="0" w:color="auto"/>
                <w:left w:val="none" w:sz="0" w:space="0" w:color="auto"/>
                <w:bottom w:val="none" w:sz="0" w:space="0" w:color="auto"/>
                <w:right w:val="none" w:sz="0" w:space="0" w:color="auto"/>
              </w:divBdr>
            </w:div>
            <w:div w:id="14131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2795">
      <w:bodyDiv w:val="1"/>
      <w:marLeft w:val="0"/>
      <w:marRight w:val="0"/>
      <w:marTop w:val="0"/>
      <w:marBottom w:val="0"/>
      <w:divBdr>
        <w:top w:val="none" w:sz="0" w:space="0" w:color="auto"/>
        <w:left w:val="none" w:sz="0" w:space="0" w:color="auto"/>
        <w:bottom w:val="none" w:sz="0" w:space="0" w:color="auto"/>
        <w:right w:val="none" w:sz="0" w:space="0" w:color="auto"/>
      </w:divBdr>
      <w:divsChild>
        <w:div w:id="1626497902">
          <w:marLeft w:val="0"/>
          <w:marRight w:val="0"/>
          <w:marTop w:val="0"/>
          <w:marBottom w:val="0"/>
          <w:divBdr>
            <w:top w:val="none" w:sz="0" w:space="0" w:color="auto"/>
            <w:left w:val="none" w:sz="0" w:space="0" w:color="auto"/>
            <w:bottom w:val="none" w:sz="0" w:space="0" w:color="auto"/>
            <w:right w:val="none" w:sz="0" w:space="0" w:color="auto"/>
          </w:divBdr>
        </w:div>
        <w:div w:id="345329906">
          <w:marLeft w:val="0"/>
          <w:marRight w:val="0"/>
          <w:marTop w:val="0"/>
          <w:marBottom w:val="0"/>
          <w:divBdr>
            <w:top w:val="none" w:sz="0" w:space="0" w:color="auto"/>
            <w:left w:val="none" w:sz="0" w:space="0" w:color="auto"/>
            <w:bottom w:val="none" w:sz="0" w:space="0" w:color="auto"/>
            <w:right w:val="none" w:sz="0" w:space="0" w:color="auto"/>
          </w:divBdr>
        </w:div>
        <w:div w:id="1797019017">
          <w:marLeft w:val="0"/>
          <w:marRight w:val="0"/>
          <w:marTop w:val="0"/>
          <w:marBottom w:val="0"/>
          <w:divBdr>
            <w:top w:val="none" w:sz="0" w:space="0" w:color="auto"/>
            <w:left w:val="none" w:sz="0" w:space="0" w:color="auto"/>
            <w:bottom w:val="none" w:sz="0" w:space="0" w:color="auto"/>
            <w:right w:val="none" w:sz="0" w:space="0" w:color="auto"/>
          </w:divBdr>
        </w:div>
      </w:divsChild>
    </w:div>
    <w:div w:id="21182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A05FC29937F348B2359808BCF24071" ma:contentTypeVersion="4" ma:contentTypeDescription="Een nieuw document maken." ma:contentTypeScope="" ma:versionID="32f8ccc82ee419d494bafbb7859a758a">
  <xsd:schema xmlns:xsd="http://www.w3.org/2001/XMLSchema" xmlns:xs="http://www.w3.org/2001/XMLSchema" xmlns:p="http://schemas.microsoft.com/office/2006/metadata/properties" xmlns:ns2="3e97013b-1fda-4126-ba65-10fb8f3213a2" targetNamespace="http://schemas.microsoft.com/office/2006/metadata/properties" ma:root="true" ma:fieldsID="afcd562995a6c76a24561a97d2974abb" ns2:_="">
    <xsd:import namespace="3e97013b-1fda-4126-ba65-10fb8f3213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7013b-1fda-4126-ba65-10fb8f3213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C2A7FD-E3CF-4E43-A3BE-ADD262136004}">
  <ds:schemaRefs>
    <ds:schemaRef ds:uri="http://schemas.openxmlformats.org/officeDocument/2006/bibliography"/>
  </ds:schemaRefs>
</ds:datastoreItem>
</file>

<file path=customXml/itemProps2.xml><?xml version="1.0" encoding="utf-8"?>
<ds:datastoreItem xmlns:ds="http://schemas.openxmlformats.org/officeDocument/2006/customXml" ds:itemID="{F5717B22-E187-4AC4-B0ED-10E36C771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7013b-1fda-4126-ba65-10fb8f321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E3AAFE-D449-4665-A64F-CA6B319F9F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28756</Words>
  <Characters>163915</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Olivia Morales Gonzalez</cp:lastModifiedBy>
  <cp:revision>2</cp:revision>
  <dcterms:created xsi:type="dcterms:W3CDTF">2021-10-20T10:36:00Z</dcterms:created>
  <dcterms:modified xsi:type="dcterms:W3CDTF">2021-10-20T10:36:00Z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0x0101009FA05FC29937F348B2359808BCF24071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57d26999-c303-3950-a09d-d09ca1aaf5ea</vt:lpwstr>
  </property>
  <property fmtid="{D5CDD505-2E9C-101B-9397-08002B2CF9AE}" pid="25" name="Mendeley Citation Style_1">
    <vt:lpwstr>http://www.zotero.org/styles/apa</vt:lpwstr>
  </property>
</Properties>
</file>