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7ED4D" w14:textId="77777777" w:rsidR="008C59E4" w:rsidRPr="00AB64C2" w:rsidRDefault="008C59E4" w:rsidP="008C59E4">
      <w:pPr>
        <w:pStyle w:val="Title"/>
        <w:ind w:left="720"/>
        <w:rPr>
          <w:bCs/>
          <w:color w:val="002244"/>
          <w:sz w:val="72"/>
          <w:szCs w:val="72"/>
        </w:rPr>
      </w:pPr>
      <w:r w:rsidRPr="00AB64C2">
        <w:rPr>
          <w:b w:val="0"/>
          <w:color w:val="002244"/>
          <w:sz w:val="72"/>
          <w:szCs w:val="72"/>
        </w:rPr>
        <w:t>-</w:t>
      </w:r>
      <w:r w:rsidRPr="00AB64C2">
        <w:rPr>
          <w:bCs/>
          <w:color w:val="002244"/>
          <w:sz w:val="72"/>
          <w:szCs w:val="72"/>
        </w:rPr>
        <w:t xml:space="preserve"> IDEALFUEL</w:t>
      </w:r>
      <w:r>
        <w:rPr>
          <w:bCs/>
          <w:color w:val="002244"/>
          <w:sz w:val="72"/>
          <w:szCs w:val="72"/>
        </w:rPr>
        <w:t xml:space="preserve"> </w:t>
      </w:r>
      <w:r w:rsidRPr="00AB64C2">
        <w:rPr>
          <w:b w:val="0"/>
          <w:color w:val="002244"/>
          <w:sz w:val="72"/>
          <w:szCs w:val="72"/>
        </w:rPr>
        <w:t>-</w:t>
      </w:r>
    </w:p>
    <w:p w14:paraId="1807A43A" w14:textId="77777777" w:rsidR="008C59E4" w:rsidRPr="009D3B22" w:rsidRDefault="008C59E4" w:rsidP="008C59E4">
      <w:pPr>
        <w:pStyle w:val="Title"/>
        <w:ind w:left="720"/>
        <w:rPr>
          <w:color w:val="002244"/>
          <w:sz w:val="72"/>
          <w:szCs w:val="72"/>
        </w:rPr>
      </w:pPr>
      <w:r w:rsidRPr="009D3B22">
        <w:rPr>
          <w:b w:val="0"/>
          <w:color w:val="002244"/>
          <w:sz w:val="44"/>
          <w:szCs w:val="44"/>
        </w:rPr>
        <w:t>Lignin as a feedstock for renewable marine fuels</w:t>
      </w:r>
    </w:p>
    <w:p w14:paraId="78340548" w14:textId="77777777" w:rsidR="008C59E4" w:rsidRPr="00C31319" w:rsidRDefault="008C59E4" w:rsidP="008C59E4">
      <w:pPr>
        <w:rPr>
          <w:color w:val="002244"/>
          <w:lang w:val="en-GB"/>
        </w:rPr>
      </w:pPr>
    </w:p>
    <w:p w14:paraId="7EBB8E8B" w14:textId="77777777" w:rsidR="008C59E4" w:rsidRPr="007A4C09" w:rsidRDefault="008C59E4" w:rsidP="008C59E4">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33B2A418" w:rsidR="00AF6EDB" w:rsidRPr="0045629F" w:rsidRDefault="007A4C09" w:rsidP="007A4C09">
      <w:pPr>
        <w:jc w:val="center"/>
        <w:rPr>
          <w:lang w:val="en-GB"/>
        </w:rPr>
      </w:pPr>
      <w:r w:rsidRPr="00C31319">
        <w:rPr>
          <w:color w:val="00376F" w:themeColor="accent1" w:themeTint="E6"/>
          <w:sz w:val="40"/>
          <w:lang w:val="en-GB"/>
        </w:rPr>
        <w:t>D</w:t>
      </w:r>
      <w:r w:rsidR="008F7E36">
        <w:rPr>
          <w:color w:val="00376F" w:themeColor="accent1" w:themeTint="E6"/>
          <w:sz w:val="40"/>
          <w:lang w:val="en-GB"/>
        </w:rPr>
        <w:t>6.</w:t>
      </w:r>
      <w:r w:rsidR="000841E2">
        <w:rPr>
          <w:color w:val="00376F" w:themeColor="accent1" w:themeTint="E6"/>
          <w:sz w:val="40"/>
          <w:lang w:val="en-GB"/>
        </w:rPr>
        <w:t>2</w:t>
      </w:r>
      <w:r w:rsidRPr="00C31319">
        <w:rPr>
          <w:color w:val="00376F" w:themeColor="accent1" w:themeTint="E6"/>
          <w:sz w:val="40"/>
          <w:lang w:val="en-GB"/>
        </w:rPr>
        <w:t xml:space="preserve"> – </w:t>
      </w:r>
      <w:r w:rsidR="000841E2">
        <w:rPr>
          <w:color w:val="00376F" w:themeColor="accent1" w:themeTint="E6"/>
          <w:sz w:val="40"/>
          <w:lang w:val="en-GB"/>
        </w:rPr>
        <w:t>Market Assessment</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215"/>
        <w:gridCol w:w="5465"/>
        <w:gridCol w:w="1958"/>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267F9B22"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0841E2">
              <w:rPr>
                <w:color w:val="00376F" w:themeColor="accent1" w:themeTint="E6"/>
                <w:szCs w:val="21"/>
                <w:lang w:val="en-GB"/>
              </w:rPr>
              <w:t>6.2</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835" w:type="pct"/>
          </w:tcPr>
          <w:p w14:paraId="1515FFF3" w14:textId="29D243C6"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0841E2">
              <w:rPr>
                <w:color w:val="00376F" w:themeColor="accent1" w:themeTint="E6"/>
                <w:szCs w:val="21"/>
                <w:lang w:val="en-GB"/>
              </w:rPr>
              <w:t>6</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3841D901" w:rsidR="00AF6EDB" w:rsidRPr="00131E03" w:rsidRDefault="000841E2"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Market Assessment 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835" w:type="pct"/>
          </w:tcPr>
          <w:p w14:paraId="54DD73A1" w14:textId="33A18E43" w:rsidR="00AF6EDB" w:rsidRPr="00131E03" w:rsidRDefault="00A65BCC"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31</w:t>
            </w:r>
            <w:r w:rsidR="0075226F">
              <w:rPr>
                <w:color w:val="00376F" w:themeColor="accent1" w:themeTint="E6"/>
                <w:szCs w:val="21"/>
                <w:lang w:val="en-GB"/>
              </w:rPr>
              <w:t>-</w:t>
            </w:r>
            <w:r w:rsidR="004064D3">
              <w:rPr>
                <w:color w:val="00376F" w:themeColor="accent1" w:themeTint="E6"/>
                <w:szCs w:val="21"/>
                <w:lang w:val="en-GB"/>
              </w:rPr>
              <w:t>10</w:t>
            </w:r>
            <w:r w:rsidR="0075226F">
              <w:rPr>
                <w:color w:val="00376F" w:themeColor="accent1" w:themeTint="E6"/>
                <w:szCs w:val="21"/>
                <w:lang w:val="en-GB"/>
              </w:rPr>
              <w:t>-</w:t>
            </w:r>
            <w:r w:rsidR="004064D3">
              <w:rPr>
                <w:color w:val="00376F" w:themeColor="accent1" w:themeTint="E6"/>
                <w:szCs w:val="21"/>
                <w:lang w:val="en-GB"/>
              </w:rPr>
              <w:t>2021</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3384038A"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 xml:space="preserve">REPORT </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835" w:type="pct"/>
          </w:tcPr>
          <w:p w14:paraId="28A51CC1" w14:textId="5C170377" w:rsidR="00AF6EDB" w:rsidRPr="00131E03" w:rsidRDefault="0046218D"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sidRPr="00740AF9">
              <w:rPr>
                <w:color w:val="00376F" w:themeColor="accent1" w:themeTint="E6"/>
                <w:szCs w:val="21"/>
                <w:lang w:val="en-GB"/>
              </w:rPr>
              <w:t>Confidential – consortium members 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7956C8" w14:textId="77777777" w:rsidR="00AF6EDB" w:rsidRDefault="004D7265"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Olivia Morales</w:t>
            </w:r>
            <w:r w:rsidR="00F2653B" w:rsidRPr="00131E03">
              <w:rPr>
                <w:color w:val="00376F" w:themeColor="accent1" w:themeTint="E6"/>
                <w:szCs w:val="21"/>
                <w:lang w:val="en-GB"/>
              </w:rPr>
              <w:t xml:space="preserve"> (</w:t>
            </w:r>
            <w:r>
              <w:rPr>
                <w:color w:val="00376F" w:themeColor="accent1" w:themeTint="E6"/>
                <w:szCs w:val="21"/>
                <w:lang w:val="en-GB"/>
              </w:rPr>
              <w:t>GoodFuels</w:t>
            </w:r>
            <w:r w:rsidR="00F2653B" w:rsidRPr="00131E03">
              <w:rPr>
                <w:color w:val="00376F" w:themeColor="accent1" w:themeTint="E6"/>
                <w:szCs w:val="21"/>
                <w:lang w:val="en-GB"/>
              </w:rPr>
              <w:t>)</w:t>
            </w:r>
          </w:p>
          <w:p w14:paraId="28098469" w14:textId="2123DD3A" w:rsidR="00365985" w:rsidRPr="00131E03" w:rsidRDefault="00365985"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Felipe Ferrary (GoodFuels)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5206408B" w:rsidR="00AF6EDB" w:rsidRPr="00131E03" w:rsidRDefault="00D27197" w:rsidP="00131E03">
            <w:pPr>
              <w:jc w:val="left"/>
              <w:rPr>
                <w:color w:val="00376F" w:themeColor="accent1" w:themeTint="E6"/>
                <w:szCs w:val="21"/>
                <w:lang w:val="en-GB"/>
              </w:rPr>
            </w:pPr>
            <w:r>
              <w:rPr>
                <w:color w:val="00376F" w:themeColor="accent1" w:themeTint="E6"/>
                <w:szCs w:val="21"/>
                <w:lang w:val="en-GB"/>
              </w:rPr>
              <w:t>20</w:t>
            </w:r>
            <w:r w:rsidR="0075226F">
              <w:rPr>
                <w:color w:val="00376F" w:themeColor="accent1" w:themeTint="E6"/>
                <w:szCs w:val="21"/>
                <w:lang w:val="en-GB"/>
              </w:rPr>
              <w:t>-</w:t>
            </w:r>
            <w:r w:rsidR="003F6460">
              <w:rPr>
                <w:color w:val="00376F" w:themeColor="accent1" w:themeTint="E6"/>
                <w:szCs w:val="21"/>
                <w:lang w:val="en-GB"/>
              </w:rPr>
              <w:t>10</w:t>
            </w:r>
            <w:r w:rsidR="0075226F">
              <w:rPr>
                <w:color w:val="00376F" w:themeColor="accent1" w:themeTint="E6"/>
                <w:szCs w:val="21"/>
                <w:lang w:val="en-GB"/>
              </w:rPr>
              <w:t>-</w:t>
            </w:r>
            <w:r w:rsidR="003F6460">
              <w:rPr>
                <w:color w:val="00376F" w:themeColor="accent1" w:themeTint="E6"/>
                <w:szCs w:val="21"/>
                <w:lang w:val="en-GB"/>
              </w:rPr>
              <w:t>2021</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835" w:type="pct"/>
          </w:tcPr>
          <w:p w14:paraId="2829E5D2" w14:textId="20F7DD09" w:rsidR="00AF6EDB" w:rsidRPr="00131E03" w:rsidRDefault="002F52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Roy Hermanns</w:t>
            </w:r>
            <w:r w:rsidR="00581868" w:rsidRPr="00131E03">
              <w:rPr>
                <w:color w:val="00376F" w:themeColor="accent1" w:themeTint="E6"/>
                <w:szCs w:val="21"/>
                <w:lang w:val="en-GB"/>
              </w:rPr>
              <w:t xml:space="preserve"> (</w:t>
            </w:r>
            <w:r>
              <w:rPr>
                <w:color w:val="00376F" w:themeColor="accent1" w:themeTint="E6"/>
                <w:szCs w:val="21"/>
                <w:lang w:val="en-GB"/>
              </w:rPr>
              <w:t>TUe</w:t>
            </w:r>
            <w:r w:rsidR="00581868" w:rsidRPr="00131E03">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2FCDD63B" w:rsidR="00AF6EDB" w:rsidRPr="00131E03" w:rsidRDefault="00AF6EDB" w:rsidP="00131E03">
            <w:pPr>
              <w:jc w:val="left"/>
              <w:rPr>
                <w:color w:val="00376F" w:themeColor="accent1" w:themeTint="E6"/>
                <w:szCs w:val="21"/>
                <w:lang w:val="en-GB"/>
              </w:rPr>
            </w:pP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0CBD4C17" w:rsidR="00D34E10" w:rsidRPr="00131E03" w:rsidRDefault="002F52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Roy Hermanns</w:t>
            </w:r>
            <w:r w:rsidR="00D34E10" w:rsidRPr="00131E03">
              <w:rPr>
                <w:color w:val="00376F" w:themeColor="accent1" w:themeTint="E6"/>
                <w:szCs w:val="21"/>
                <w:lang w:val="en-GB"/>
              </w:rPr>
              <w:t xml:space="preserve"> (</w:t>
            </w:r>
            <w:r>
              <w:rPr>
                <w:color w:val="00376F" w:themeColor="accent1" w:themeTint="E6"/>
                <w:szCs w:val="21"/>
                <w:lang w:val="en-GB"/>
              </w:rPr>
              <w:t>TUe</w:t>
            </w:r>
            <w:r w:rsidR="00D34E10" w:rsidRPr="00131E03">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06A0592C" w:rsidR="00D34E10" w:rsidRPr="00131E03" w:rsidRDefault="00D34E10" w:rsidP="00131E03">
            <w:pPr>
              <w:spacing w:line="276" w:lineRule="auto"/>
              <w:jc w:val="left"/>
              <w:rPr>
                <w:color w:val="00376F" w:themeColor="accent1" w:themeTint="E6"/>
                <w:szCs w:val="21"/>
                <w:lang w:val="en-GB"/>
              </w:rPr>
            </w:pP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835" w:type="pct"/>
          </w:tcPr>
          <w:p w14:paraId="03690F98" w14:textId="78B7CCF3" w:rsidR="00AF6EDB" w:rsidRPr="00131E03" w:rsidRDefault="0045629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6E5B5884" w:rsidR="00592721" w:rsidRPr="00131E03" w:rsidRDefault="002D6984" w:rsidP="00131E03">
            <w:pPr>
              <w:spacing w:line="276" w:lineRule="auto"/>
              <w:jc w:val="left"/>
              <w:rPr>
                <w:color w:val="00376F" w:themeColor="accent1" w:themeTint="E6"/>
                <w:szCs w:val="21"/>
                <w:lang w:val="en-GB"/>
              </w:rPr>
            </w:pPr>
            <w:r>
              <w:rPr>
                <w:color w:val="00376F" w:themeColor="accent1" w:themeTint="E6"/>
                <w:szCs w:val="21"/>
                <w:lang w:val="en-GB"/>
              </w:rPr>
              <w:t>20-10-2021</w:t>
            </w:r>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4B082AD1" w:rsidR="00AF6EDB" w:rsidRPr="00131E03" w:rsidRDefault="002D6984"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Final</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3BBB39A0"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3853A4E9" w14:textId="17931221" w:rsidR="00581868" w:rsidRDefault="00581868" w:rsidP="00581868">
      <w:pPr>
        <w:rPr>
          <w:color w:val="FF0000"/>
          <w:lang w:val="en-GB"/>
        </w:rPr>
      </w:pPr>
    </w:p>
    <w:p w14:paraId="2235FCAE" w14:textId="64674A1C" w:rsidR="000C6781" w:rsidRPr="00D84E01" w:rsidRDefault="000C6781" w:rsidP="00137154">
      <w:pPr>
        <w:spacing w:after="120" w:line="360" w:lineRule="auto"/>
        <w:ind w:firstLine="720"/>
        <w:rPr>
          <w:rFonts w:asciiTheme="majorHAnsi" w:hAnsiTheme="majorHAnsi" w:cstheme="majorHAnsi"/>
          <w:color w:val="auto"/>
          <w:sz w:val="22"/>
          <w:szCs w:val="22"/>
          <w:lang w:val="en-GB"/>
        </w:rPr>
      </w:pPr>
      <w:r w:rsidRPr="00D84E01">
        <w:rPr>
          <w:rFonts w:asciiTheme="majorHAnsi" w:hAnsiTheme="majorHAnsi" w:cstheme="majorHAnsi"/>
          <w:color w:val="auto"/>
          <w:sz w:val="22"/>
          <w:szCs w:val="22"/>
          <w:lang w:val="en-GB"/>
        </w:rPr>
        <w:t>IDEALFUEL, EU H2020 project, aim</w:t>
      </w:r>
      <w:r w:rsidR="000A128B" w:rsidRPr="00D84E01">
        <w:rPr>
          <w:rFonts w:asciiTheme="majorHAnsi" w:hAnsiTheme="majorHAnsi" w:cstheme="majorHAnsi"/>
          <w:color w:val="auto"/>
          <w:sz w:val="22"/>
          <w:szCs w:val="22"/>
          <w:lang w:val="en-GB"/>
        </w:rPr>
        <w:t>s</w:t>
      </w:r>
      <w:r w:rsidRPr="00D84E01">
        <w:rPr>
          <w:rFonts w:asciiTheme="majorHAnsi" w:hAnsiTheme="majorHAnsi" w:cstheme="majorHAnsi"/>
          <w:color w:val="auto"/>
          <w:sz w:val="22"/>
          <w:szCs w:val="22"/>
          <w:lang w:val="en-GB"/>
        </w:rPr>
        <w:t xml:space="preserve"> to develop a Biogenic Heavy Fuel Oil (Bio-HFO)  that can be used as drop-in within the existing maritime infrastructure. As technical developments progress, it is necessary to assess the market for successful penetration. In this report, an overview of the market </w:t>
      </w:r>
      <w:r w:rsidR="00FF14DE" w:rsidRPr="00D84E01">
        <w:rPr>
          <w:rFonts w:asciiTheme="majorHAnsi" w:hAnsiTheme="majorHAnsi" w:cstheme="majorHAnsi"/>
          <w:color w:val="auto"/>
          <w:sz w:val="22"/>
          <w:szCs w:val="22"/>
          <w:lang w:val="en-GB"/>
        </w:rPr>
        <w:t xml:space="preserve">is presented </w:t>
      </w:r>
      <w:r w:rsidR="003E7AAC">
        <w:rPr>
          <w:rFonts w:asciiTheme="majorHAnsi" w:hAnsiTheme="majorHAnsi" w:cstheme="majorHAnsi"/>
          <w:color w:val="auto"/>
          <w:sz w:val="22"/>
          <w:szCs w:val="22"/>
          <w:lang w:val="en-GB"/>
        </w:rPr>
        <w:t xml:space="preserve">together with the </w:t>
      </w:r>
      <w:r w:rsidRPr="00D84E01">
        <w:rPr>
          <w:rFonts w:asciiTheme="majorHAnsi" w:hAnsiTheme="majorHAnsi" w:cstheme="majorHAnsi"/>
          <w:color w:val="auto"/>
          <w:sz w:val="22"/>
          <w:szCs w:val="22"/>
          <w:lang w:val="en-GB"/>
        </w:rPr>
        <w:t xml:space="preserve"> instruments that can affect the market </w:t>
      </w:r>
      <w:r w:rsidR="003E7AAC">
        <w:rPr>
          <w:rFonts w:asciiTheme="majorHAnsi" w:hAnsiTheme="majorHAnsi" w:cstheme="majorHAnsi"/>
          <w:color w:val="auto"/>
          <w:sz w:val="22"/>
          <w:szCs w:val="22"/>
          <w:lang w:val="en-GB"/>
        </w:rPr>
        <w:t>up-take</w:t>
      </w:r>
      <w:r w:rsidR="003E7AAC" w:rsidRPr="00D84E01">
        <w:rPr>
          <w:rFonts w:asciiTheme="majorHAnsi" w:hAnsiTheme="majorHAnsi" w:cstheme="majorHAnsi"/>
          <w:color w:val="auto"/>
          <w:sz w:val="22"/>
          <w:szCs w:val="22"/>
          <w:lang w:val="en-GB"/>
        </w:rPr>
        <w:t xml:space="preserve"> </w:t>
      </w:r>
      <w:r w:rsidRPr="00D84E01">
        <w:rPr>
          <w:rFonts w:asciiTheme="majorHAnsi" w:hAnsiTheme="majorHAnsi" w:cstheme="majorHAnsi"/>
          <w:color w:val="auto"/>
          <w:sz w:val="22"/>
          <w:szCs w:val="22"/>
          <w:lang w:val="en-GB"/>
        </w:rPr>
        <w:t xml:space="preserve">of the Bio-HFO. </w:t>
      </w:r>
    </w:p>
    <w:p w14:paraId="0C2B74B5" w14:textId="4F94322B" w:rsidR="000C6781" w:rsidRPr="00987396" w:rsidRDefault="000C6781" w:rsidP="00137154">
      <w:pPr>
        <w:spacing w:after="120" w:line="360" w:lineRule="auto"/>
        <w:ind w:firstLine="720"/>
        <w:rPr>
          <w:rFonts w:asciiTheme="majorHAnsi" w:hAnsiTheme="majorHAnsi" w:cstheme="majorHAnsi"/>
          <w:color w:val="auto"/>
          <w:sz w:val="22"/>
          <w:szCs w:val="22"/>
        </w:rPr>
      </w:pPr>
      <w:r w:rsidRPr="00AA110C">
        <w:rPr>
          <w:rFonts w:asciiTheme="majorHAnsi" w:hAnsiTheme="majorHAnsi" w:cstheme="majorHAnsi"/>
          <w:color w:val="auto"/>
          <w:sz w:val="22"/>
          <w:szCs w:val="22"/>
          <w:lang w:val="en-GB"/>
        </w:rPr>
        <w:t xml:space="preserve">This reports assesses the following aspects, with </w:t>
      </w:r>
      <w:r w:rsidR="00CF7B93" w:rsidRPr="00AA110C">
        <w:rPr>
          <w:rFonts w:asciiTheme="majorHAnsi" w:hAnsiTheme="majorHAnsi" w:cstheme="majorHAnsi"/>
          <w:color w:val="auto"/>
          <w:sz w:val="22"/>
          <w:szCs w:val="22"/>
          <w:lang w:val="en-GB"/>
        </w:rPr>
        <w:t xml:space="preserve">the </w:t>
      </w:r>
      <w:r w:rsidRPr="00AA110C">
        <w:rPr>
          <w:rFonts w:asciiTheme="majorHAnsi" w:hAnsiTheme="majorHAnsi" w:cstheme="majorHAnsi"/>
          <w:color w:val="auto"/>
          <w:sz w:val="22"/>
          <w:szCs w:val="22"/>
          <w:lang w:val="en-GB"/>
        </w:rPr>
        <w:t>perspective</w:t>
      </w:r>
      <w:r w:rsidR="00CF7B93" w:rsidRPr="00AA110C">
        <w:rPr>
          <w:rFonts w:asciiTheme="majorHAnsi" w:hAnsiTheme="majorHAnsi" w:cstheme="majorHAnsi"/>
          <w:color w:val="auto"/>
          <w:sz w:val="22"/>
          <w:szCs w:val="22"/>
          <w:lang w:val="en-GB"/>
        </w:rPr>
        <w:t xml:space="preserve"> of the European Economic Area</w:t>
      </w:r>
      <w:r w:rsidRPr="00AA110C">
        <w:rPr>
          <w:rFonts w:asciiTheme="majorHAnsi" w:hAnsiTheme="majorHAnsi" w:cstheme="majorHAnsi"/>
          <w:color w:val="auto"/>
          <w:sz w:val="22"/>
          <w:szCs w:val="22"/>
          <w:lang w:val="en-GB"/>
        </w:rPr>
        <w:t xml:space="preserve">, namely: </w:t>
      </w:r>
      <w:r w:rsidRPr="00D27197">
        <w:rPr>
          <w:rFonts w:asciiTheme="majorHAnsi" w:hAnsiTheme="majorHAnsi" w:cstheme="majorHAnsi"/>
          <w:color w:val="auto"/>
          <w:sz w:val="22"/>
          <w:szCs w:val="22"/>
          <w:lang w:val="en-GB"/>
        </w:rPr>
        <w:t>legislation, mandates and incentives; emission performance; fuel compatibility and blend-ability; and production cost.</w:t>
      </w:r>
      <w:r w:rsidRPr="00D27197">
        <w:rPr>
          <w:rFonts w:asciiTheme="majorHAnsi" w:hAnsiTheme="majorHAnsi" w:cstheme="majorHAnsi"/>
          <w:color w:val="auto"/>
          <w:sz w:val="22"/>
          <w:szCs w:val="22"/>
        </w:rPr>
        <w:t xml:space="preserve"> Cost is currently </w:t>
      </w:r>
      <w:r w:rsidR="003E7AAC" w:rsidRPr="00D27197">
        <w:rPr>
          <w:rFonts w:asciiTheme="majorHAnsi" w:hAnsiTheme="majorHAnsi" w:cstheme="majorHAnsi"/>
          <w:color w:val="auto"/>
          <w:sz w:val="22"/>
          <w:szCs w:val="22"/>
        </w:rPr>
        <w:t>a determining</w:t>
      </w:r>
      <w:r w:rsidRPr="00D27197">
        <w:rPr>
          <w:rFonts w:asciiTheme="majorHAnsi" w:hAnsiTheme="majorHAnsi" w:cstheme="majorHAnsi"/>
          <w:color w:val="auto"/>
          <w:sz w:val="22"/>
          <w:szCs w:val="22"/>
        </w:rPr>
        <w:t xml:space="preserve"> market driver. Nevertheless, it is important to consider how the legislative framework</w:t>
      </w:r>
      <w:r w:rsidR="002B5A63" w:rsidRPr="00D27197">
        <w:rPr>
          <w:rFonts w:asciiTheme="majorHAnsi" w:hAnsiTheme="majorHAnsi" w:cstheme="majorHAnsi"/>
          <w:color w:val="auto"/>
          <w:sz w:val="22"/>
          <w:szCs w:val="22"/>
        </w:rPr>
        <w:t>s</w:t>
      </w:r>
      <w:r w:rsidRPr="00D27197">
        <w:rPr>
          <w:rFonts w:asciiTheme="majorHAnsi" w:hAnsiTheme="majorHAnsi" w:cstheme="majorHAnsi"/>
          <w:color w:val="auto"/>
          <w:sz w:val="22"/>
          <w:szCs w:val="22"/>
        </w:rPr>
        <w:t xml:space="preserve"> that </w:t>
      </w:r>
      <w:r w:rsidR="002B5A63" w:rsidRPr="00D27197">
        <w:rPr>
          <w:rFonts w:asciiTheme="majorHAnsi" w:hAnsiTheme="majorHAnsi" w:cstheme="majorHAnsi"/>
          <w:color w:val="auto"/>
          <w:sz w:val="22"/>
          <w:szCs w:val="22"/>
        </w:rPr>
        <w:t>are</w:t>
      </w:r>
      <w:r w:rsidRPr="00D27197">
        <w:rPr>
          <w:rFonts w:asciiTheme="majorHAnsi" w:hAnsiTheme="majorHAnsi" w:cstheme="majorHAnsi"/>
          <w:color w:val="auto"/>
          <w:sz w:val="22"/>
          <w:szCs w:val="22"/>
        </w:rPr>
        <w:t xml:space="preserve"> currently in development will affect </w:t>
      </w:r>
      <w:r w:rsidR="003E7AAC" w:rsidRPr="00D27197">
        <w:rPr>
          <w:rFonts w:asciiTheme="majorHAnsi" w:hAnsiTheme="majorHAnsi" w:cstheme="majorHAnsi"/>
          <w:color w:val="auto"/>
          <w:sz w:val="22"/>
          <w:szCs w:val="22"/>
        </w:rPr>
        <w:t>it</w:t>
      </w:r>
      <w:r w:rsidRPr="00D27197">
        <w:rPr>
          <w:rFonts w:asciiTheme="majorHAnsi" w:hAnsiTheme="majorHAnsi" w:cstheme="majorHAnsi"/>
          <w:color w:val="auto"/>
          <w:sz w:val="22"/>
          <w:szCs w:val="22"/>
        </w:rPr>
        <w:t xml:space="preserve">.   </w:t>
      </w:r>
      <w:r w:rsidR="003E7AAC" w:rsidRPr="00D27197">
        <w:rPr>
          <w:rFonts w:asciiTheme="majorHAnsi" w:hAnsiTheme="majorHAnsi" w:cstheme="majorHAnsi"/>
          <w:color w:val="auto"/>
          <w:sz w:val="22"/>
          <w:szCs w:val="22"/>
        </w:rPr>
        <w:t xml:space="preserve">Moreover, </w:t>
      </w:r>
      <w:r w:rsidRPr="00D27197">
        <w:rPr>
          <w:rFonts w:asciiTheme="majorHAnsi" w:hAnsiTheme="majorHAnsi" w:cstheme="majorHAnsi"/>
          <w:color w:val="auto"/>
          <w:sz w:val="22"/>
          <w:szCs w:val="22"/>
        </w:rPr>
        <w:t xml:space="preserve">the </w:t>
      </w:r>
      <w:r w:rsidR="00EC09D6" w:rsidRPr="00D27197">
        <w:rPr>
          <w:rFonts w:asciiTheme="majorHAnsi" w:hAnsiTheme="majorHAnsi" w:cstheme="majorHAnsi"/>
          <w:color w:val="auto"/>
          <w:sz w:val="22"/>
          <w:szCs w:val="22"/>
        </w:rPr>
        <w:t xml:space="preserve">potential </w:t>
      </w:r>
      <w:r w:rsidR="003E7AAC" w:rsidRPr="00D27197">
        <w:rPr>
          <w:rFonts w:asciiTheme="majorHAnsi" w:hAnsiTheme="majorHAnsi" w:cstheme="majorHAnsi"/>
          <w:color w:val="auto"/>
          <w:sz w:val="22"/>
          <w:szCs w:val="22"/>
        </w:rPr>
        <w:t xml:space="preserve">reduction in emissions </w:t>
      </w:r>
      <w:r w:rsidRPr="00D27197">
        <w:rPr>
          <w:rFonts w:asciiTheme="majorHAnsi" w:hAnsiTheme="majorHAnsi" w:cstheme="majorHAnsi"/>
          <w:color w:val="auto"/>
          <w:sz w:val="22"/>
          <w:szCs w:val="22"/>
          <w:lang w:val="en-GB"/>
        </w:rPr>
        <w:t xml:space="preserve">will be translated into marketing advantages, whether by branding or premium benefit. </w:t>
      </w:r>
      <w:r w:rsidRPr="00D27197">
        <w:rPr>
          <w:rFonts w:asciiTheme="majorHAnsi" w:hAnsiTheme="majorHAnsi" w:cstheme="majorHAnsi"/>
          <w:color w:val="auto"/>
          <w:sz w:val="22"/>
          <w:szCs w:val="22"/>
        </w:rPr>
        <w:t xml:space="preserve">Finally recommendations are given </w:t>
      </w:r>
      <w:r w:rsidR="00CF7B93" w:rsidRPr="00D27197">
        <w:rPr>
          <w:rFonts w:asciiTheme="majorHAnsi" w:hAnsiTheme="majorHAnsi" w:cstheme="majorHAnsi"/>
          <w:color w:val="auto"/>
          <w:sz w:val="22"/>
          <w:szCs w:val="22"/>
        </w:rPr>
        <w:t>and</w:t>
      </w:r>
      <w:r w:rsidRPr="00D27197">
        <w:rPr>
          <w:rFonts w:asciiTheme="majorHAnsi" w:hAnsiTheme="majorHAnsi" w:cstheme="majorHAnsi"/>
          <w:color w:val="auto"/>
          <w:sz w:val="22"/>
          <w:szCs w:val="22"/>
        </w:rPr>
        <w:t xml:space="preserve"> potential risks are identified</w:t>
      </w:r>
      <w:r w:rsidRPr="00987396">
        <w:rPr>
          <w:rFonts w:asciiTheme="majorHAnsi" w:hAnsiTheme="majorHAnsi" w:cstheme="majorHAnsi"/>
          <w:color w:val="auto"/>
          <w:sz w:val="22"/>
          <w:szCs w:val="22"/>
        </w:rPr>
        <w:t xml:space="preserve">. </w:t>
      </w:r>
    </w:p>
    <w:p w14:paraId="47FE4866" w14:textId="7B7E644F" w:rsidR="00B70F9E" w:rsidRDefault="00017D36" w:rsidP="00B70F9E">
      <w:pPr>
        <w:pStyle w:val="NormalWeb"/>
        <w:spacing w:before="0" w:beforeAutospacing="0" w:after="0" w:afterAutospacing="0"/>
        <w:rPr>
          <w:rFonts w:ascii="Calibri" w:hAnsi="Calibri" w:cs="Calibri"/>
          <w:sz w:val="28"/>
          <w:szCs w:val="28"/>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5FB43A10" w14:textId="3916341C" w:rsidR="009C66F7" w:rsidRDefault="00AF6EDB"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85627853" w:history="1">
            <w:r w:rsidR="009C66F7" w:rsidRPr="00E13A48">
              <w:rPr>
                <w:rStyle w:val="Hyperlink"/>
                <w:noProof/>
              </w:rPr>
              <w:t>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Introduction</w:t>
            </w:r>
            <w:r w:rsidR="009C66F7">
              <w:rPr>
                <w:noProof/>
                <w:webHidden/>
              </w:rPr>
              <w:tab/>
            </w:r>
            <w:r w:rsidR="009C66F7">
              <w:rPr>
                <w:noProof/>
                <w:webHidden/>
              </w:rPr>
              <w:fldChar w:fldCharType="begin"/>
            </w:r>
            <w:r w:rsidR="009C66F7">
              <w:rPr>
                <w:noProof/>
                <w:webHidden/>
              </w:rPr>
              <w:instrText xml:space="preserve"> PAGEREF _Toc85627853 \h </w:instrText>
            </w:r>
            <w:r w:rsidR="009C66F7">
              <w:rPr>
                <w:noProof/>
                <w:webHidden/>
              </w:rPr>
            </w:r>
            <w:r w:rsidR="009C66F7">
              <w:rPr>
                <w:noProof/>
                <w:webHidden/>
              </w:rPr>
              <w:fldChar w:fldCharType="separate"/>
            </w:r>
            <w:r w:rsidR="007E0446">
              <w:rPr>
                <w:noProof/>
                <w:webHidden/>
              </w:rPr>
              <w:t>6</w:t>
            </w:r>
            <w:r w:rsidR="009C66F7">
              <w:rPr>
                <w:noProof/>
                <w:webHidden/>
              </w:rPr>
              <w:fldChar w:fldCharType="end"/>
            </w:r>
          </w:hyperlink>
        </w:p>
        <w:p w14:paraId="20245806" w14:textId="07E9AD01"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4" w:history="1">
            <w:r w:rsidR="009C66F7" w:rsidRPr="00E13A48">
              <w:rPr>
                <w:rStyle w:val="Hyperlink"/>
                <w:noProof/>
              </w:rPr>
              <w:t>1.1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Background IDEALFUEL Bio-HFO</w:t>
            </w:r>
            <w:r w:rsidR="009C66F7">
              <w:rPr>
                <w:noProof/>
                <w:webHidden/>
              </w:rPr>
              <w:tab/>
            </w:r>
            <w:r w:rsidR="009C66F7">
              <w:rPr>
                <w:noProof/>
                <w:webHidden/>
              </w:rPr>
              <w:fldChar w:fldCharType="begin"/>
            </w:r>
            <w:r w:rsidR="009C66F7">
              <w:rPr>
                <w:noProof/>
                <w:webHidden/>
              </w:rPr>
              <w:instrText xml:space="preserve"> PAGEREF _Toc85627854 \h </w:instrText>
            </w:r>
            <w:r w:rsidR="009C66F7">
              <w:rPr>
                <w:noProof/>
                <w:webHidden/>
              </w:rPr>
            </w:r>
            <w:r w:rsidR="009C66F7">
              <w:rPr>
                <w:noProof/>
                <w:webHidden/>
              </w:rPr>
              <w:fldChar w:fldCharType="separate"/>
            </w:r>
            <w:r w:rsidR="007E0446">
              <w:rPr>
                <w:noProof/>
                <w:webHidden/>
              </w:rPr>
              <w:t>6</w:t>
            </w:r>
            <w:r w:rsidR="009C66F7">
              <w:rPr>
                <w:noProof/>
                <w:webHidden/>
              </w:rPr>
              <w:fldChar w:fldCharType="end"/>
            </w:r>
          </w:hyperlink>
        </w:p>
        <w:p w14:paraId="2D519A59" w14:textId="7EAAA96C"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5" w:history="1">
            <w:r w:rsidR="009C66F7" w:rsidRPr="00E13A48">
              <w:rPr>
                <w:rStyle w:val="Hyperlink"/>
                <w:noProof/>
              </w:rPr>
              <w:t>1.2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Objective</w:t>
            </w:r>
            <w:r w:rsidR="009C66F7">
              <w:rPr>
                <w:noProof/>
                <w:webHidden/>
              </w:rPr>
              <w:tab/>
            </w:r>
            <w:r w:rsidR="009C66F7">
              <w:rPr>
                <w:noProof/>
                <w:webHidden/>
              </w:rPr>
              <w:fldChar w:fldCharType="begin"/>
            </w:r>
            <w:r w:rsidR="009C66F7">
              <w:rPr>
                <w:noProof/>
                <w:webHidden/>
              </w:rPr>
              <w:instrText xml:space="preserve"> PAGEREF _Toc85627855 \h </w:instrText>
            </w:r>
            <w:r w:rsidR="009C66F7">
              <w:rPr>
                <w:noProof/>
                <w:webHidden/>
              </w:rPr>
            </w:r>
            <w:r w:rsidR="009C66F7">
              <w:rPr>
                <w:noProof/>
                <w:webHidden/>
              </w:rPr>
              <w:fldChar w:fldCharType="separate"/>
            </w:r>
            <w:r w:rsidR="007E0446">
              <w:rPr>
                <w:noProof/>
                <w:webHidden/>
              </w:rPr>
              <w:t>7</w:t>
            </w:r>
            <w:r w:rsidR="009C66F7">
              <w:rPr>
                <w:noProof/>
                <w:webHidden/>
              </w:rPr>
              <w:fldChar w:fldCharType="end"/>
            </w:r>
          </w:hyperlink>
        </w:p>
        <w:p w14:paraId="2E9B1CB4" w14:textId="2FA90D96"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6" w:history="1">
            <w:r w:rsidR="009C66F7" w:rsidRPr="00E13A48">
              <w:rPr>
                <w:rStyle w:val="Hyperlink"/>
                <w:noProof/>
              </w:rPr>
              <w:t>1.3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Outline of Report</w:t>
            </w:r>
            <w:r w:rsidR="009C66F7">
              <w:rPr>
                <w:noProof/>
                <w:webHidden/>
              </w:rPr>
              <w:tab/>
            </w:r>
            <w:r w:rsidR="009C66F7">
              <w:rPr>
                <w:noProof/>
                <w:webHidden/>
              </w:rPr>
              <w:fldChar w:fldCharType="begin"/>
            </w:r>
            <w:r w:rsidR="009C66F7">
              <w:rPr>
                <w:noProof/>
                <w:webHidden/>
              </w:rPr>
              <w:instrText xml:space="preserve"> PAGEREF _Toc85627856 \h </w:instrText>
            </w:r>
            <w:r w:rsidR="009C66F7">
              <w:rPr>
                <w:noProof/>
                <w:webHidden/>
              </w:rPr>
            </w:r>
            <w:r w:rsidR="009C66F7">
              <w:rPr>
                <w:noProof/>
                <w:webHidden/>
              </w:rPr>
              <w:fldChar w:fldCharType="separate"/>
            </w:r>
            <w:r w:rsidR="007E0446">
              <w:rPr>
                <w:noProof/>
                <w:webHidden/>
              </w:rPr>
              <w:t>7</w:t>
            </w:r>
            <w:r w:rsidR="009C66F7">
              <w:rPr>
                <w:noProof/>
                <w:webHidden/>
              </w:rPr>
              <w:fldChar w:fldCharType="end"/>
            </w:r>
          </w:hyperlink>
        </w:p>
        <w:p w14:paraId="0FA8ED1A" w14:textId="104F3FE6" w:rsidR="009C66F7" w:rsidRDefault="0046218D"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7" w:history="1">
            <w:r w:rsidR="009C66F7" w:rsidRPr="00E13A48">
              <w:rPr>
                <w:rStyle w:val="Hyperlink"/>
                <w:noProof/>
              </w:rPr>
              <w:t>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Socio-economical Context</w:t>
            </w:r>
            <w:r w:rsidR="009C66F7">
              <w:rPr>
                <w:noProof/>
                <w:webHidden/>
              </w:rPr>
              <w:tab/>
            </w:r>
            <w:r w:rsidR="009C66F7">
              <w:rPr>
                <w:noProof/>
                <w:webHidden/>
              </w:rPr>
              <w:fldChar w:fldCharType="begin"/>
            </w:r>
            <w:r w:rsidR="009C66F7">
              <w:rPr>
                <w:noProof/>
                <w:webHidden/>
              </w:rPr>
              <w:instrText xml:space="preserve"> PAGEREF _Toc85627857 \h </w:instrText>
            </w:r>
            <w:r w:rsidR="009C66F7">
              <w:rPr>
                <w:noProof/>
                <w:webHidden/>
              </w:rPr>
            </w:r>
            <w:r w:rsidR="009C66F7">
              <w:rPr>
                <w:noProof/>
                <w:webHidden/>
              </w:rPr>
              <w:fldChar w:fldCharType="separate"/>
            </w:r>
            <w:r w:rsidR="007E0446">
              <w:rPr>
                <w:noProof/>
                <w:webHidden/>
              </w:rPr>
              <w:t>8</w:t>
            </w:r>
            <w:r w:rsidR="009C66F7">
              <w:rPr>
                <w:noProof/>
                <w:webHidden/>
              </w:rPr>
              <w:fldChar w:fldCharType="end"/>
            </w:r>
          </w:hyperlink>
        </w:p>
        <w:p w14:paraId="5E9CAB67" w14:textId="0F0FDF97"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8" w:history="1">
            <w:r w:rsidR="009C66F7" w:rsidRPr="00E13A48">
              <w:rPr>
                <w:rStyle w:val="Hyperlink"/>
                <w:noProof/>
              </w:rPr>
              <w:t>2.1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Regulatory Frameworks</w:t>
            </w:r>
            <w:r w:rsidR="009C66F7">
              <w:rPr>
                <w:noProof/>
                <w:webHidden/>
              </w:rPr>
              <w:tab/>
            </w:r>
            <w:r w:rsidR="009C66F7">
              <w:rPr>
                <w:noProof/>
                <w:webHidden/>
              </w:rPr>
              <w:fldChar w:fldCharType="begin"/>
            </w:r>
            <w:r w:rsidR="009C66F7">
              <w:rPr>
                <w:noProof/>
                <w:webHidden/>
              </w:rPr>
              <w:instrText xml:space="preserve"> PAGEREF _Toc85627858 \h </w:instrText>
            </w:r>
            <w:r w:rsidR="009C66F7">
              <w:rPr>
                <w:noProof/>
                <w:webHidden/>
              </w:rPr>
            </w:r>
            <w:r w:rsidR="009C66F7">
              <w:rPr>
                <w:noProof/>
                <w:webHidden/>
              </w:rPr>
              <w:fldChar w:fldCharType="separate"/>
            </w:r>
            <w:r w:rsidR="007E0446">
              <w:rPr>
                <w:noProof/>
                <w:webHidden/>
              </w:rPr>
              <w:t>8</w:t>
            </w:r>
            <w:r w:rsidR="009C66F7">
              <w:rPr>
                <w:noProof/>
                <w:webHidden/>
              </w:rPr>
              <w:fldChar w:fldCharType="end"/>
            </w:r>
          </w:hyperlink>
        </w:p>
        <w:p w14:paraId="3B6867A8" w14:textId="544352D6" w:rsidR="009C66F7" w:rsidRDefault="0046218D"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9" w:history="1">
            <w:r w:rsidR="009C66F7" w:rsidRPr="00E13A48">
              <w:rPr>
                <w:rStyle w:val="Hyperlink"/>
                <w:noProof/>
              </w:rPr>
              <w:t>2.1.1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International Convention for the Prevention of Pollution from Ships (MARPOL)</w:t>
            </w:r>
            <w:r w:rsidR="009C66F7">
              <w:rPr>
                <w:noProof/>
                <w:webHidden/>
              </w:rPr>
              <w:tab/>
            </w:r>
            <w:r w:rsidR="009C66F7">
              <w:rPr>
                <w:noProof/>
                <w:webHidden/>
              </w:rPr>
              <w:fldChar w:fldCharType="begin"/>
            </w:r>
            <w:r w:rsidR="009C66F7">
              <w:rPr>
                <w:noProof/>
                <w:webHidden/>
              </w:rPr>
              <w:instrText xml:space="preserve"> PAGEREF _Toc85627859 \h </w:instrText>
            </w:r>
            <w:r w:rsidR="009C66F7">
              <w:rPr>
                <w:noProof/>
                <w:webHidden/>
              </w:rPr>
            </w:r>
            <w:r w:rsidR="009C66F7">
              <w:rPr>
                <w:noProof/>
                <w:webHidden/>
              </w:rPr>
              <w:fldChar w:fldCharType="separate"/>
            </w:r>
            <w:r w:rsidR="007E0446">
              <w:rPr>
                <w:noProof/>
                <w:webHidden/>
              </w:rPr>
              <w:t>8</w:t>
            </w:r>
            <w:r w:rsidR="009C66F7">
              <w:rPr>
                <w:noProof/>
                <w:webHidden/>
              </w:rPr>
              <w:fldChar w:fldCharType="end"/>
            </w:r>
          </w:hyperlink>
        </w:p>
        <w:p w14:paraId="2F5D7EAF" w14:textId="2D4B2A59" w:rsidR="009C66F7" w:rsidRDefault="0046218D"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0" w:history="1">
            <w:r w:rsidR="009C66F7" w:rsidRPr="00E13A48">
              <w:rPr>
                <w:rStyle w:val="Hyperlink"/>
                <w:noProof/>
              </w:rPr>
              <w:t>2.1.2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Renewable Energy Directive (RED)</w:t>
            </w:r>
            <w:r w:rsidR="009C66F7">
              <w:rPr>
                <w:noProof/>
                <w:webHidden/>
              </w:rPr>
              <w:tab/>
            </w:r>
            <w:r w:rsidR="009C66F7">
              <w:rPr>
                <w:noProof/>
                <w:webHidden/>
              </w:rPr>
              <w:fldChar w:fldCharType="begin"/>
            </w:r>
            <w:r w:rsidR="009C66F7">
              <w:rPr>
                <w:noProof/>
                <w:webHidden/>
              </w:rPr>
              <w:instrText xml:space="preserve"> PAGEREF _Toc85627860 \h </w:instrText>
            </w:r>
            <w:r w:rsidR="009C66F7">
              <w:rPr>
                <w:noProof/>
                <w:webHidden/>
              </w:rPr>
            </w:r>
            <w:r w:rsidR="009C66F7">
              <w:rPr>
                <w:noProof/>
                <w:webHidden/>
              </w:rPr>
              <w:fldChar w:fldCharType="separate"/>
            </w:r>
            <w:r w:rsidR="007E0446">
              <w:rPr>
                <w:noProof/>
                <w:webHidden/>
              </w:rPr>
              <w:t>10</w:t>
            </w:r>
            <w:r w:rsidR="009C66F7">
              <w:rPr>
                <w:noProof/>
                <w:webHidden/>
              </w:rPr>
              <w:fldChar w:fldCharType="end"/>
            </w:r>
          </w:hyperlink>
        </w:p>
        <w:p w14:paraId="30D1D392" w14:textId="660BC4C8" w:rsidR="009C66F7" w:rsidRDefault="0046218D"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1" w:history="1">
            <w:r w:rsidR="009C66F7" w:rsidRPr="00E13A48">
              <w:rPr>
                <w:rStyle w:val="Hyperlink"/>
                <w:noProof/>
              </w:rPr>
              <w:t>2.1.3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European Green Deal (EGD) and Fit for 55</w:t>
            </w:r>
            <w:r w:rsidR="009C66F7">
              <w:rPr>
                <w:noProof/>
                <w:webHidden/>
              </w:rPr>
              <w:tab/>
            </w:r>
            <w:r w:rsidR="009C66F7">
              <w:rPr>
                <w:noProof/>
                <w:webHidden/>
              </w:rPr>
              <w:fldChar w:fldCharType="begin"/>
            </w:r>
            <w:r w:rsidR="009C66F7">
              <w:rPr>
                <w:noProof/>
                <w:webHidden/>
              </w:rPr>
              <w:instrText xml:space="preserve"> PAGEREF _Toc85627861 \h </w:instrText>
            </w:r>
            <w:r w:rsidR="009C66F7">
              <w:rPr>
                <w:noProof/>
                <w:webHidden/>
              </w:rPr>
            </w:r>
            <w:r w:rsidR="009C66F7">
              <w:rPr>
                <w:noProof/>
                <w:webHidden/>
              </w:rPr>
              <w:fldChar w:fldCharType="separate"/>
            </w:r>
            <w:r w:rsidR="007E0446">
              <w:rPr>
                <w:noProof/>
                <w:webHidden/>
              </w:rPr>
              <w:t>12</w:t>
            </w:r>
            <w:r w:rsidR="009C66F7">
              <w:rPr>
                <w:noProof/>
                <w:webHidden/>
              </w:rPr>
              <w:fldChar w:fldCharType="end"/>
            </w:r>
          </w:hyperlink>
        </w:p>
        <w:p w14:paraId="7CAE5344" w14:textId="1A8BE17F" w:rsidR="009C66F7" w:rsidRDefault="0046218D"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2" w:history="1">
            <w:r w:rsidR="009C66F7" w:rsidRPr="00E13A48">
              <w:rPr>
                <w:rStyle w:val="Hyperlink"/>
                <w:noProof/>
              </w:rPr>
              <w:t>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Fuels in the Shipping sector</w:t>
            </w:r>
            <w:r w:rsidR="009C66F7">
              <w:rPr>
                <w:noProof/>
                <w:webHidden/>
              </w:rPr>
              <w:tab/>
            </w:r>
            <w:r w:rsidR="009C66F7">
              <w:rPr>
                <w:noProof/>
                <w:webHidden/>
              </w:rPr>
              <w:fldChar w:fldCharType="begin"/>
            </w:r>
            <w:r w:rsidR="009C66F7">
              <w:rPr>
                <w:noProof/>
                <w:webHidden/>
              </w:rPr>
              <w:instrText xml:space="preserve"> PAGEREF _Toc85627862 \h </w:instrText>
            </w:r>
            <w:r w:rsidR="009C66F7">
              <w:rPr>
                <w:noProof/>
                <w:webHidden/>
              </w:rPr>
            </w:r>
            <w:r w:rsidR="009C66F7">
              <w:rPr>
                <w:noProof/>
                <w:webHidden/>
              </w:rPr>
              <w:fldChar w:fldCharType="separate"/>
            </w:r>
            <w:r w:rsidR="007E0446">
              <w:rPr>
                <w:noProof/>
                <w:webHidden/>
              </w:rPr>
              <w:t>15</w:t>
            </w:r>
            <w:r w:rsidR="009C66F7">
              <w:rPr>
                <w:noProof/>
                <w:webHidden/>
              </w:rPr>
              <w:fldChar w:fldCharType="end"/>
            </w:r>
          </w:hyperlink>
        </w:p>
        <w:p w14:paraId="46BD3FA1" w14:textId="72C0DB14"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3" w:history="1">
            <w:r w:rsidR="009C66F7" w:rsidRPr="00E13A48">
              <w:rPr>
                <w:rStyle w:val="Hyperlink"/>
                <w:noProof/>
              </w:rPr>
              <w:t>3.1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Marine Fossil Liquid Fuels</w:t>
            </w:r>
            <w:r w:rsidR="009C66F7">
              <w:rPr>
                <w:noProof/>
                <w:webHidden/>
              </w:rPr>
              <w:tab/>
            </w:r>
            <w:r w:rsidR="009C66F7">
              <w:rPr>
                <w:noProof/>
                <w:webHidden/>
              </w:rPr>
              <w:fldChar w:fldCharType="begin"/>
            </w:r>
            <w:r w:rsidR="009C66F7">
              <w:rPr>
                <w:noProof/>
                <w:webHidden/>
              </w:rPr>
              <w:instrText xml:space="preserve"> PAGEREF _Toc85627863 \h </w:instrText>
            </w:r>
            <w:r w:rsidR="009C66F7">
              <w:rPr>
                <w:noProof/>
                <w:webHidden/>
              </w:rPr>
            </w:r>
            <w:r w:rsidR="009C66F7">
              <w:rPr>
                <w:noProof/>
                <w:webHidden/>
              </w:rPr>
              <w:fldChar w:fldCharType="separate"/>
            </w:r>
            <w:r w:rsidR="007E0446">
              <w:rPr>
                <w:noProof/>
                <w:webHidden/>
              </w:rPr>
              <w:t>16</w:t>
            </w:r>
            <w:r w:rsidR="009C66F7">
              <w:rPr>
                <w:noProof/>
                <w:webHidden/>
              </w:rPr>
              <w:fldChar w:fldCharType="end"/>
            </w:r>
          </w:hyperlink>
        </w:p>
        <w:p w14:paraId="653EDAED" w14:textId="45B11D98"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4" w:history="1">
            <w:r w:rsidR="009C66F7" w:rsidRPr="00E13A48">
              <w:rPr>
                <w:rStyle w:val="Hyperlink"/>
                <w:noProof/>
              </w:rPr>
              <w:t>3.2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Alternative Fuels</w:t>
            </w:r>
            <w:r w:rsidR="009C66F7">
              <w:rPr>
                <w:noProof/>
                <w:webHidden/>
              </w:rPr>
              <w:tab/>
            </w:r>
            <w:r w:rsidR="009C66F7">
              <w:rPr>
                <w:noProof/>
                <w:webHidden/>
              </w:rPr>
              <w:fldChar w:fldCharType="begin"/>
            </w:r>
            <w:r w:rsidR="009C66F7">
              <w:rPr>
                <w:noProof/>
                <w:webHidden/>
              </w:rPr>
              <w:instrText xml:space="preserve"> PAGEREF _Toc85627864 \h </w:instrText>
            </w:r>
            <w:r w:rsidR="009C66F7">
              <w:rPr>
                <w:noProof/>
                <w:webHidden/>
              </w:rPr>
            </w:r>
            <w:r w:rsidR="009C66F7">
              <w:rPr>
                <w:noProof/>
                <w:webHidden/>
              </w:rPr>
              <w:fldChar w:fldCharType="separate"/>
            </w:r>
            <w:r w:rsidR="007E0446">
              <w:rPr>
                <w:noProof/>
                <w:webHidden/>
              </w:rPr>
              <w:t>18</w:t>
            </w:r>
            <w:r w:rsidR="009C66F7">
              <w:rPr>
                <w:noProof/>
                <w:webHidden/>
              </w:rPr>
              <w:fldChar w:fldCharType="end"/>
            </w:r>
          </w:hyperlink>
        </w:p>
        <w:p w14:paraId="3761B554" w14:textId="52F0FF42"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5" w:history="1">
            <w:r w:rsidR="009C66F7" w:rsidRPr="00E13A48">
              <w:rPr>
                <w:rStyle w:val="Hyperlink"/>
                <w:noProof/>
              </w:rPr>
              <w:t>3.3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Green House Gas Emissions</w:t>
            </w:r>
            <w:r w:rsidR="009C66F7">
              <w:rPr>
                <w:noProof/>
                <w:webHidden/>
              </w:rPr>
              <w:tab/>
            </w:r>
            <w:r w:rsidR="009C66F7">
              <w:rPr>
                <w:noProof/>
                <w:webHidden/>
              </w:rPr>
              <w:fldChar w:fldCharType="begin"/>
            </w:r>
            <w:r w:rsidR="009C66F7">
              <w:rPr>
                <w:noProof/>
                <w:webHidden/>
              </w:rPr>
              <w:instrText xml:space="preserve"> PAGEREF _Toc85627865 \h </w:instrText>
            </w:r>
            <w:r w:rsidR="009C66F7">
              <w:rPr>
                <w:noProof/>
                <w:webHidden/>
              </w:rPr>
            </w:r>
            <w:r w:rsidR="009C66F7">
              <w:rPr>
                <w:noProof/>
                <w:webHidden/>
              </w:rPr>
              <w:fldChar w:fldCharType="separate"/>
            </w:r>
            <w:r w:rsidR="007E0446">
              <w:rPr>
                <w:noProof/>
                <w:webHidden/>
              </w:rPr>
              <w:t>21</w:t>
            </w:r>
            <w:r w:rsidR="009C66F7">
              <w:rPr>
                <w:noProof/>
                <w:webHidden/>
              </w:rPr>
              <w:fldChar w:fldCharType="end"/>
            </w:r>
          </w:hyperlink>
        </w:p>
        <w:p w14:paraId="3A761B54" w14:textId="607E48FB"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6" w:history="1">
            <w:r w:rsidR="009C66F7" w:rsidRPr="00E13A48">
              <w:rPr>
                <w:rStyle w:val="Hyperlink"/>
                <w:noProof/>
              </w:rPr>
              <w:t>3.4</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Fuel Stability and Compatibility</w:t>
            </w:r>
            <w:r w:rsidR="009C66F7">
              <w:rPr>
                <w:noProof/>
                <w:webHidden/>
              </w:rPr>
              <w:tab/>
            </w:r>
            <w:r w:rsidR="009C66F7">
              <w:rPr>
                <w:noProof/>
                <w:webHidden/>
              </w:rPr>
              <w:fldChar w:fldCharType="begin"/>
            </w:r>
            <w:r w:rsidR="009C66F7">
              <w:rPr>
                <w:noProof/>
                <w:webHidden/>
              </w:rPr>
              <w:instrText xml:space="preserve"> PAGEREF _Toc85627866 \h </w:instrText>
            </w:r>
            <w:r w:rsidR="009C66F7">
              <w:rPr>
                <w:noProof/>
                <w:webHidden/>
              </w:rPr>
            </w:r>
            <w:r w:rsidR="009C66F7">
              <w:rPr>
                <w:noProof/>
                <w:webHidden/>
              </w:rPr>
              <w:fldChar w:fldCharType="separate"/>
            </w:r>
            <w:r w:rsidR="007E0446">
              <w:rPr>
                <w:noProof/>
                <w:webHidden/>
              </w:rPr>
              <w:t>23</w:t>
            </w:r>
            <w:r w:rsidR="009C66F7">
              <w:rPr>
                <w:noProof/>
                <w:webHidden/>
              </w:rPr>
              <w:fldChar w:fldCharType="end"/>
            </w:r>
          </w:hyperlink>
        </w:p>
        <w:p w14:paraId="600327C0" w14:textId="28B93CF7" w:rsidR="009C66F7" w:rsidRDefault="0046218D"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7" w:history="1">
            <w:r w:rsidR="009C66F7" w:rsidRPr="00E13A48">
              <w:rPr>
                <w:rStyle w:val="Hyperlink"/>
                <w:noProof/>
              </w:rPr>
              <w:t>4</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Future Market</w:t>
            </w:r>
            <w:r w:rsidR="009C66F7">
              <w:rPr>
                <w:noProof/>
                <w:webHidden/>
              </w:rPr>
              <w:tab/>
            </w:r>
            <w:r w:rsidR="009C66F7">
              <w:rPr>
                <w:noProof/>
                <w:webHidden/>
              </w:rPr>
              <w:fldChar w:fldCharType="begin"/>
            </w:r>
            <w:r w:rsidR="009C66F7">
              <w:rPr>
                <w:noProof/>
                <w:webHidden/>
              </w:rPr>
              <w:instrText xml:space="preserve"> PAGEREF _Toc85627867 \h </w:instrText>
            </w:r>
            <w:r w:rsidR="009C66F7">
              <w:rPr>
                <w:noProof/>
                <w:webHidden/>
              </w:rPr>
            </w:r>
            <w:r w:rsidR="009C66F7">
              <w:rPr>
                <w:noProof/>
                <w:webHidden/>
              </w:rPr>
              <w:fldChar w:fldCharType="separate"/>
            </w:r>
            <w:r w:rsidR="007E0446">
              <w:rPr>
                <w:noProof/>
                <w:webHidden/>
              </w:rPr>
              <w:t>25</w:t>
            </w:r>
            <w:r w:rsidR="009C66F7">
              <w:rPr>
                <w:noProof/>
                <w:webHidden/>
              </w:rPr>
              <w:fldChar w:fldCharType="end"/>
            </w:r>
          </w:hyperlink>
        </w:p>
        <w:p w14:paraId="7418E077" w14:textId="588C9553"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8" w:history="1">
            <w:r w:rsidR="009C66F7" w:rsidRPr="00E13A48">
              <w:rPr>
                <w:rStyle w:val="Hyperlink"/>
                <w:rFonts w:asciiTheme="majorHAnsi" w:hAnsiTheme="majorHAnsi"/>
                <w:noProof/>
              </w:rPr>
              <w:t>4.1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Market Size</w:t>
            </w:r>
            <w:r w:rsidR="009C66F7">
              <w:rPr>
                <w:noProof/>
                <w:webHidden/>
              </w:rPr>
              <w:tab/>
            </w:r>
            <w:r w:rsidR="009C66F7">
              <w:rPr>
                <w:noProof/>
                <w:webHidden/>
              </w:rPr>
              <w:fldChar w:fldCharType="begin"/>
            </w:r>
            <w:r w:rsidR="009C66F7">
              <w:rPr>
                <w:noProof/>
                <w:webHidden/>
              </w:rPr>
              <w:instrText xml:space="preserve"> PAGEREF _Toc85627868 \h </w:instrText>
            </w:r>
            <w:r w:rsidR="009C66F7">
              <w:rPr>
                <w:noProof/>
                <w:webHidden/>
              </w:rPr>
            </w:r>
            <w:r w:rsidR="009C66F7">
              <w:rPr>
                <w:noProof/>
                <w:webHidden/>
              </w:rPr>
              <w:fldChar w:fldCharType="separate"/>
            </w:r>
            <w:r w:rsidR="007E0446">
              <w:rPr>
                <w:noProof/>
                <w:webHidden/>
              </w:rPr>
              <w:t>25</w:t>
            </w:r>
            <w:r w:rsidR="009C66F7">
              <w:rPr>
                <w:noProof/>
                <w:webHidden/>
              </w:rPr>
              <w:fldChar w:fldCharType="end"/>
            </w:r>
          </w:hyperlink>
        </w:p>
        <w:p w14:paraId="79682EC3" w14:textId="48A2D568"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9" w:history="1">
            <w:r w:rsidR="009C66F7" w:rsidRPr="00E13A48">
              <w:rPr>
                <w:rStyle w:val="Hyperlink"/>
                <w:noProof/>
              </w:rPr>
              <w:t>4.2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Pricing</w:t>
            </w:r>
            <w:r w:rsidR="009C66F7">
              <w:rPr>
                <w:noProof/>
                <w:webHidden/>
              </w:rPr>
              <w:tab/>
            </w:r>
            <w:r w:rsidR="009C66F7">
              <w:rPr>
                <w:noProof/>
                <w:webHidden/>
              </w:rPr>
              <w:fldChar w:fldCharType="begin"/>
            </w:r>
            <w:r w:rsidR="009C66F7">
              <w:rPr>
                <w:noProof/>
                <w:webHidden/>
              </w:rPr>
              <w:instrText xml:space="preserve"> PAGEREF _Toc85627869 \h </w:instrText>
            </w:r>
            <w:r w:rsidR="009C66F7">
              <w:rPr>
                <w:noProof/>
                <w:webHidden/>
              </w:rPr>
            </w:r>
            <w:r w:rsidR="009C66F7">
              <w:rPr>
                <w:noProof/>
                <w:webHidden/>
              </w:rPr>
              <w:fldChar w:fldCharType="separate"/>
            </w:r>
            <w:r w:rsidR="007E0446">
              <w:rPr>
                <w:noProof/>
                <w:webHidden/>
              </w:rPr>
              <w:t>26</w:t>
            </w:r>
            <w:r w:rsidR="009C66F7">
              <w:rPr>
                <w:noProof/>
                <w:webHidden/>
              </w:rPr>
              <w:fldChar w:fldCharType="end"/>
            </w:r>
          </w:hyperlink>
        </w:p>
        <w:p w14:paraId="2CD6E0A8" w14:textId="28CED524"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0" w:history="1">
            <w:r w:rsidR="009C66F7" w:rsidRPr="00E13A48">
              <w:rPr>
                <w:rStyle w:val="Hyperlink"/>
                <w:noProof/>
              </w:rPr>
              <w:t>4.3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Technology Maturity</w:t>
            </w:r>
            <w:r w:rsidR="009C66F7">
              <w:rPr>
                <w:noProof/>
                <w:webHidden/>
              </w:rPr>
              <w:tab/>
            </w:r>
            <w:r w:rsidR="009C66F7">
              <w:rPr>
                <w:noProof/>
                <w:webHidden/>
              </w:rPr>
              <w:fldChar w:fldCharType="begin"/>
            </w:r>
            <w:r w:rsidR="009C66F7">
              <w:rPr>
                <w:noProof/>
                <w:webHidden/>
              </w:rPr>
              <w:instrText xml:space="preserve"> PAGEREF _Toc85627870 \h </w:instrText>
            </w:r>
            <w:r w:rsidR="009C66F7">
              <w:rPr>
                <w:noProof/>
                <w:webHidden/>
              </w:rPr>
            </w:r>
            <w:r w:rsidR="009C66F7">
              <w:rPr>
                <w:noProof/>
                <w:webHidden/>
              </w:rPr>
              <w:fldChar w:fldCharType="separate"/>
            </w:r>
            <w:r w:rsidR="007E0446">
              <w:rPr>
                <w:noProof/>
                <w:webHidden/>
              </w:rPr>
              <w:t>28</w:t>
            </w:r>
            <w:r w:rsidR="009C66F7">
              <w:rPr>
                <w:noProof/>
                <w:webHidden/>
              </w:rPr>
              <w:fldChar w:fldCharType="end"/>
            </w:r>
          </w:hyperlink>
        </w:p>
        <w:p w14:paraId="4A756393" w14:textId="10103070" w:rsidR="009C66F7" w:rsidRDefault="0046218D"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1" w:history="1">
            <w:r w:rsidR="009C66F7" w:rsidRPr="00E13A48">
              <w:rPr>
                <w:rStyle w:val="Hyperlink"/>
                <w:noProof/>
              </w:rPr>
              <w:t>4.1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Stakeholder mapping</w:t>
            </w:r>
            <w:r w:rsidR="009C66F7">
              <w:rPr>
                <w:noProof/>
                <w:webHidden/>
              </w:rPr>
              <w:tab/>
            </w:r>
            <w:r w:rsidR="009C66F7">
              <w:rPr>
                <w:noProof/>
                <w:webHidden/>
              </w:rPr>
              <w:fldChar w:fldCharType="begin"/>
            </w:r>
            <w:r w:rsidR="009C66F7">
              <w:rPr>
                <w:noProof/>
                <w:webHidden/>
              </w:rPr>
              <w:instrText xml:space="preserve"> PAGEREF _Toc85627871 \h </w:instrText>
            </w:r>
            <w:r w:rsidR="009C66F7">
              <w:rPr>
                <w:noProof/>
                <w:webHidden/>
              </w:rPr>
            </w:r>
            <w:r w:rsidR="009C66F7">
              <w:rPr>
                <w:noProof/>
                <w:webHidden/>
              </w:rPr>
              <w:fldChar w:fldCharType="separate"/>
            </w:r>
            <w:r w:rsidR="007E0446">
              <w:rPr>
                <w:noProof/>
                <w:webHidden/>
              </w:rPr>
              <w:t>29</w:t>
            </w:r>
            <w:r w:rsidR="009C66F7">
              <w:rPr>
                <w:noProof/>
                <w:webHidden/>
              </w:rPr>
              <w:fldChar w:fldCharType="end"/>
            </w:r>
          </w:hyperlink>
        </w:p>
        <w:p w14:paraId="1479D060" w14:textId="6FDDE81B" w:rsidR="009C66F7" w:rsidRDefault="0046218D"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2" w:history="1">
            <w:r w:rsidR="009C66F7" w:rsidRPr="00E13A48">
              <w:rPr>
                <w:rStyle w:val="Hyperlink"/>
                <w:noProof/>
              </w:rPr>
              <w:t>4.1.1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rFonts w:eastAsia="Calibri"/>
                <w:noProof/>
              </w:rPr>
              <w:t>Feedstock Providers</w:t>
            </w:r>
            <w:r w:rsidR="009C66F7">
              <w:rPr>
                <w:noProof/>
                <w:webHidden/>
              </w:rPr>
              <w:tab/>
            </w:r>
            <w:r w:rsidR="009C66F7">
              <w:rPr>
                <w:noProof/>
                <w:webHidden/>
              </w:rPr>
              <w:fldChar w:fldCharType="begin"/>
            </w:r>
            <w:r w:rsidR="009C66F7">
              <w:rPr>
                <w:noProof/>
                <w:webHidden/>
              </w:rPr>
              <w:instrText xml:space="preserve"> PAGEREF _Toc85627872 \h </w:instrText>
            </w:r>
            <w:r w:rsidR="009C66F7">
              <w:rPr>
                <w:noProof/>
                <w:webHidden/>
              </w:rPr>
            </w:r>
            <w:r w:rsidR="009C66F7">
              <w:rPr>
                <w:noProof/>
                <w:webHidden/>
              </w:rPr>
              <w:fldChar w:fldCharType="separate"/>
            </w:r>
            <w:r w:rsidR="007E0446">
              <w:rPr>
                <w:noProof/>
                <w:webHidden/>
              </w:rPr>
              <w:t>29</w:t>
            </w:r>
            <w:r w:rsidR="009C66F7">
              <w:rPr>
                <w:noProof/>
                <w:webHidden/>
              </w:rPr>
              <w:fldChar w:fldCharType="end"/>
            </w:r>
          </w:hyperlink>
        </w:p>
        <w:p w14:paraId="203BC1C7" w14:textId="1B44AA63" w:rsidR="009C66F7" w:rsidRDefault="0046218D"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3" w:history="1">
            <w:r w:rsidR="009C66F7" w:rsidRPr="00E13A48">
              <w:rPr>
                <w:rStyle w:val="Hyperlink"/>
                <w:noProof/>
              </w:rPr>
              <w:t>4.1.2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rFonts w:eastAsia="Calibri"/>
                <w:noProof/>
              </w:rPr>
              <w:t>Cellulose users</w:t>
            </w:r>
            <w:r w:rsidR="009C66F7">
              <w:rPr>
                <w:noProof/>
                <w:webHidden/>
              </w:rPr>
              <w:tab/>
            </w:r>
            <w:r w:rsidR="009C66F7">
              <w:rPr>
                <w:noProof/>
                <w:webHidden/>
              </w:rPr>
              <w:fldChar w:fldCharType="begin"/>
            </w:r>
            <w:r w:rsidR="009C66F7">
              <w:rPr>
                <w:noProof/>
                <w:webHidden/>
              </w:rPr>
              <w:instrText xml:space="preserve"> PAGEREF _Toc85627873 \h </w:instrText>
            </w:r>
            <w:r w:rsidR="009C66F7">
              <w:rPr>
                <w:noProof/>
                <w:webHidden/>
              </w:rPr>
            </w:r>
            <w:r w:rsidR="009C66F7">
              <w:rPr>
                <w:noProof/>
                <w:webHidden/>
              </w:rPr>
              <w:fldChar w:fldCharType="separate"/>
            </w:r>
            <w:r w:rsidR="007E0446">
              <w:rPr>
                <w:noProof/>
                <w:webHidden/>
              </w:rPr>
              <w:t>30</w:t>
            </w:r>
            <w:r w:rsidR="009C66F7">
              <w:rPr>
                <w:noProof/>
                <w:webHidden/>
              </w:rPr>
              <w:fldChar w:fldCharType="end"/>
            </w:r>
          </w:hyperlink>
        </w:p>
        <w:p w14:paraId="2F85AD09" w14:textId="4361A9F8" w:rsidR="009C66F7" w:rsidRDefault="0046218D"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4" w:history="1">
            <w:r w:rsidR="009C66F7" w:rsidRPr="00E13A48">
              <w:rPr>
                <w:rStyle w:val="Hyperlink"/>
                <w:noProof/>
              </w:rPr>
              <w:t>4.1.3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rFonts w:eastAsia="Calibri"/>
                <w:noProof/>
              </w:rPr>
              <w:t>Ship owners</w:t>
            </w:r>
            <w:r w:rsidR="009C66F7">
              <w:rPr>
                <w:noProof/>
                <w:webHidden/>
              </w:rPr>
              <w:tab/>
            </w:r>
            <w:r w:rsidR="009C66F7">
              <w:rPr>
                <w:noProof/>
                <w:webHidden/>
              </w:rPr>
              <w:fldChar w:fldCharType="begin"/>
            </w:r>
            <w:r w:rsidR="009C66F7">
              <w:rPr>
                <w:noProof/>
                <w:webHidden/>
              </w:rPr>
              <w:instrText xml:space="preserve"> PAGEREF _Toc85627874 \h </w:instrText>
            </w:r>
            <w:r w:rsidR="009C66F7">
              <w:rPr>
                <w:noProof/>
                <w:webHidden/>
              </w:rPr>
            </w:r>
            <w:r w:rsidR="009C66F7">
              <w:rPr>
                <w:noProof/>
                <w:webHidden/>
              </w:rPr>
              <w:fldChar w:fldCharType="separate"/>
            </w:r>
            <w:r w:rsidR="007E0446">
              <w:rPr>
                <w:noProof/>
                <w:webHidden/>
              </w:rPr>
              <w:t>31</w:t>
            </w:r>
            <w:r w:rsidR="009C66F7">
              <w:rPr>
                <w:noProof/>
                <w:webHidden/>
              </w:rPr>
              <w:fldChar w:fldCharType="end"/>
            </w:r>
          </w:hyperlink>
        </w:p>
        <w:p w14:paraId="364BFF86" w14:textId="2EB7BE41" w:rsidR="009C66F7" w:rsidRDefault="0046218D"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5" w:history="1">
            <w:r w:rsidR="009C66F7" w:rsidRPr="00E13A48">
              <w:rPr>
                <w:rStyle w:val="Hyperlink"/>
                <w:noProof/>
              </w:rPr>
              <w:t>5</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Conclusions and Recommendations</w:t>
            </w:r>
            <w:r w:rsidR="009C66F7">
              <w:rPr>
                <w:noProof/>
                <w:webHidden/>
              </w:rPr>
              <w:tab/>
            </w:r>
            <w:r w:rsidR="009C66F7">
              <w:rPr>
                <w:noProof/>
                <w:webHidden/>
              </w:rPr>
              <w:fldChar w:fldCharType="begin"/>
            </w:r>
            <w:r w:rsidR="009C66F7">
              <w:rPr>
                <w:noProof/>
                <w:webHidden/>
              </w:rPr>
              <w:instrText xml:space="preserve"> PAGEREF _Toc85627875 \h </w:instrText>
            </w:r>
            <w:r w:rsidR="009C66F7">
              <w:rPr>
                <w:noProof/>
                <w:webHidden/>
              </w:rPr>
            </w:r>
            <w:r w:rsidR="009C66F7">
              <w:rPr>
                <w:noProof/>
                <w:webHidden/>
              </w:rPr>
              <w:fldChar w:fldCharType="separate"/>
            </w:r>
            <w:r w:rsidR="007E0446">
              <w:rPr>
                <w:noProof/>
                <w:webHidden/>
              </w:rPr>
              <w:t>32</w:t>
            </w:r>
            <w:r w:rsidR="009C66F7">
              <w:rPr>
                <w:noProof/>
                <w:webHidden/>
              </w:rPr>
              <w:fldChar w:fldCharType="end"/>
            </w:r>
          </w:hyperlink>
        </w:p>
        <w:p w14:paraId="1C967593" w14:textId="0E6861C9" w:rsidR="009C66F7" w:rsidRDefault="0046218D"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6" w:history="1">
            <w:r w:rsidR="009C66F7" w:rsidRPr="00E13A48">
              <w:rPr>
                <w:rStyle w:val="Hyperlink"/>
                <w:noProof/>
              </w:rPr>
              <w:t>6</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Risk Register</w:t>
            </w:r>
            <w:r w:rsidR="009C66F7">
              <w:rPr>
                <w:noProof/>
                <w:webHidden/>
              </w:rPr>
              <w:tab/>
            </w:r>
            <w:r w:rsidR="009C66F7">
              <w:rPr>
                <w:noProof/>
                <w:webHidden/>
              </w:rPr>
              <w:fldChar w:fldCharType="begin"/>
            </w:r>
            <w:r w:rsidR="009C66F7">
              <w:rPr>
                <w:noProof/>
                <w:webHidden/>
              </w:rPr>
              <w:instrText xml:space="preserve"> PAGEREF _Toc85627876 \h </w:instrText>
            </w:r>
            <w:r w:rsidR="009C66F7">
              <w:rPr>
                <w:noProof/>
                <w:webHidden/>
              </w:rPr>
            </w:r>
            <w:r w:rsidR="009C66F7">
              <w:rPr>
                <w:noProof/>
                <w:webHidden/>
              </w:rPr>
              <w:fldChar w:fldCharType="separate"/>
            </w:r>
            <w:r w:rsidR="007E0446">
              <w:rPr>
                <w:noProof/>
                <w:webHidden/>
              </w:rPr>
              <w:t>34</w:t>
            </w:r>
            <w:r w:rsidR="009C66F7">
              <w:rPr>
                <w:noProof/>
                <w:webHidden/>
              </w:rPr>
              <w:fldChar w:fldCharType="end"/>
            </w:r>
          </w:hyperlink>
        </w:p>
        <w:p w14:paraId="53293D3A" w14:textId="6D278512" w:rsidR="009C66F7" w:rsidRDefault="0046218D"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7" w:history="1">
            <w:r w:rsidR="009C66F7" w:rsidRPr="00E13A48">
              <w:rPr>
                <w:rStyle w:val="Hyperlink"/>
                <w:noProof/>
              </w:rPr>
              <w:t>7</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References</w:t>
            </w:r>
            <w:r w:rsidR="009C66F7">
              <w:rPr>
                <w:noProof/>
                <w:webHidden/>
              </w:rPr>
              <w:tab/>
            </w:r>
            <w:r w:rsidR="009C66F7">
              <w:rPr>
                <w:noProof/>
                <w:webHidden/>
              </w:rPr>
              <w:fldChar w:fldCharType="begin"/>
            </w:r>
            <w:r w:rsidR="009C66F7">
              <w:rPr>
                <w:noProof/>
                <w:webHidden/>
              </w:rPr>
              <w:instrText xml:space="preserve"> PAGEREF _Toc85627877 \h </w:instrText>
            </w:r>
            <w:r w:rsidR="009C66F7">
              <w:rPr>
                <w:noProof/>
                <w:webHidden/>
              </w:rPr>
            </w:r>
            <w:r w:rsidR="009C66F7">
              <w:rPr>
                <w:noProof/>
                <w:webHidden/>
              </w:rPr>
              <w:fldChar w:fldCharType="separate"/>
            </w:r>
            <w:r w:rsidR="007E0446">
              <w:rPr>
                <w:noProof/>
                <w:webHidden/>
              </w:rPr>
              <w:t>35</w:t>
            </w:r>
            <w:r w:rsidR="009C66F7">
              <w:rPr>
                <w:noProof/>
                <w:webHidden/>
              </w:rPr>
              <w:fldChar w:fldCharType="end"/>
            </w:r>
          </w:hyperlink>
        </w:p>
        <w:p w14:paraId="701EB614" w14:textId="4B8BBA49" w:rsidR="009C66F7" w:rsidRDefault="0046218D" w:rsidP="009C66F7">
          <w:pPr>
            <w:pStyle w:val="TOC1"/>
            <w:tabs>
              <w:tab w:val="right" w:leader="dot" w:pos="9628"/>
            </w:tabs>
            <w:spacing w:after="0"/>
            <w:rPr>
              <w:rFonts w:asciiTheme="minorHAnsi" w:eastAsiaTheme="minorEastAsia" w:hAnsiTheme="minorHAnsi" w:cstheme="minorBidi"/>
              <w:noProof/>
              <w:color w:val="auto"/>
              <w:sz w:val="22"/>
              <w:szCs w:val="22"/>
              <w:lang w:val="en-GB" w:eastAsia="en-GB"/>
            </w:rPr>
          </w:pPr>
          <w:hyperlink w:anchor="_Toc85627878" w:history="1">
            <w:r w:rsidR="009C66F7" w:rsidRPr="00E13A48">
              <w:rPr>
                <w:rStyle w:val="Hyperlink"/>
                <w:noProof/>
              </w:rPr>
              <w:t>Acknowledgement</w:t>
            </w:r>
            <w:r w:rsidR="009C66F7">
              <w:rPr>
                <w:noProof/>
                <w:webHidden/>
              </w:rPr>
              <w:tab/>
            </w:r>
            <w:r w:rsidR="009C66F7">
              <w:rPr>
                <w:noProof/>
                <w:webHidden/>
              </w:rPr>
              <w:fldChar w:fldCharType="begin"/>
            </w:r>
            <w:r w:rsidR="009C66F7">
              <w:rPr>
                <w:noProof/>
                <w:webHidden/>
              </w:rPr>
              <w:instrText xml:space="preserve"> PAGEREF _Toc85627878 \h </w:instrText>
            </w:r>
            <w:r w:rsidR="009C66F7">
              <w:rPr>
                <w:noProof/>
                <w:webHidden/>
              </w:rPr>
            </w:r>
            <w:r w:rsidR="009C66F7">
              <w:rPr>
                <w:noProof/>
                <w:webHidden/>
              </w:rPr>
              <w:fldChar w:fldCharType="separate"/>
            </w:r>
            <w:r w:rsidR="007E0446">
              <w:rPr>
                <w:noProof/>
                <w:webHidden/>
              </w:rPr>
              <w:t>37</w:t>
            </w:r>
            <w:r w:rsidR="009C66F7">
              <w:rPr>
                <w:noProof/>
                <w:webHidden/>
              </w:rPr>
              <w:fldChar w:fldCharType="end"/>
            </w:r>
          </w:hyperlink>
        </w:p>
        <w:p w14:paraId="6D8DEB35" w14:textId="653C1F90" w:rsidR="004C14E2" w:rsidRPr="0045629F" w:rsidRDefault="00AF6EDB">
          <w:pPr>
            <w:rPr>
              <w:b/>
              <w:bCs/>
              <w:noProof/>
              <w:lang w:val="en-GB"/>
            </w:rPr>
          </w:pPr>
          <w:r w:rsidRPr="0045629F">
            <w:rPr>
              <w:b/>
              <w:bCs/>
              <w:noProof/>
              <w:lang w:val="en-GB"/>
            </w:rPr>
            <w:fldChar w:fldCharType="end"/>
          </w:r>
        </w:p>
      </w:sdtContent>
    </w:sdt>
    <w:p w14:paraId="6BA1E708" w14:textId="7777777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00D75410" w14:textId="790A9E19" w:rsidR="009C66F7" w:rsidRDefault="00916415">
      <w:pPr>
        <w:pStyle w:val="TableofFigures"/>
        <w:tabs>
          <w:tab w:val="right" w:leader="dot" w:pos="9628"/>
        </w:tabs>
        <w:rPr>
          <w:rFonts w:asciiTheme="minorHAnsi" w:eastAsiaTheme="minorEastAsia" w:hAnsiTheme="minorHAnsi" w:cstheme="minorBidi"/>
          <w:noProof/>
          <w:color w:val="auto"/>
          <w:sz w:val="22"/>
          <w:szCs w:val="22"/>
          <w:lang w:val="en-GB" w:eastAsia="en-GB"/>
        </w:rPr>
      </w:pPr>
      <w:r>
        <w:rPr>
          <w:rFonts w:asciiTheme="minorHAnsi" w:eastAsiaTheme="majorEastAsia" w:hAnsiTheme="minorHAnsi" w:cstheme="majorBidi"/>
          <w:b/>
          <w:sz w:val="22"/>
          <w:szCs w:val="22"/>
          <w:lang w:val="en-GB"/>
        </w:rPr>
        <w:fldChar w:fldCharType="begin"/>
      </w:r>
      <w:r>
        <w:rPr>
          <w:rFonts w:asciiTheme="minorHAnsi" w:eastAsiaTheme="majorEastAsia" w:hAnsiTheme="minorHAnsi" w:cstheme="majorBidi"/>
          <w:b/>
          <w:sz w:val="22"/>
          <w:szCs w:val="22"/>
          <w:lang w:val="en-GB"/>
        </w:rPr>
        <w:instrText xml:space="preserve"> TOC \h \z \c "Figure" </w:instrText>
      </w:r>
      <w:r>
        <w:rPr>
          <w:rFonts w:asciiTheme="minorHAnsi" w:eastAsiaTheme="majorEastAsia" w:hAnsiTheme="minorHAnsi" w:cstheme="majorBidi"/>
          <w:b/>
          <w:sz w:val="22"/>
          <w:szCs w:val="22"/>
          <w:lang w:val="en-GB"/>
        </w:rPr>
        <w:fldChar w:fldCharType="separate"/>
      </w:r>
      <w:hyperlink w:anchor="_Toc85627879" w:history="1">
        <w:r w:rsidR="009C66F7" w:rsidRPr="00FD0AA8">
          <w:rPr>
            <w:rStyle w:val="Hyperlink"/>
            <w:noProof/>
          </w:rPr>
          <w:t>Figure 1. Emission control areas (ECA) ( Source: DND GL).</w:t>
        </w:r>
        <w:r w:rsidR="009C66F7">
          <w:rPr>
            <w:noProof/>
            <w:webHidden/>
          </w:rPr>
          <w:tab/>
        </w:r>
        <w:r w:rsidR="009C66F7">
          <w:rPr>
            <w:noProof/>
            <w:webHidden/>
          </w:rPr>
          <w:fldChar w:fldCharType="begin"/>
        </w:r>
        <w:r w:rsidR="009C66F7">
          <w:rPr>
            <w:noProof/>
            <w:webHidden/>
          </w:rPr>
          <w:instrText xml:space="preserve"> PAGEREF _Toc85627879 \h </w:instrText>
        </w:r>
        <w:r w:rsidR="009C66F7">
          <w:rPr>
            <w:noProof/>
            <w:webHidden/>
          </w:rPr>
        </w:r>
        <w:r w:rsidR="009C66F7">
          <w:rPr>
            <w:noProof/>
            <w:webHidden/>
          </w:rPr>
          <w:fldChar w:fldCharType="separate"/>
        </w:r>
        <w:r w:rsidR="009C66F7">
          <w:rPr>
            <w:noProof/>
            <w:webHidden/>
          </w:rPr>
          <w:t>10</w:t>
        </w:r>
        <w:r w:rsidR="009C66F7">
          <w:rPr>
            <w:noProof/>
            <w:webHidden/>
          </w:rPr>
          <w:fldChar w:fldCharType="end"/>
        </w:r>
      </w:hyperlink>
    </w:p>
    <w:p w14:paraId="5FC0A262" w14:textId="4C015D10"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0" w:history="1">
        <w:r w:rsidR="009C66F7" w:rsidRPr="00FD0AA8">
          <w:rPr>
            <w:rStyle w:val="Hyperlink"/>
            <w:noProof/>
          </w:rPr>
          <w:t>Figure 2. Port of Rotterdam Bunker Sales 2018-2021 (source: Port of Rotterdam, 2021)</w:t>
        </w:r>
        <w:r w:rsidR="009C66F7">
          <w:rPr>
            <w:noProof/>
            <w:webHidden/>
          </w:rPr>
          <w:tab/>
        </w:r>
        <w:r w:rsidR="009C66F7">
          <w:rPr>
            <w:noProof/>
            <w:webHidden/>
          </w:rPr>
          <w:fldChar w:fldCharType="begin"/>
        </w:r>
        <w:r w:rsidR="009C66F7">
          <w:rPr>
            <w:noProof/>
            <w:webHidden/>
          </w:rPr>
          <w:instrText xml:space="preserve"> PAGEREF _Toc85627880 \h </w:instrText>
        </w:r>
        <w:r w:rsidR="009C66F7">
          <w:rPr>
            <w:noProof/>
            <w:webHidden/>
          </w:rPr>
        </w:r>
        <w:r w:rsidR="009C66F7">
          <w:rPr>
            <w:noProof/>
            <w:webHidden/>
          </w:rPr>
          <w:fldChar w:fldCharType="separate"/>
        </w:r>
        <w:r w:rsidR="009C66F7">
          <w:rPr>
            <w:noProof/>
            <w:webHidden/>
          </w:rPr>
          <w:t>15</w:t>
        </w:r>
        <w:r w:rsidR="009C66F7">
          <w:rPr>
            <w:noProof/>
            <w:webHidden/>
          </w:rPr>
          <w:fldChar w:fldCharType="end"/>
        </w:r>
      </w:hyperlink>
    </w:p>
    <w:p w14:paraId="7C2268C2" w14:textId="1B288F8C"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1" w:history="1">
        <w:r w:rsidR="009C66F7" w:rsidRPr="00FD0AA8">
          <w:rPr>
            <w:rStyle w:val="Hyperlink"/>
            <w:noProof/>
          </w:rPr>
          <w:t>Figure 3. Energy density of several fuels considering tank weights and the low heating value (source: The Royal Society 2019) *LNG value will be similar to LPG</w:t>
        </w:r>
        <w:r w:rsidR="009C66F7">
          <w:rPr>
            <w:noProof/>
            <w:webHidden/>
          </w:rPr>
          <w:tab/>
        </w:r>
        <w:r w:rsidR="009C66F7">
          <w:rPr>
            <w:noProof/>
            <w:webHidden/>
          </w:rPr>
          <w:fldChar w:fldCharType="begin"/>
        </w:r>
        <w:r w:rsidR="009C66F7">
          <w:rPr>
            <w:noProof/>
            <w:webHidden/>
          </w:rPr>
          <w:instrText xml:space="preserve"> PAGEREF _Toc85627881 \h </w:instrText>
        </w:r>
        <w:r w:rsidR="009C66F7">
          <w:rPr>
            <w:noProof/>
            <w:webHidden/>
          </w:rPr>
        </w:r>
        <w:r w:rsidR="009C66F7">
          <w:rPr>
            <w:noProof/>
            <w:webHidden/>
          </w:rPr>
          <w:fldChar w:fldCharType="separate"/>
        </w:r>
        <w:r w:rsidR="009C66F7">
          <w:rPr>
            <w:noProof/>
            <w:webHidden/>
          </w:rPr>
          <w:t>16</w:t>
        </w:r>
        <w:r w:rsidR="009C66F7">
          <w:rPr>
            <w:noProof/>
            <w:webHidden/>
          </w:rPr>
          <w:fldChar w:fldCharType="end"/>
        </w:r>
      </w:hyperlink>
    </w:p>
    <w:p w14:paraId="4F19DA01" w14:textId="12B95C15"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2" w:history="1">
        <w:r w:rsidR="009C66F7" w:rsidRPr="00FD0AA8">
          <w:rPr>
            <w:rStyle w:val="Hyperlink"/>
            <w:noProof/>
          </w:rPr>
          <w:t>Figure 4. Overall flowchart for biofuel production starting from different feedstocks (source: IEA Bioenergy 2017).</w:t>
        </w:r>
        <w:r w:rsidR="009C66F7">
          <w:rPr>
            <w:noProof/>
            <w:webHidden/>
          </w:rPr>
          <w:tab/>
        </w:r>
        <w:r w:rsidR="009C66F7">
          <w:rPr>
            <w:noProof/>
            <w:webHidden/>
          </w:rPr>
          <w:fldChar w:fldCharType="begin"/>
        </w:r>
        <w:r w:rsidR="009C66F7">
          <w:rPr>
            <w:noProof/>
            <w:webHidden/>
          </w:rPr>
          <w:instrText xml:space="preserve"> PAGEREF _Toc85627882 \h </w:instrText>
        </w:r>
        <w:r w:rsidR="009C66F7">
          <w:rPr>
            <w:noProof/>
            <w:webHidden/>
          </w:rPr>
        </w:r>
        <w:r w:rsidR="009C66F7">
          <w:rPr>
            <w:noProof/>
            <w:webHidden/>
          </w:rPr>
          <w:fldChar w:fldCharType="separate"/>
        </w:r>
        <w:r w:rsidR="009C66F7">
          <w:rPr>
            <w:noProof/>
            <w:webHidden/>
          </w:rPr>
          <w:t>21</w:t>
        </w:r>
        <w:r w:rsidR="009C66F7">
          <w:rPr>
            <w:noProof/>
            <w:webHidden/>
          </w:rPr>
          <w:fldChar w:fldCharType="end"/>
        </w:r>
      </w:hyperlink>
    </w:p>
    <w:p w14:paraId="2DCD3833" w14:textId="3008113C"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3" w:history="1">
        <w:r w:rsidR="009C66F7" w:rsidRPr="00FD0AA8">
          <w:rPr>
            <w:rStyle w:val="Hyperlink"/>
            <w:noProof/>
          </w:rPr>
          <w:t>Figure 5. Emission profile for different fuels considering production background emissions (adapted from Balcombe 2018)</w:t>
        </w:r>
        <w:r w:rsidR="009C66F7">
          <w:rPr>
            <w:noProof/>
            <w:webHidden/>
          </w:rPr>
          <w:tab/>
        </w:r>
        <w:r w:rsidR="009C66F7">
          <w:rPr>
            <w:noProof/>
            <w:webHidden/>
          </w:rPr>
          <w:fldChar w:fldCharType="begin"/>
        </w:r>
        <w:r w:rsidR="009C66F7">
          <w:rPr>
            <w:noProof/>
            <w:webHidden/>
          </w:rPr>
          <w:instrText xml:space="preserve"> PAGEREF _Toc85627883 \h </w:instrText>
        </w:r>
        <w:r w:rsidR="009C66F7">
          <w:rPr>
            <w:noProof/>
            <w:webHidden/>
          </w:rPr>
        </w:r>
        <w:r w:rsidR="009C66F7">
          <w:rPr>
            <w:noProof/>
            <w:webHidden/>
          </w:rPr>
          <w:fldChar w:fldCharType="separate"/>
        </w:r>
        <w:r w:rsidR="009C66F7">
          <w:rPr>
            <w:noProof/>
            <w:webHidden/>
          </w:rPr>
          <w:t>22</w:t>
        </w:r>
        <w:r w:rsidR="009C66F7">
          <w:rPr>
            <w:noProof/>
            <w:webHidden/>
          </w:rPr>
          <w:fldChar w:fldCharType="end"/>
        </w:r>
      </w:hyperlink>
    </w:p>
    <w:p w14:paraId="34F1BC38" w14:textId="40334616"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4" w:history="1">
        <w:r w:rsidR="009C66F7" w:rsidRPr="00FD0AA8">
          <w:rPr>
            <w:rStyle w:val="Hyperlink"/>
            <w:noProof/>
          </w:rPr>
          <w:t>Figure 6. Public consultation: How likely is the uptake of renewable fuels in the marine sector without specific policy intervention? (Source: European Commission Proposal 2021 – Amending Directive 2009/16/EC)</w:t>
        </w:r>
        <w:r w:rsidR="009C66F7">
          <w:rPr>
            <w:noProof/>
            <w:webHidden/>
          </w:rPr>
          <w:tab/>
        </w:r>
        <w:r w:rsidR="009C66F7">
          <w:rPr>
            <w:noProof/>
            <w:webHidden/>
          </w:rPr>
          <w:fldChar w:fldCharType="begin"/>
        </w:r>
        <w:r w:rsidR="009C66F7">
          <w:rPr>
            <w:noProof/>
            <w:webHidden/>
          </w:rPr>
          <w:instrText xml:space="preserve"> PAGEREF _Toc85627884 \h </w:instrText>
        </w:r>
        <w:r w:rsidR="009C66F7">
          <w:rPr>
            <w:noProof/>
            <w:webHidden/>
          </w:rPr>
        </w:r>
        <w:r w:rsidR="009C66F7">
          <w:rPr>
            <w:noProof/>
            <w:webHidden/>
          </w:rPr>
          <w:fldChar w:fldCharType="separate"/>
        </w:r>
        <w:r w:rsidR="009C66F7">
          <w:rPr>
            <w:noProof/>
            <w:webHidden/>
          </w:rPr>
          <w:t>25</w:t>
        </w:r>
        <w:r w:rsidR="009C66F7">
          <w:rPr>
            <w:noProof/>
            <w:webHidden/>
          </w:rPr>
          <w:fldChar w:fldCharType="end"/>
        </w:r>
      </w:hyperlink>
    </w:p>
    <w:p w14:paraId="38CE72F5" w14:textId="3661A622"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5" w:history="1">
        <w:r w:rsidR="009C66F7" w:rsidRPr="00FD0AA8">
          <w:rPr>
            <w:rStyle w:val="Hyperlink"/>
            <w:noProof/>
          </w:rPr>
          <w:t>Figure 7. European Commission 2050 long-term scenarios for maritime fuel mix (source: Prussi et al., 2021)</w:t>
        </w:r>
        <w:r w:rsidR="009C66F7">
          <w:rPr>
            <w:noProof/>
            <w:webHidden/>
          </w:rPr>
          <w:tab/>
        </w:r>
        <w:r w:rsidR="009C66F7">
          <w:rPr>
            <w:noProof/>
            <w:webHidden/>
          </w:rPr>
          <w:fldChar w:fldCharType="begin"/>
        </w:r>
        <w:r w:rsidR="009C66F7">
          <w:rPr>
            <w:noProof/>
            <w:webHidden/>
          </w:rPr>
          <w:instrText xml:space="preserve"> PAGEREF _Toc85627885 \h </w:instrText>
        </w:r>
        <w:r w:rsidR="009C66F7">
          <w:rPr>
            <w:noProof/>
            <w:webHidden/>
          </w:rPr>
        </w:r>
        <w:r w:rsidR="009C66F7">
          <w:rPr>
            <w:noProof/>
            <w:webHidden/>
          </w:rPr>
          <w:fldChar w:fldCharType="separate"/>
        </w:r>
        <w:r w:rsidR="009C66F7">
          <w:rPr>
            <w:noProof/>
            <w:webHidden/>
          </w:rPr>
          <w:t>26</w:t>
        </w:r>
        <w:r w:rsidR="009C66F7">
          <w:rPr>
            <w:noProof/>
            <w:webHidden/>
          </w:rPr>
          <w:fldChar w:fldCharType="end"/>
        </w:r>
      </w:hyperlink>
    </w:p>
    <w:p w14:paraId="631CE6D6" w14:textId="4E99DEE0"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6" w:history="1">
        <w:r w:rsidR="009C66F7" w:rsidRPr="00FD0AA8">
          <w:rPr>
            <w:rStyle w:val="Hyperlink"/>
            <w:noProof/>
          </w:rPr>
          <w:t>Figure 8.  Price record of FAME, RMG (IFO) 380, ULSFO and MGO (source: Platts, Ship and Bunker).</w:t>
        </w:r>
        <w:r w:rsidR="009C66F7">
          <w:rPr>
            <w:noProof/>
            <w:webHidden/>
          </w:rPr>
          <w:tab/>
        </w:r>
        <w:r w:rsidR="009C66F7">
          <w:rPr>
            <w:noProof/>
            <w:webHidden/>
          </w:rPr>
          <w:fldChar w:fldCharType="begin"/>
        </w:r>
        <w:r w:rsidR="009C66F7">
          <w:rPr>
            <w:noProof/>
            <w:webHidden/>
          </w:rPr>
          <w:instrText xml:space="preserve"> PAGEREF _Toc85627886 \h </w:instrText>
        </w:r>
        <w:r w:rsidR="009C66F7">
          <w:rPr>
            <w:noProof/>
            <w:webHidden/>
          </w:rPr>
        </w:r>
        <w:r w:rsidR="009C66F7">
          <w:rPr>
            <w:noProof/>
            <w:webHidden/>
          </w:rPr>
          <w:fldChar w:fldCharType="separate"/>
        </w:r>
        <w:r w:rsidR="009C66F7">
          <w:rPr>
            <w:noProof/>
            <w:webHidden/>
          </w:rPr>
          <w:t>27</w:t>
        </w:r>
        <w:r w:rsidR="009C66F7">
          <w:rPr>
            <w:noProof/>
            <w:webHidden/>
          </w:rPr>
          <w:fldChar w:fldCharType="end"/>
        </w:r>
      </w:hyperlink>
    </w:p>
    <w:p w14:paraId="71442182" w14:textId="66D084AB" w:rsidR="00710F7F" w:rsidRPr="00DC3405" w:rsidRDefault="00916415" w:rsidP="00710F7F">
      <w:pPr>
        <w:rPr>
          <w:sz w:val="22"/>
          <w:szCs w:val="22"/>
          <w:lang w:val="en-GB"/>
        </w:rPr>
      </w:pPr>
      <w:r>
        <w:rPr>
          <w:rFonts w:asciiTheme="minorHAnsi" w:eastAsiaTheme="majorEastAsia" w:hAnsiTheme="minorHAnsi" w:cstheme="majorBidi"/>
          <w:b/>
          <w:sz w:val="22"/>
          <w:szCs w:val="22"/>
          <w:lang w:val="en-GB"/>
        </w:rPr>
        <w:fldChar w:fldCharType="end"/>
      </w:r>
    </w:p>
    <w:p w14:paraId="71D78036" w14:textId="77777777" w:rsidR="004D4CE4" w:rsidRDefault="005202D0" w:rsidP="00EC0977">
      <w:pPr>
        <w:rPr>
          <w:b/>
          <w:color w:val="002244" w:themeColor="accent1"/>
          <w:sz w:val="28"/>
          <w:szCs w:val="28"/>
          <w:lang w:val="en-GB"/>
        </w:rPr>
      </w:pPr>
      <w:bookmarkStart w:id="2" w:name="_Toc42783544"/>
      <w:r>
        <w:rPr>
          <w:b/>
          <w:color w:val="002244" w:themeColor="accent1"/>
          <w:sz w:val="28"/>
          <w:szCs w:val="28"/>
          <w:lang w:val="en-GB"/>
        </w:rPr>
        <w:t xml:space="preserve">List of </w:t>
      </w:r>
      <w:r w:rsidR="006B7DF1" w:rsidRPr="00EC0977">
        <w:rPr>
          <w:b/>
          <w:color w:val="002244" w:themeColor="accent1"/>
          <w:sz w:val="28"/>
          <w:szCs w:val="28"/>
          <w:lang w:val="en-GB"/>
        </w:rPr>
        <w:t>Tables</w:t>
      </w:r>
      <w:bookmarkEnd w:id="2"/>
    </w:p>
    <w:p w14:paraId="4F043ED7" w14:textId="0662228F" w:rsidR="009C66F7" w:rsidRDefault="006B7DF1">
      <w:pPr>
        <w:pStyle w:val="TableofFigures"/>
        <w:tabs>
          <w:tab w:val="right" w:leader="dot" w:pos="9628"/>
        </w:tabs>
        <w:rPr>
          <w:rFonts w:asciiTheme="minorHAnsi" w:eastAsiaTheme="minorEastAsia" w:hAnsiTheme="minorHAnsi" w:cstheme="minorBidi"/>
          <w:noProof/>
          <w:color w:val="auto"/>
          <w:sz w:val="22"/>
          <w:szCs w:val="22"/>
          <w:lang w:val="en-GB" w:eastAsia="en-GB"/>
        </w:rPr>
      </w:pPr>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hyperlink w:anchor="_Toc85627887" w:history="1">
        <w:r w:rsidR="009C66F7" w:rsidRPr="00B13D11">
          <w:rPr>
            <w:rStyle w:val="Hyperlink"/>
            <w:noProof/>
          </w:rPr>
          <w:t>Table 1. Annex VI NO</w:t>
        </w:r>
        <w:r w:rsidR="009C66F7" w:rsidRPr="00B13D11">
          <w:rPr>
            <w:rStyle w:val="Hyperlink"/>
            <w:noProof/>
            <w:vertAlign w:val="subscript"/>
          </w:rPr>
          <w:t>x</w:t>
        </w:r>
        <w:r w:rsidR="009C66F7" w:rsidRPr="00B13D11">
          <w:rPr>
            <w:rStyle w:val="Hyperlink"/>
            <w:noProof/>
          </w:rPr>
          <w:t xml:space="preserve"> emissions limits by Tier</w:t>
        </w:r>
        <w:r w:rsidR="009C66F7">
          <w:rPr>
            <w:noProof/>
            <w:webHidden/>
          </w:rPr>
          <w:tab/>
        </w:r>
        <w:r w:rsidR="009C66F7">
          <w:rPr>
            <w:noProof/>
            <w:webHidden/>
          </w:rPr>
          <w:fldChar w:fldCharType="begin"/>
        </w:r>
        <w:r w:rsidR="009C66F7">
          <w:rPr>
            <w:noProof/>
            <w:webHidden/>
          </w:rPr>
          <w:instrText xml:space="preserve"> PAGEREF _Toc85627887 \h </w:instrText>
        </w:r>
        <w:r w:rsidR="009C66F7">
          <w:rPr>
            <w:noProof/>
            <w:webHidden/>
          </w:rPr>
        </w:r>
        <w:r w:rsidR="009C66F7">
          <w:rPr>
            <w:noProof/>
            <w:webHidden/>
          </w:rPr>
          <w:fldChar w:fldCharType="separate"/>
        </w:r>
        <w:r w:rsidR="009C66F7">
          <w:rPr>
            <w:noProof/>
            <w:webHidden/>
          </w:rPr>
          <w:t>9</w:t>
        </w:r>
        <w:r w:rsidR="009C66F7">
          <w:rPr>
            <w:noProof/>
            <w:webHidden/>
          </w:rPr>
          <w:fldChar w:fldCharType="end"/>
        </w:r>
      </w:hyperlink>
    </w:p>
    <w:p w14:paraId="70EBA31C" w14:textId="7A59A993"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8" w:history="1">
        <w:r w:rsidR="009C66F7" w:rsidRPr="00B13D11">
          <w:rPr>
            <w:rStyle w:val="Hyperlink"/>
            <w:noProof/>
          </w:rPr>
          <w:t>Table 2. Marine gas oil (MGO) and marine diesel oil (MDO) specifications.</w:t>
        </w:r>
        <w:r w:rsidR="009C66F7">
          <w:rPr>
            <w:noProof/>
            <w:webHidden/>
          </w:rPr>
          <w:tab/>
        </w:r>
        <w:r w:rsidR="009C66F7">
          <w:rPr>
            <w:noProof/>
            <w:webHidden/>
          </w:rPr>
          <w:fldChar w:fldCharType="begin"/>
        </w:r>
        <w:r w:rsidR="009C66F7">
          <w:rPr>
            <w:noProof/>
            <w:webHidden/>
          </w:rPr>
          <w:instrText xml:space="preserve"> PAGEREF _Toc85627888 \h </w:instrText>
        </w:r>
        <w:r w:rsidR="009C66F7">
          <w:rPr>
            <w:noProof/>
            <w:webHidden/>
          </w:rPr>
        </w:r>
        <w:r w:rsidR="009C66F7">
          <w:rPr>
            <w:noProof/>
            <w:webHidden/>
          </w:rPr>
          <w:fldChar w:fldCharType="separate"/>
        </w:r>
        <w:r w:rsidR="009C66F7">
          <w:rPr>
            <w:noProof/>
            <w:webHidden/>
          </w:rPr>
          <w:t>17</w:t>
        </w:r>
        <w:r w:rsidR="009C66F7">
          <w:rPr>
            <w:noProof/>
            <w:webHidden/>
          </w:rPr>
          <w:fldChar w:fldCharType="end"/>
        </w:r>
      </w:hyperlink>
    </w:p>
    <w:p w14:paraId="1ADD5452" w14:textId="6FCCFB20"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9" w:history="1">
        <w:r w:rsidR="009C66F7" w:rsidRPr="00B13D11">
          <w:rPr>
            <w:rStyle w:val="Hyperlink"/>
            <w:noProof/>
          </w:rPr>
          <w:t>Table 3. Fuel and engine compatibility (adapted from Uslu, 2019).</w:t>
        </w:r>
        <w:r w:rsidR="009C66F7">
          <w:rPr>
            <w:noProof/>
            <w:webHidden/>
          </w:rPr>
          <w:tab/>
        </w:r>
        <w:r w:rsidR="009C66F7">
          <w:rPr>
            <w:noProof/>
            <w:webHidden/>
          </w:rPr>
          <w:fldChar w:fldCharType="begin"/>
        </w:r>
        <w:r w:rsidR="009C66F7">
          <w:rPr>
            <w:noProof/>
            <w:webHidden/>
          </w:rPr>
          <w:instrText xml:space="preserve"> PAGEREF _Toc85627889 \h </w:instrText>
        </w:r>
        <w:r w:rsidR="009C66F7">
          <w:rPr>
            <w:noProof/>
            <w:webHidden/>
          </w:rPr>
        </w:r>
        <w:r w:rsidR="009C66F7">
          <w:rPr>
            <w:noProof/>
            <w:webHidden/>
          </w:rPr>
          <w:fldChar w:fldCharType="separate"/>
        </w:r>
        <w:r w:rsidR="009C66F7">
          <w:rPr>
            <w:noProof/>
            <w:webHidden/>
          </w:rPr>
          <w:t>24</w:t>
        </w:r>
        <w:r w:rsidR="009C66F7">
          <w:rPr>
            <w:noProof/>
            <w:webHidden/>
          </w:rPr>
          <w:fldChar w:fldCharType="end"/>
        </w:r>
      </w:hyperlink>
    </w:p>
    <w:p w14:paraId="37F89E0A" w14:textId="18C1B6C5"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90" w:history="1">
        <w:r w:rsidR="009C66F7" w:rsidRPr="00B13D11">
          <w:rPr>
            <w:rStyle w:val="Hyperlink"/>
            <w:noProof/>
          </w:rPr>
          <w:t>Table 4. Decarbonization premium per ton of product in comparison to HFO, assuming equivalent densities and heat value and a carbon price of $58/ton CO</w:t>
        </w:r>
        <w:r w:rsidR="009C66F7" w:rsidRPr="00B13D11">
          <w:rPr>
            <w:rStyle w:val="Hyperlink"/>
            <w:noProof/>
            <w:vertAlign w:val="subscript"/>
          </w:rPr>
          <w:t>2eq</w:t>
        </w:r>
        <w:r w:rsidR="009C66F7" w:rsidRPr="00B13D11">
          <w:rPr>
            <w:rStyle w:val="Hyperlink"/>
            <w:noProof/>
          </w:rPr>
          <w:t>.</w:t>
        </w:r>
        <w:r w:rsidR="009C66F7">
          <w:rPr>
            <w:noProof/>
            <w:webHidden/>
          </w:rPr>
          <w:tab/>
        </w:r>
        <w:r w:rsidR="009C66F7">
          <w:rPr>
            <w:noProof/>
            <w:webHidden/>
          </w:rPr>
          <w:fldChar w:fldCharType="begin"/>
        </w:r>
        <w:r w:rsidR="009C66F7">
          <w:rPr>
            <w:noProof/>
            <w:webHidden/>
          </w:rPr>
          <w:instrText xml:space="preserve"> PAGEREF _Toc85627890 \h </w:instrText>
        </w:r>
        <w:r w:rsidR="009C66F7">
          <w:rPr>
            <w:noProof/>
            <w:webHidden/>
          </w:rPr>
        </w:r>
        <w:r w:rsidR="009C66F7">
          <w:rPr>
            <w:noProof/>
            <w:webHidden/>
          </w:rPr>
          <w:fldChar w:fldCharType="separate"/>
        </w:r>
        <w:r w:rsidR="009C66F7">
          <w:rPr>
            <w:noProof/>
            <w:webHidden/>
          </w:rPr>
          <w:t>27</w:t>
        </w:r>
        <w:r w:rsidR="009C66F7">
          <w:rPr>
            <w:noProof/>
            <w:webHidden/>
          </w:rPr>
          <w:fldChar w:fldCharType="end"/>
        </w:r>
      </w:hyperlink>
    </w:p>
    <w:p w14:paraId="57D3ADB6" w14:textId="30EF905E"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91" w:history="1">
        <w:r w:rsidR="009C66F7" w:rsidRPr="00B13D11">
          <w:rPr>
            <w:rStyle w:val="Hyperlink"/>
            <w:noProof/>
          </w:rPr>
          <w:t>Table 5. Comparative of biofuels and their development status (source: Panoutsou et al., 2021; Prussi et al., 2021; Verbeek et al., 2020; Final, 2021)</w:t>
        </w:r>
        <w:r w:rsidR="009C66F7">
          <w:rPr>
            <w:noProof/>
            <w:webHidden/>
          </w:rPr>
          <w:tab/>
        </w:r>
        <w:r w:rsidR="009C66F7">
          <w:rPr>
            <w:noProof/>
            <w:webHidden/>
          </w:rPr>
          <w:fldChar w:fldCharType="begin"/>
        </w:r>
        <w:r w:rsidR="009C66F7">
          <w:rPr>
            <w:noProof/>
            <w:webHidden/>
          </w:rPr>
          <w:instrText xml:space="preserve"> PAGEREF _Toc85627891 \h </w:instrText>
        </w:r>
        <w:r w:rsidR="009C66F7">
          <w:rPr>
            <w:noProof/>
            <w:webHidden/>
          </w:rPr>
        </w:r>
        <w:r w:rsidR="009C66F7">
          <w:rPr>
            <w:noProof/>
            <w:webHidden/>
          </w:rPr>
          <w:fldChar w:fldCharType="separate"/>
        </w:r>
        <w:r w:rsidR="009C66F7">
          <w:rPr>
            <w:noProof/>
            <w:webHidden/>
          </w:rPr>
          <w:t>28</w:t>
        </w:r>
        <w:r w:rsidR="009C66F7">
          <w:rPr>
            <w:noProof/>
            <w:webHidden/>
          </w:rPr>
          <w:fldChar w:fldCharType="end"/>
        </w:r>
      </w:hyperlink>
    </w:p>
    <w:p w14:paraId="6EBC1547" w14:textId="48E3D0F4" w:rsidR="009C66F7" w:rsidRDefault="0046218D">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92" w:history="1">
        <w:r w:rsidR="009C66F7" w:rsidRPr="00B13D11">
          <w:rPr>
            <w:rStyle w:val="Hyperlink"/>
            <w:noProof/>
          </w:rPr>
          <w:t>Table 6. Marine fuels map</w:t>
        </w:r>
        <w:r w:rsidR="009C66F7">
          <w:rPr>
            <w:noProof/>
            <w:webHidden/>
          </w:rPr>
          <w:tab/>
        </w:r>
        <w:r w:rsidR="009C66F7">
          <w:rPr>
            <w:noProof/>
            <w:webHidden/>
          </w:rPr>
          <w:fldChar w:fldCharType="begin"/>
        </w:r>
        <w:r w:rsidR="009C66F7">
          <w:rPr>
            <w:noProof/>
            <w:webHidden/>
          </w:rPr>
          <w:instrText xml:space="preserve"> PAGEREF _Toc85627892 \h </w:instrText>
        </w:r>
        <w:r w:rsidR="009C66F7">
          <w:rPr>
            <w:noProof/>
            <w:webHidden/>
          </w:rPr>
        </w:r>
        <w:r w:rsidR="009C66F7">
          <w:rPr>
            <w:noProof/>
            <w:webHidden/>
          </w:rPr>
          <w:fldChar w:fldCharType="separate"/>
        </w:r>
        <w:r w:rsidR="009C66F7">
          <w:rPr>
            <w:noProof/>
            <w:webHidden/>
          </w:rPr>
          <w:t>33</w:t>
        </w:r>
        <w:r w:rsidR="009C66F7">
          <w:rPr>
            <w:noProof/>
            <w:webHidden/>
          </w:rPr>
          <w:fldChar w:fldCharType="end"/>
        </w:r>
      </w:hyperlink>
    </w:p>
    <w:p w14:paraId="503680FB" w14:textId="77777777" w:rsidR="009C66F7" w:rsidRDefault="006B7DF1" w:rsidP="00DC3405">
      <w:pPr>
        <w:rPr>
          <w:noProof/>
        </w:rPr>
      </w:pPr>
      <w:r w:rsidRPr="00131E03">
        <w:rPr>
          <w:rFonts w:asciiTheme="minorHAnsi" w:eastAsiaTheme="majorEastAsia" w:hAnsiTheme="minorHAnsi" w:cstheme="majorBidi"/>
          <w:bCs/>
          <w:noProof/>
          <w:sz w:val="22"/>
          <w:szCs w:val="22"/>
          <w:lang w:val="en-GB"/>
        </w:rPr>
        <w:fldChar w:fldCharType="end"/>
      </w:r>
      <w:r w:rsidR="00D10E5F" w:rsidRPr="0045629F">
        <w:rPr>
          <w:lang w:val="en-GB"/>
        </w:rPr>
        <w:fldChar w:fldCharType="begin"/>
      </w:r>
      <w:r w:rsidR="00D10E5F" w:rsidRPr="0045629F">
        <w:rPr>
          <w:lang w:val="en-GB"/>
        </w:rPr>
        <w:instrText xml:space="preserve"> TOC \h \z \c "Table" </w:instrText>
      </w:r>
      <w:r w:rsidR="00D10E5F" w:rsidRPr="0045629F">
        <w:rPr>
          <w:lang w:val="en-GB"/>
        </w:rPr>
        <w:fldChar w:fldCharType="separate"/>
      </w:r>
    </w:p>
    <w:p w14:paraId="679333E1" w14:textId="7C0B1B7F" w:rsidR="007E0446" w:rsidRPr="007E0446" w:rsidRDefault="00D10E5F" w:rsidP="007E0446">
      <w:pPr>
        <w:pStyle w:val="TableofFigures"/>
        <w:tabs>
          <w:tab w:val="right" w:leader="dot" w:pos="9628"/>
        </w:tabs>
        <w:rPr>
          <w:lang w:val="en-GB"/>
        </w:rPr>
      </w:pPr>
      <w:r w:rsidRPr="0045629F">
        <w:rPr>
          <w:lang w:val="en-GB"/>
        </w:rPr>
        <w:fldChar w:fldCharType="end"/>
      </w:r>
      <w:r w:rsidR="00DC3405">
        <w:rPr>
          <w:lang w:val="en-GB"/>
        </w:rPr>
        <w:br w:type="page"/>
      </w:r>
      <w:r w:rsidR="007E0446" w:rsidRPr="0045629F">
        <w:rPr>
          <w:lang w:val="en-GB"/>
        </w:rPr>
        <w:fldChar w:fldCharType="begin"/>
      </w:r>
      <w:r w:rsidR="007E0446" w:rsidRPr="0045629F">
        <w:rPr>
          <w:lang w:val="en-GB"/>
        </w:rPr>
        <w:instrText xml:space="preserve"> TOC \h \z \c "Table" </w:instrText>
      </w:r>
      <w:r w:rsidR="007E0446" w:rsidRPr="0045629F">
        <w:rPr>
          <w:lang w:val="en-GB"/>
        </w:rPr>
        <w:fldChar w:fldCharType="separate"/>
      </w:r>
    </w:p>
    <w:p w14:paraId="153A2F49" w14:textId="77777777" w:rsidR="007E0446" w:rsidRPr="00EC0977" w:rsidRDefault="007E0446" w:rsidP="007E0446">
      <w:pPr>
        <w:rPr>
          <w:b/>
          <w:color w:val="002244" w:themeColor="accent1"/>
          <w:sz w:val="28"/>
          <w:szCs w:val="28"/>
          <w:lang w:val="en-GB"/>
        </w:rPr>
      </w:pPr>
      <w:bookmarkStart w:id="3" w:name="_Toc505697544"/>
      <w:bookmarkStart w:id="4" w:name="_Toc42783545"/>
      <w:r w:rsidRPr="00EC0977">
        <w:rPr>
          <w:b/>
          <w:color w:val="002244" w:themeColor="accent1"/>
          <w:sz w:val="28"/>
          <w:szCs w:val="28"/>
          <w:lang w:val="en-GB"/>
        </w:rPr>
        <w:lastRenderedPageBreak/>
        <w:t>Abbreviations</w:t>
      </w:r>
      <w:bookmarkEnd w:id="3"/>
      <w:bookmarkEnd w:id="4"/>
      <w:r>
        <w:rPr>
          <w:b/>
          <w:color w:val="002244" w:themeColor="accent1"/>
          <w:sz w:val="28"/>
          <w:szCs w:val="28"/>
          <w:lang w:val="en-GB"/>
        </w:rPr>
        <w:t xml:space="preserve"> </w:t>
      </w:r>
    </w:p>
    <w:p w14:paraId="7434B040" w14:textId="77777777" w:rsidR="007E0446" w:rsidRPr="0045629F" w:rsidRDefault="007E0446" w:rsidP="007E0446">
      <w:pPr>
        <w:rPr>
          <w:lang w:val="en-GB"/>
        </w:rPr>
      </w:pPr>
    </w:p>
    <w:tbl>
      <w:tblPr>
        <w:tblStyle w:val="GridTable1Light"/>
        <w:tblW w:w="9498" w:type="dxa"/>
        <w:tblLook w:val="04A0" w:firstRow="1" w:lastRow="0" w:firstColumn="1" w:lastColumn="0" w:noHBand="0" w:noVBand="1"/>
      </w:tblPr>
      <w:tblGrid>
        <w:gridCol w:w="3118"/>
        <w:gridCol w:w="6380"/>
      </w:tblGrid>
      <w:tr w:rsidR="007E0446" w:rsidRPr="0045629F" w14:paraId="6984D454" w14:textId="77777777" w:rsidTr="0048305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12" w:space="0" w:color="002244"/>
              <w:right w:val="single" w:sz="4" w:space="0" w:color="002244"/>
            </w:tcBorders>
            <w:shd w:val="clear" w:color="auto" w:fill="0075B0"/>
            <w:noWrap/>
          </w:tcPr>
          <w:p w14:paraId="245A71F3" w14:textId="77777777" w:rsidR="007E0446" w:rsidRPr="00CE2C42" w:rsidRDefault="007E0446" w:rsidP="0048305C">
            <w:pPr>
              <w:pStyle w:val="Informal1"/>
              <w:rPr>
                <w:rFonts w:asciiTheme="majorHAnsi" w:hAnsiTheme="majorHAnsi" w:cstheme="majorHAnsi"/>
                <w:b w:val="0"/>
                <w:sz w:val="20"/>
                <w:lang w:eastAsia="en-GB"/>
              </w:rPr>
            </w:pPr>
            <w:r w:rsidRPr="00CE2C42">
              <w:rPr>
                <w:rFonts w:asciiTheme="majorHAnsi" w:hAnsiTheme="majorHAnsi" w:cstheme="majorHAnsi"/>
                <w:b w:val="0"/>
                <w:sz w:val="20"/>
                <w:lang w:eastAsia="en-GB"/>
              </w:rPr>
              <w:t>Symbol / short name</w:t>
            </w:r>
          </w:p>
        </w:tc>
        <w:tc>
          <w:tcPr>
            <w:tcW w:w="6380" w:type="dxa"/>
            <w:tcBorders>
              <w:top w:val="single" w:sz="4" w:space="0" w:color="002244"/>
              <w:left w:val="single" w:sz="4" w:space="0" w:color="002244"/>
              <w:bottom w:val="single" w:sz="12" w:space="0" w:color="002244"/>
              <w:right w:val="single" w:sz="4" w:space="0" w:color="002244"/>
            </w:tcBorders>
            <w:shd w:val="clear" w:color="auto" w:fill="0075B0"/>
          </w:tcPr>
          <w:p w14:paraId="3CD243EE" w14:textId="77777777" w:rsidR="007E0446" w:rsidRPr="00CE2C42" w:rsidRDefault="007E0446" w:rsidP="0048305C">
            <w:pPr>
              <w:ind w:firstLine="72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0"/>
                <w:lang w:val="en-GB" w:eastAsia="en-GB"/>
              </w:rPr>
            </w:pPr>
          </w:p>
        </w:tc>
      </w:tr>
      <w:tr w:rsidR="007E0446" w:rsidRPr="0045629F" w14:paraId="5AD7893F"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12" w:space="0" w:color="002244"/>
              <w:left w:val="single" w:sz="4" w:space="0" w:color="002244"/>
              <w:bottom w:val="single" w:sz="4" w:space="0" w:color="002244"/>
              <w:right w:val="single" w:sz="4" w:space="0" w:color="002244"/>
            </w:tcBorders>
            <w:noWrap/>
          </w:tcPr>
          <w:p w14:paraId="27D296AC" w14:textId="77777777" w:rsidR="007E0446" w:rsidRPr="00D10E5F" w:rsidRDefault="007E0446" w:rsidP="0048305C">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GHG</w:t>
            </w:r>
          </w:p>
        </w:tc>
        <w:tc>
          <w:tcPr>
            <w:tcW w:w="6380" w:type="dxa"/>
            <w:tcBorders>
              <w:top w:val="single" w:sz="12" w:space="0" w:color="002244"/>
              <w:left w:val="single" w:sz="4" w:space="0" w:color="002244"/>
              <w:bottom w:val="single" w:sz="4" w:space="0" w:color="002244"/>
              <w:right w:val="single" w:sz="4" w:space="0" w:color="002244"/>
            </w:tcBorders>
          </w:tcPr>
          <w:p w14:paraId="54EB1D80"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Greenhouse Gases</w:t>
            </w:r>
          </w:p>
        </w:tc>
      </w:tr>
      <w:tr w:rsidR="007E0446" w:rsidRPr="0045629F" w14:paraId="00723468"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19B9163F" w14:textId="77777777" w:rsidR="007E0446" w:rsidRPr="00D10E5F" w:rsidRDefault="007E0446" w:rsidP="0048305C">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IMO</w:t>
            </w:r>
          </w:p>
        </w:tc>
        <w:tc>
          <w:tcPr>
            <w:tcW w:w="6380" w:type="dxa"/>
            <w:tcBorders>
              <w:top w:val="single" w:sz="4" w:space="0" w:color="002244"/>
              <w:left w:val="single" w:sz="4" w:space="0" w:color="002244"/>
              <w:bottom w:val="single" w:sz="4" w:space="0" w:color="002244"/>
              <w:right w:val="single" w:sz="4" w:space="0" w:color="002244"/>
            </w:tcBorders>
          </w:tcPr>
          <w:p w14:paraId="6C9738FD"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International Maritime Organization</w:t>
            </w:r>
          </w:p>
        </w:tc>
      </w:tr>
      <w:tr w:rsidR="007E0446" w:rsidRPr="0045629F" w14:paraId="1A68E487"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38511BE0" w14:textId="77777777" w:rsidR="007E0446" w:rsidRPr="00137154" w:rsidRDefault="007E0446" w:rsidP="0048305C">
            <w:pPr>
              <w:rPr>
                <w:rFonts w:asciiTheme="majorHAnsi" w:hAnsiTheme="majorHAnsi" w:cstheme="majorHAnsi"/>
                <w:b w:val="0"/>
                <w:color w:val="auto"/>
                <w:sz w:val="20"/>
                <w:lang w:val="en-GB"/>
              </w:rPr>
            </w:pPr>
            <w:r w:rsidRPr="00137154">
              <w:rPr>
                <w:rFonts w:asciiTheme="majorHAnsi" w:hAnsiTheme="majorHAnsi" w:cstheme="majorHAnsi"/>
                <w:b w:val="0"/>
                <w:color w:val="auto"/>
                <w:sz w:val="20"/>
                <w:lang w:val="en-GB"/>
              </w:rPr>
              <w:t>EEA</w:t>
            </w:r>
          </w:p>
        </w:tc>
        <w:tc>
          <w:tcPr>
            <w:tcW w:w="6380" w:type="dxa"/>
            <w:tcBorders>
              <w:top w:val="single" w:sz="4" w:space="0" w:color="002244"/>
              <w:left w:val="single" w:sz="4" w:space="0" w:color="002244"/>
              <w:bottom w:val="single" w:sz="4" w:space="0" w:color="002244"/>
              <w:right w:val="single" w:sz="4" w:space="0" w:color="002244"/>
            </w:tcBorders>
          </w:tcPr>
          <w:p w14:paraId="1AA72CA8"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European Economic Area</w:t>
            </w:r>
          </w:p>
        </w:tc>
      </w:tr>
      <w:tr w:rsidR="007E0446" w:rsidRPr="0045629F" w14:paraId="7E8A9FD5"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4513CB10" w14:textId="77777777" w:rsidR="007E0446" w:rsidRPr="00D10E5F" w:rsidRDefault="007E0446" w:rsidP="0048305C">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UNFCC</w:t>
            </w:r>
          </w:p>
        </w:tc>
        <w:tc>
          <w:tcPr>
            <w:tcW w:w="6380" w:type="dxa"/>
            <w:tcBorders>
              <w:top w:val="single" w:sz="4" w:space="0" w:color="002244"/>
              <w:left w:val="single" w:sz="4" w:space="0" w:color="002244"/>
              <w:bottom w:val="single" w:sz="4" w:space="0" w:color="002244"/>
              <w:right w:val="single" w:sz="4" w:space="0" w:color="002244"/>
            </w:tcBorders>
          </w:tcPr>
          <w:p w14:paraId="2361EB3F"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color w:val="auto"/>
                <w:sz w:val="20"/>
                <w:lang w:val="en-GB"/>
              </w:rPr>
              <w:t xml:space="preserve">United Nations Framework Convention </w:t>
            </w:r>
            <w:r w:rsidRPr="00D10E5F">
              <w:rPr>
                <w:rFonts w:asciiTheme="majorHAnsi" w:hAnsiTheme="majorHAnsi" w:cstheme="majorHAnsi"/>
                <w:bCs/>
                <w:sz w:val="20"/>
              </w:rPr>
              <w:t xml:space="preserve">on </w:t>
            </w:r>
            <w:r w:rsidRPr="00D10E5F">
              <w:rPr>
                <w:rFonts w:asciiTheme="majorHAnsi" w:hAnsiTheme="majorHAnsi" w:cstheme="majorHAnsi"/>
                <w:bCs/>
                <w:color w:val="auto"/>
                <w:sz w:val="20"/>
                <w:lang w:val="en-GB"/>
              </w:rPr>
              <w:t>Climate Change</w:t>
            </w:r>
          </w:p>
        </w:tc>
      </w:tr>
      <w:tr w:rsidR="007E0446" w:rsidRPr="0045629F" w14:paraId="0C764136"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722A751" w14:textId="77777777" w:rsidR="007E0446" w:rsidRPr="00D10E5F" w:rsidRDefault="007E0446" w:rsidP="0048305C">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MARPOL</w:t>
            </w:r>
          </w:p>
        </w:tc>
        <w:tc>
          <w:tcPr>
            <w:tcW w:w="6380" w:type="dxa"/>
            <w:tcBorders>
              <w:top w:val="single" w:sz="4" w:space="0" w:color="002244"/>
              <w:left w:val="single" w:sz="4" w:space="0" w:color="002244"/>
              <w:bottom w:val="single" w:sz="4" w:space="0" w:color="002244"/>
              <w:right w:val="single" w:sz="4" w:space="0" w:color="002244"/>
            </w:tcBorders>
          </w:tcPr>
          <w:p w14:paraId="7779887E"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color w:val="auto"/>
                <w:sz w:val="20"/>
              </w:rPr>
              <w:t xml:space="preserve">International Convention </w:t>
            </w:r>
            <w:r w:rsidRPr="00D10E5F">
              <w:rPr>
                <w:rFonts w:asciiTheme="majorHAnsi" w:hAnsiTheme="majorHAnsi" w:cstheme="majorHAnsi"/>
                <w:bCs/>
                <w:sz w:val="20"/>
              </w:rPr>
              <w:t xml:space="preserve">for the </w:t>
            </w:r>
            <w:r w:rsidRPr="00D10E5F">
              <w:rPr>
                <w:rFonts w:asciiTheme="majorHAnsi" w:hAnsiTheme="majorHAnsi" w:cstheme="majorHAnsi"/>
                <w:bCs/>
                <w:color w:val="auto"/>
                <w:sz w:val="20"/>
              </w:rPr>
              <w:t xml:space="preserve">Prevention </w:t>
            </w:r>
            <w:r w:rsidRPr="00D10E5F">
              <w:rPr>
                <w:rFonts w:asciiTheme="majorHAnsi" w:hAnsiTheme="majorHAnsi" w:cstheme="majorHAnsi"/>
                <w:bCs/>
                <w:sz w:val="20"/>
              </w:rPr>
              <w:t xml:space="preserve">of </w:t>
            </w:r>
            <w:r w:rsidRPr="00D10E5F">
              <w:rPr>
                <w:rFonts w:asciiTheme="majorHAnsi" w:hAnsiTheme="majorHAnsi" w:cstheme="majorHAnsi"/>
                <w:bCs/>
                <w:color w:val="auto"/>
                <w:sz w:val="20"/>
              </w:rPr>
              <w:t xml:space="preserve">Pollution </w:t>
            </w:r>
            <w:r w:rsidRPr="00D10E5F">
              <w:rPr>
                <w:rFonts w:asciiTheme="majorHAnsi" w:hAnsiTheme="majorHAnsi" w:cstheme="majorHAnsi"/>
                <w:bCs/>
                <w:sz w:val="20"/>
              </w:rPr>
              <w:t xml:space="preserve">From </w:t>
            </w:r>
            <w:r w:rsidRPr="00D10E5F">
              <w:rPr>
                <w:rFonts w:asciiTheme="majorHAnsi" w:hAnsiTheme="majorHAnsi" w:cstheme="majorHAnsi"/>
                <w:bCs/>
                <w:color w:val="auto"/>
                <w:sz w:val="20"/>
              </w:rPr>
              <w:t>Ships</w:t>
            </w:r>
          </w:p>
        </w:tc>
      </w:tr>
      <w:tr w:rsidR="007E0446" w:rsidRPr="0045629F" w14:paraId="0A02298B"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FB07CC6" w14:textId="77777777" w:rsidR="007E0446" w:rsidRPr="00D10E5F" w:rsidRDefault="007E0446" w:rsidP="0048305C">
            <w:pPr>
              <w:rPr>
                <w:rFonts w:asciiTheme="majorHAnsi" w:hAnsiTheme="majorHAnsi" w:cstheme="majorHAnsi"/>
                <w:b w:val="0"/>
                <w:color w:val="auto"/>
                <w:sz w:val="20"/>
                <w:lang w:val="en-GB"/>
              </w:rPr>
            </w:pPr>
            <w:r w:rsidRPr="00D10E5F">
              <w:rPr>
                <w:rFonts w:asciiTheme="majorHAnsi" w:hAnsiTheme="majorHAnsi" w:cstheme="majorHAnsi"/>
                <w:b w:val="0"/>
                <w:sz w:val="20"/>
              </w:rPr>
              <w:t>UN</w:t>
            </w:r>
          </w:p>
        </w:tc>
        <w:tc>
          <w:tcPr>
            <w:tcW w:w="6380" w:type="dxa"/>
            <w:tcBorders>
              <w:top w:val="single" w:sz="4" w:space="0" w:color="002244"/>
              <w:left w:val="single" w:sz="4" w:space="0" w:color="002244"/>
              <w:bottom w:val="single" w:sz="4" w:space="0" w:color="002244"/>
              <w:right w:val="single" w:sz="4" w:space="0" w:color="002244"/>
            </w:tcBorders>
          </w:tcPr>
          <w:p w14:paraId="20AF8EB3"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United Nations</w:t>
            </w:r>
          </w:p>
        </w:tc>
      </w:tr>
      <w:tr w:rsidR="007E0446" w:rsidRPr="0045629F" w14:paraId="76AE1566"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10007C09" w14:textId="77777777" w:rsidR="007E0446" w:rsidRPr="00D10E5F" w:rsidRDefault="007E0446" w:rsidP="0048305C">
            <w:pPr>
              <w:rPr>
                <w:rFonts w:asciiTheme="majorHAnsi" w:hAnsiTheme="majorHAnsi" w:cstheme="majorHAnsi"/>
                <w:b w:val="0"/>
                <w:color w:val="auto"/>
                <w:sz w:val="20"/>
                <w:lang w:val="en-GB"/>
              </w:rPr>
            </w:pPr>
            <w:r w:rsidRPr="00D10E5F">
              <w:rPr>
                <w:rFonts w:asciiTheme="majorHAnsi" w:hAnsiTheme="majorHAnsi" w:cstheme="majorHAnsi"/>
                <w:b w:val="0"/>
                <w:sz w:val="20"/>
              </w:rPr>
              <w:t>ECA</w:t>
            </w:r>
          </w:p>
        </w:tc>
        <w:tc>
          <w:tcPr>
            <w:tcW w:w="6380" w:type="dxa"/>
            <w:tcBorders>
              <w:top w:val="single" w:sz="4" w:space="0" w:color="002244"/>
              <w:left w:val="single" w:sz="4" w:space="0" w:color="002244"/>
              <w:bottom w:val="single" w:sz="4" w:space="0" w:color="002244"/>
              <w:right w:val="single" w:sz="4" w:space="0" w:color="002244"/>
            </w:tcBorders>
          </w:tcPr>
          <w:p w14:paraId="7DA32422"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Emission Control Areas</w:t>
            </w:r>
          </w:p>
        </w:tc>
      </w:tr>
      <w:tr w:rsidR="007E0446" w:rsidRPr="0045629F" w14:paraId="7CDFEF5E"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0F77DD5F" w14:textId="77777777" w:rsidR="007E0446" w:rsidRPr="00D10E5F" w:rsidRDefault="007E0446" w:rsidP="0048305C">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NOx</w:t>
            </w:r>
          </w:p>
        </w:tc>
        <w:tc>
          <w:tcPr>
            <w:tcW w:w="6380" w:type="dxa"/>
            <w:tcBorders>
              <w:top w:val="single" w:sz="4" w:space="0" w:color="002244"/>
              <w:left w:val="single" w:sz="4" w:space="0" w:color="002244"/>
              <w:bottom w:val="single" w:sz="4" w:space="0" w:color="002244"/>
              <w:right w:val="single" w:sz="4" w:space="0" w:color="002244"/>
            </w:tcBorders>
          </w:tcPr>
          <w:p w14:paraId="04744DF9"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N</w:t>
            </w:r>
            <w:r w:rsidRPr="00D10E5F">
              <w:rPr>
                <w:rFonts w:asciiTheme="majorHAnsi" w:hAnsiTheme="majorHAnsi" w:cstheme="majorHAnsi"/>
                <w:bCs/>
                <w:color w:val="auto"/>
                <w:sz w:val="20"/>
                <w:lang w:val="en-GB"/>
              </w:rPr>
              <w:t xml:space="preserve">itrogen </w:t>
            </w:r>
            <w:r w:rsidRPr="00D10E5F">
              <w:rPr>
                <w:rFonts w:asciiTheme="majorHAnsi" w:hAnsiTheme="majorHAnsi" w:cstheme="majorHAnsi"/>
                <w:bCs/>
                <w:sz w:val="20"/>
              </w:rPr>
              <w:t>Oxide</w:t>
            </w:r>
          </w:p>
        </w:tc>
      </w:tr>
      <w:tr w:rsidR="007E0446" w:rsidRPr="0045629F" w14:paraId="1C330F71"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35EEE5E8" w14:textId="77777777" w:rsidR="007E0446" w:rsidRPr="00D10E5F" w:rsidRDefault="007E0446" w:rsidP="0048305C">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SOx</w:t>
            </w:r>
          </w:p>
        </w:tc>
        <w:tc>
          <w:tcPr>
            <w:tcW w:w="6380" w:type="dxa"/>
            <w:tcBorders>
              <w:top w:val="single" w:sz="4" w:space="0" w:color="002244"/>
              <w:left w:val="single" w:sz="4" w:space="0" w:color="002244"/>
              <w:bottom w:val="single" w:sz="4" w:space="0" w:color="002244"/>
              <w:right w:val="single" w:sz="4" w:space="0" w:color="002244"/>
            </w:tcBorders>
          </w:tcPr>
          <w:p w14:paraId="28F6B965"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S</w:t>
            </w:r>
            <w:r w:rsidRPr="00D10E5F">
              <w:rPr>
                <w:rFonts w:asciiTheme="majorHAnsi" w:hAnsiTheme="majorHAnsi" w:cstheme="majorHAnsi"/>
                <w:bCs/>
                <w:color w:val="auto"/>
                <w:sz w:val="20"/>
                <w:lang w:val="en-GB"/>
              </w:rPr>
              <w:t xml:space="preserve">ulfur </w:t>
            </w:r>
            <w:r w:rsidRPr="00D10E5F">
              <w:rPr>
                <w:rFonts w:asciiTheme="majorHAnsi" w:hAnsiTheme="majorHAnsi" w:cstheme="majorHAnsi"/>
                <w:bCs/>
                <w:sz w:val="20"/>
              </w:rPr>
              <w:t>Oxide</w:t>
            </w:r>
          </w:p>
        </w:tc>
      </w:tr>
      <w:tr w:rsidR="007E0446" w:rsidRPr="0045629F" w14:paraId="3854E726"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6DE41AEB" w14:textId="77777777" w:rsidR="007E0446" w:rsidRPr="00D10E5F" w:rsidRDefault="007E0446" w:rsidP="0048305C">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VOC</w:t>
            </w:r>
          </w:p>
        </w:tc>
        <w:tc>
          <w:tcPr>
            <w:tcW w:w="6380" w:type="dxa"/>
            <w:tcBorders>
              <w:top w:val="single" w:sz="4" w:space="0" w:color="002244"/>
              <w:left w:val="single" w:sz="4" w:space="0" w:color="002244"/>
              <w:bottom w:val="single" w:sz="4" w:space="0" w:color="002244"/>
              <w:right w:val="single" w:sz="4" w:space="0" w:color="002244"/>
            </w:tcBorders>
          </w:tcPr>
          <w:p w14:paraId="62E9A467"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V</w:t>
            </w:r>
            <w:r w:rsidRPr="00D10E5F">
              <w:rPr>
                <w:rFonts w:asciiTheme="majorHAnsi" w:hAnsiTheme="majorHAnsi" w:cstheme="majorHAnsi"/>
                <w:bCs/>
                <w:color w:val="auto"/>
                <w:sz w:val="20"/>
                <w:lang w:val="en-GB"/>
              </w:rPr>
              <w:t xml:space="preserve">olatile </w:t>
            </w:r>
            <w:r w:rsidRPr="00D10E5F">
              <w:rPr>
                <w:rFonts w:asciiTheme="majorHAnsi" w:hAnsiTheme="majorHAnsi" w:cstheme="majorHAnsi"/>
                <w:bCs/>
                <w:sz w:val="20"/>
              </w:rPr>
              <w:t>Organic Compounds</w:t>
            </w:r>
          </w:p>
        </w:tc>
      </w:tr>
      <w:tr w:rsidR="007E0446" w:rsidRPr="0045629F" w14:paraId="657078A7"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C346D94" w14:textId="77777777" w:rsidR="007E0446" w:rsidRPr="00137154" w:rsidRDefault="007E0446" w:rsidP="0048305C">
            <w:pPr>
              <w:rPr>
                <w:rFonts w:asciiTheme="majorHAnsi" w:hAnsiTheme="majorHAnsi" w:cstheme="majorHAnsi"/>
                <w:b w:val="0"/>
                <w:color w:val="auto"/>
                <w:sz w:val="22"/>
                <w:szCs w:val="22"/>
                <w:lang w:val="en-GB"/>
              </w:rPr>
            </w:pPr>
            <w:r w:rsidRPr="00D10E5F">
              <w:rPr>
                <w:rFonts w:asciiTheme="majorHAnsi" w:hAnsiTheme="majorHAnsi" w:cstheme="majorHAnsi"/>
                <w:b w:val="0"/>
                <w:color w:val="auto"/>
                <w:sz w:val="20"/>
                <w:lang w:val="en-GB"/>
              </w:rPr>
              <w:t>PM</w:t>
            </w:r>
          </w:p>
        </w:tc>
        <w:tc>
          <w:tcPr>
            <w:tcW w:w="6380" w:type="dxa"/>
            <w:tcBorders>
              <w:top w:val="single" w:sz="4" w:space="0" w:color="002244"/>
              <w:left w:val="single" w:sz="4" w:space="0" w:color="002244"/>
              <w:bottom w:val="single" w:sz="4" w:space="0" w:color="002244"/>
              <w:right w:val="single" w:sz="4" w:space="0" w:color="002244"/>
            </w:tcBorders>
          </w:tcPr>
          <w:p w14:paraId="725C9942"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2"/>
                <w:szCs w:val="22"/>
                <w:lang w:val="en-GB"/>
              </w:rPr>
            </w:pPr>
            <w:r w:rsidRPr="00D10E5F">
              <w:rPr>
                <w:rFonts w:asciiTheme="majorHAnsi" w:hAnsiTheme="majorHAnsi" w:cstheme="majorHAnsi"/>
                <w:bCs/>
                <w:sz w:val="20"/>
              </w:rPr>
              <w:t>Particular Matter</w:t>
            </w:r>
          </w:p>
        </w:tc>
      </w:tr>
      <w:tr w:rsidR="007E0446" w:rsidRPr="0045629F" w14:paraId="21DF5815"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6D18C4A" w14:textId="77777777" w:rsidR="007E0446" w:rsidRPr="00137154" w:rsidRDefault="007E0446" w:rsidP="0048305C">
            <w:pPr>
              <w:rPr>
                <w:rFonts w:asciiTheme="majorHAnsi" w:hAnsiTheme="majorHAnsi" w:cstheme="majorHAnsi"/>
                <w:b w:val="0"/>
                <w:lang w:val="en-GB"/>
              </w:rPr>
            </w:pPr>
            <w:r w:rsidRPr="00137154">
              <w:rPr>
                <w:rFonts w:asciiTheme="majorHAnsi" w:hAnsiTheme="majorHAnsi" w:cstheme="majorHAnsi"/>
                <w:b w:val="0"/>
              </w:rPr>
              <w:t>RED</w:t>
            </w:r>
          </w:p>
        </w:tc>
        <w:tc>
          <w:tcPr>
            <w:tcW w:w="6380" w:type="dxa"/>
            <w:tcBorders>
              <w:top w:val="single" w:sz="4" w:space="0" w:color="002244"/>
              <w:left w:val="single" w:sz="4" w:space="0" w:color="002244"/>
              <w:bottom w:val="single" w:sz="4" w:space="0" w:color="002244"/>
              <w:right w:val="single" w:sz="4" w:space="0" w:color="002244"/>
            </w:tcBorders>
          </w:tcPr>
          <w:p w14:paraId="4FFFC2C1"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Renewable Energy Directive</w:t>
            </w:r>
          </w:p>
        </w:tc>
      </w:tr>
      <w:tr w:rsidR="007E0446" w:rsidRPr="0045629F" w14:paraId="3598FCA8"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1042DBAC" w14:textId="77777777" w:rsidR="007E0446" w:rsidRPr="00137154" w:rsidRDefault="007E0446" w:rsidP="0048305C">
            <w:pPr>
              <w:rPr>
                <w:rFonts w:asciiTheme="majorHAnsi" w:hAnsiTheme="majorHAnsi" w:cstheme="majorHAnsi"/>
                <w:b w:val="0"/>
                <w:lang w:val="en-GB"/>
              </w:rPr>
            </w:pPr>
            <w:r w:rsidRPr="00137154">
              <w:rPr>
                <w:rFonts w:asciiTheme="majorHAnsi" w:hAnsiTheme="majorHAnsi" w:cstheme="majorHAnsi"/>
                <w:b w:val="0"/>
              </w:rPr>
              <w:t>ILUC</w:t>
            </w:r>
          </w:p>
        </w:tc>
        <w:tc>
          <w:tcPr>
            <w:tcW w:w="6380" w:type="dxa"/>
            <w:tcBorders>
              <w:top w:val="single" w:sz="4" w:space="0" w:color="002244"/>
              <w:left w:val="single" w:sz="4" w:space="0" w:color="002244"/>
              <w:bottom w:val="single" w:sz="4" w:space="0" w:color="002244"/>
              <w:right w:val="single" w:sz="4" w:space="0" w:color="002244"/>
            </w:tcBorders>
          </w:tcPr>
          <w:p w14:paraId="6FF2183E"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Indirect Land Use Change</w:t>
            </w:r>
          </w:p>
        </w:tc>
      </w:tr>
      <w:tr w:rsidR="007E0446" w:rsidRPr="0045629F" w14:paraId="35010C97"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492195DE" w14:textId="77777777" w:rsidR="007E0446" w:rsidRPr="00137154" w:rsidRDefault="007E0446" w:rsidP="0048305C">
            <w:pPr>
              <w:rPr>
                <w:rFonts w:asciiTheme="majorHAnsi" w:hAnsiTheme="majorHAnsi" w:cstheme="majorHAnsi"/>
                <w:b w:val="0"/>
                <w:lang w:val="en-GB"/>
              </w:rPr>
            </w:pPr>
            <w:r w:rsidRPr="00137154">
              <w:rPr>
                <w:rFonts w:asciiTheme="majorHAnsi" w:hAnsiTheme="majorHAnsi" w:cstheme="majorHAnsi"/>
                <w:b w:val="0"/>
              </w:rPr>
              <w:t>HBE</w:t>
            </w:r>
          </w:p>
        </w:tc>
        <w:tc>
          <w:tcPr>
            <w:tcW w:w="6380" w:type="dxa"/>
            <w:tcBorders>
              <w:top w:val="single" w:sz="4" w:space="0" w:color="002244"/>
              <w:left w:val="single" w:sz="4" w:space="0" w:color="002244"/>
              <w:bottom w:val="single" w:sz="4" w:space="0" w:color="002244"/>
              <w:right w:val="single" w:sz="4" w:space="0" w:color="002244"/>
            </w:tcBorders>
          </w:tcPr>
          <w:p w14:paraId="287F4183"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Hernieuwbare Brandstofeenheden</w:t>
            </w:r>
          </w:p>
        </w:tc>
      </w:tr>
      <w:tr w:rsidR="007E0446" w:rsidRPr="0045629F" w14:paraId="7BD925B5"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044CDA12" w14:textId="77777777" w:rsidR="007E0446" w:rsidRPr="00137154" w:rsidRDefault="007E0446" w:rsidP="0048305C">
            <w:pPr>
              <w:rPr>
                <w:rFonts w:asciiTheme="majorHAnsi" w:hAnsiTheme="majorHAnsi" w:cstheme="majorHAnsi"/>
                <w:b w:val="0"/>
                <w:lang w:val="en-GB"/>
              </w:rPr>
            </w:pPr>
            <w:r w:rsidRPr="00137154">
              <w:rPr>
                <w:rFonts w:asciiTheme="majorHAnsi" w:hAnsiTheme="majorHAnsi" w:cstheme="majorHAnsi"/>
                <w:b w:val="0"/>
              </w:rPr>
              <w:t>EGD</w:t>
            </w:r>
          </w:p>
        </w:tc>
        <w:tc>
          <w:tcPr>
            <w:tcW w:w="6380" w:type="dxa"/>
            <w:tcBorders>
              <w:top w:val="single" w:sz="4" w:space="0" w:color="002244"/>
              <w:left w:val="single" w:sz="4" w:space="0" w:color="002244"/>
              <w:bottom w:val="single" w:sz="4" w:space="0" w:color="002244"/>
              <w:right w:val="single" w:sz="4" w:space="0" w:color="002244"/>
            </w:tcBorders>
          </w:tcPr>
          <w:p w14:paraId="13569685"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European Green Deal</w:t>
            </w:r>
          </w:p>
        </w:tc>
      </w:tr>
      <w:tr w:rsidR="007E0446" w:rsidRPr="0045629F" w14:paraId="1F221275"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54889633" w14:textId="77777777" w:rsidR="007E0446" w:rsidRPr="00137154" w:rsidRDefault="007E0446" w:rsidP="0048305C">
            <w:pPr>
              <w:rPr>
                <w:rFonts w:asciiTheme="majorHAnsi" w:hAnsiTheme="majorHAnsi" w:cstheme="majorHAnsi"/>
                <w:b w:val="0"/>
                <w:color w:val="auto"/>
                <w:sz w:val="22"/>
                <w:szCs w:val="22"/>
                <w:lang w:val="en-GB"/>
              </w:rPr>
            </w:pPr>
            <w:r w:rsidRPr="00137154">
              <w:rPr>
                <w:rFonts w:asciiTheme="majorHAnsi" w:hAnsiTheme="majorHAnsi" w:cstheme="majorHAnsi"/>
                <w:b w:val="0"/>
              </w:rPr>
              <w:t>ETS</w:t>
            </w:r>
          </w:p>
        </w:tc>
        <w:tc>
          <w:tcPr>
            <w:tcW w:w="6380" w:type="dxa"/>
            <w:tcBorders>
              <w:top w:val="single" w:sz="4" w:space="0" w:color="002244"/>
              <w:left w:val="single" w:sz="4" w:space="0" w:color="002244"/>
              <w:bottom w:val="single" w:sz="4" w:space="0" w:color="002244"/>
              <w:right w:val="single" w:sz="4" w:space="0" w:color="002244"/>
            </w:tcBorders>
          </w:tcPr>
          <w:p w14:paraId="16F70FB3"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2"/>
                <w:szCs w:val="22"/>
                <w:lang w:val="en-GB"/>
              </w:rPr>
            </w:pPr>
            <w:r w:rsidRPr="00D10E5F">
              <w:rPr>
                <w:rFonts w:asciiTheme="majorHAnsi" w:hAnsiTheme="majorHAnsi" w:cstheme="majorHAnsi"/>
                <w:bCs/>
              </w:rPr>
              <w:t>Emission Trading System</w:t>
            </w:r>
          </w:p>
        </w:tc>
      </w:tr>
      <w:tr w:rsidR="007E0446" w:rsidRPr="0045629F" w14:paraId="785B36CA"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792AD077" w14:textId="77777777" w:rsidR="007E0446" w:rsidRPr="00137154" w:rsidRDefault="007E0446" w:rsidP="0048305C">
            <w:pPr>
              <w:rPr>
                <w:rFonts w:asciiTheme="majorHAnsi" w:hAnsiTheme="majorHAnsi" w:cstheme="majorHAnsi"/>
                <w:b w:val="0"/>
                <w:sz w:val="20"/>
                <w:lang w:val="en-GB"/>
              </w:rPr>
            </w:pPr>
            <w:r w:rsidRPr="00D10E5F">
              <w:rPr>
                <w:rFonts w:asciiTheme="majorHAnsi" w:hAnsiTheme="majorHAnsi" w:cstheme="majorHAnsi"/>
                <w:b w:val="0"/>
                <w:color w:val="auto"/>
                <w:sz w:val="20"/>
                <w:lang w:val="en-GB"/>
              </w:rPr>
              <w:t>HFO</w:t>
            </w:r>
          </w:p>
        </w:tc>
        <w:tc>
          <w:tcPr>
            <w:tcW w:w="6380" w:type="dxa"/>
            <w:tcBorders>
              <w:top w:val="single" w:sz="4" w:space="0" w:color="002244"/>
              <w:left w:val="single" w:sz="4" w:space="0" w:color="002244"/>
              <w:bottom w:val="single" w:sz="4" w:space="0" w:color="002244"/>
              <w:right w:val="single" w:sz="4" w:space="0" w:color="002244"/>
            </w:tcBorders>
          </w:tcPr>
          <w:p w14:paraId="7A8C6DBF"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lang w:val="en-GB"/>
              </w:rPr>
            </w:pPr>
            <w:r w:rsidRPr="00D10E5F">
              <w:rPr>
                <w:rFonts w:asciiTheme="majorHAnsi" w:hAnsiTheme="majorHAnsi" w:cstheme="majorHAnsi"/>
                <w:bCs/>
                <w:sz w:val="20"/>
              </w:rPr>
              <w:t>Heavy Fuel Oil</w:t>
            </w:r>
          </w:p>
        </w:tc>
      </w:tr>
      <w:tr w:rsidR="007E0446" w:rsidRPr="0045629F" w14:paraId="4BC21372"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5E51CDB4" w14:textId="77777777" w:rsidR="007E0446" w:rsidRPr="00137154" w:rsidRDefault="007E0446" w:rsidP="0048305C">
            <w:pPr>
              <w:rPr>
                <w:rFonts w:cs="Calibri"/>
                <w:b w:val="0"/>
                <w:color w:val="auto"/>
                <w:sz w:val="22"/>
                <w:szCs w:val="22"/>
                <w:lang w:val="en-GB"/>
              </w:rPr>
            </w:pPr>
            <w:r w:rsidRPr="00137154">
              <w:rPr>
                <w:rFonts w:cs="Calibri"/>
                <w:b w:val="0"/>
              </w:rPr>
              <w:t xml:space="preserve">LNG </w:t>
            </w:r>
          </w:p>
        </w:tc>
        <w:tc>
          <w:tcPr>
            <w:tcW w:w="6380" w:type="dxa"/>
            <w:tcBorders>
              <w:top w:val="single" w:sz="4" w:space="0" w:color="002244"/>
              <w:left w:val="single" w:sz="4" w:space="0" w:color="002244"/>
              <w:bottom w:val="single" w:sz="4" w:space="0" w:color="002244"/>
              <w:right w:val="single" w:sz="4" w:space="0" w:color="002244"/>
            </w:tcBorders>
          </w:tcPr>
          <w:p w14:paraId="034D6902"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cs="Calibri"/>
                <w:bCs/>
                <w:color w:val="auto"/>
                <w:sz w:val="22"/>
                <w:szCs w:val="22"/>
                <w:lang w:val="en-GB"/>
              </w:rPr>
            </w:pPr>
            <w:r w:rsidRPr="00D10E5F">
              <w:rPr>
                <w:rFonts w:cs="Calibri"/>
                <w:bCs/>
              </w:rPr>
              <w:t>Liquefied Natural Gas</w:t>
            </w:r>
          </w:p>
        </w:tc>
      </w:tr>
      <w:tr w:rsidR="007E0446" w:rsidRPr="0045629F" w14:paraId="0DB0CDEF"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6F70CC36" w14:textId="77777777" w:rsidR="007E0446" w:rsidRPr="00137154" w:rsidRDefault="007E0446" w:rsidP="0048305C">
            <w:pPr>
              <w:rPr>
                <w:rFonts w:cs="Calibri"/>
                <w:b w:val="0"/>
              </w:rPr>
            </w:pPr>
            <w:r w:rsidRPr="00137154">
              <w:rPr>
                <w:rFonts w:cs="Calibri"/>
                <w:b w:val="0"/>
              </w:rPr>
              <w:t>MGO</w:t>
            </w:r>
          </w:p>
        </w:tc>
        <w:tc>
          <w:tcPr>
            <w:tcW w:w="6380" w:type="dxa"/>
            <w:tcBorders>
              <w:top w:val="single" w:sz="4" w:space="0" w:color="002244"/>
              <w:left w:val="single" w:sz="4" w:space="0" w:color="002244"/>
              <w:bottom w:val="single" w:sz="4" w:space="0" w:color="002244"/>
              <w:right w:val="single" w:sz="4" w:space="0" w:color="002244"/>
            </w:tcBorders>
          </w:tcPr>
          <w:p w14:paraId="5557359E"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cs="Calibri"/>
                <w:bCs/>
              </w:rPr>
              <w:t>Marine Gas Oil</w:t>
            </w:r>
          </w:p>
        </w:tc>
      </w:tr>
      <w:tr w:rsidR="007E0446" w:rsidRPr="0045629F" w14:paraId="17FF9C34"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52D91401" w14:textId="77777777" w:rsidR="007E0446" w:rsidRPr="00137154" w:rsidRDefault="007E0446" w:rsidP="0048305C">
            <w:pPr>
              <w:rPr>
                <w:rFonts w:cs="Calibri"/>
                <w:b w:val="0"/>
              </w:rPr>
            </w:pPr>
            <w:r w:rsidRPr="00137154">
              <w:rPr>
                <w:rFonts w:cs="Calibri"/>
                <w:b w:val="0"/>
              </w:rPr>
              <w:t>MDO</w:t>
            </w:r>
          </w:p>
        </w:tc>
        <w:tc>
          <w:tcPr>
            <w:tcW w:w="6380" w:type="dxa"/>
            <w:tcBorders>
              <w:top w:val="single" w:sz="4" w:space="0" w:color="002244"/>
              <w:left w:val="single" w:sz="4" w:space="0" w:color="002244"/>
              <w:bottom w:val="single" w:sz="4" w:space="0" w:color="002244"/>
              <w:right w:val="single" w:sz="4" w:space="0" w:color="002244"/>
            </w:tcBorders>
          </w:tcPr>
          <w:p w14:paraId="6CE13D75"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asciiTheme="majorHAnsi" w:hAnsiTheme="majorHAnsi" w:cstheme="majorBidi"/>
                <w:bCs/>
              </w:rPr>
              <w:t>Marine Diesel Oil</w:t>
            </w:r>
          </w:p>
        </w:tc>
      </w:tr>
      <w:tr w:rsidR="007E0446" w:rsidRPr="0045629F" w14:paraId="52A231F1"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4418438B" w14:textId="77777777" w:rsidR="007E0446" w:rsidRPr="00137154" w:rsidRDefault="007E0446" w:rsidP="0048305C">
            <w:pPr>
              <w:rPr>
                <w:rFonts w:cs="Calibri"/>
                <w:b w:val="0"/>
              </w:rPr>
            </w:pPr>
            <w:r w:rsidRPr="00137154">
              <w:rPr>
                <w:rFonts w:cs="Calibri"/>
                <w:b w:val="0"/>
              </w:rPr>
              <w:t>HVO</w:t>
            </w:r>
          </w:p>
        </w:tc>
        <w:tc>
          <w:tcPr>
            <w:tcW w:w="6380" w:type="dxa"/>
            <w:tcBorders>
              <w:top w:val="single" w:sz="4" w:space="0" w:color="002244"/>
              <w:left w:val="single" w:sz="4" w:space="0" w:color="002244"/>
              <w:bottom w:val="single" w:sz="4" w:space="0" w:color="002244"/>
              <w:right w:val="single" w:sz="4" w:space="0" w:color="002244"/>
            </w:tcBorders>
          </w:tcPr>
          <w:p w14:paraId="71E3FE5D"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asciiTheme="majorHAnsi" w:hAnsiTheme="majorHAnsi" w:cstheme="majorBidi"/>
                <w:bCs/>
              </w:rPr>
              <w:t>Hydrotreated Vegetal Oil</w:t>
            </w:r>
          </w:p>
        </w:tc>
      </w:tr>
      <w:tr w:rsidR="007E0446" w:rsidRPr="0045629F" w14:paraId="453A707C" w14:textId="77777777" w:rsidTr="0048305C">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3362C3A4" w14:textId="77777777" w:rsidR="007E0446" w:rsidRPr="00137154" w:rsidRDefault="007E0446" w:rsidP="0048305C">
            <w:pPr>
              <w:rPr>
                <w:rFonts w:cs="Calibri"/>
                <w:b w:val="0"/>
              </w:rPr>
            </w:pPr>
            <w:r w:rsidRPr="00137154">
              <w:rPr>
                <w:rFonts w:cs="Calibri"/>
                <w:b w:val="0"/>
              </w:rPr>
              <w:t>FAME</w:t>
            </w:r>
          </w:p>
        </w:tc>
        <w:tc>
          <w:tcPr>
            <w:tcW w:w="6380" w:type="dxa"/>
            <w:tcBorders>
              <w:top w:val="single" w:sz="4" w:space="0" w:color="002244"/>
              <w:left w:val="single" w:sz="4" w:space="0" w:color="002244"/>
              <w:bottom w:val="single" w:sz="4" w:space="0" w:color="002244"/>
              <w:right w:val="single" w:sz="4" w:space="0" w:color="002244"/>
            </w:tcBorders>
          </w:tcPr>
          <w:p w14:paraId="6EF8434A" w14:textId="77777777" w:rsidR="007E0446" w:rsidRPr="00D10E5F" w:rsidRDefault="007E0446" w:rsidP="0048305C">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asciiTheme="majorHAnsi" w:hAnsiTheme="majorHAnsi" w:cstheme="majorBidi"/>
                <w:bCs/>
              </w:rPr>
              <w:t>Fatty Acid Methyl Ester</w:t>
            </w:r>
          </w:p>
        </w:tc>
      </w:tr>
    </w:tbl>
    <w:p w14:paraId="194B116B" w14:textId="70E7D521" w:rsidR="00CF57E9" w:rsidRDefault="007E0446">
      <w:pPr>
        <w:spacing w:after="160" w:line="259" w:lineRule="auto"/>
        <w:jc w:val="left"/>
        <w:rPr>
          <w:lang w:val="en-GB"/>
        </w:rPr>
      </w:pPr>
      <w:r w:rsidRPr="0045629F">
        <w:rPr>
          <w:lang w:val="en-GB"/>
        </w:rPr>
        <w:fldChar w:fldCharType="end"/>
      </w:r>
    </w:p>
    <w:p w14:paraId="7C8967D5" w14:textId="09B5AA18" w:rsidR="00CF57E9" w:rsidRDefault="00CF57E9">
      <w:pPr>
        <w:spacing w:after="160" w:line="259" w:lineRule="auto"/>
        <w:jc w:val="left"/>
        <w:rPr>
          <w:lang w:val="en-GB"/>
        </w:rPr>
      </w:pPr>
      <w:r>
        <w:rPr>
          <w:lang w:val="en-GB"/>
        </w:rPr>
        <w:br w:type="page"/>
      </w:r>
    </w:p>
    <w:p w14:paraId="79D53088" w14:textId="77777777" w:rsidR="00EC0977" w:rsidRPr="00C31319" w:rsidRDefault="00EC0977" w:rsidP="00DC3405">
      <w:pPr>
        <w:pStyle w:val="Heading1"/>
      </w:pPr>
      <w:bookmarkStart w:id="5" w:name="_Toc42678637"/>
      <w:bookmarkStart w:id="6" w:name="_Toc85627853"/>
      <w:r>
        <w:lastRenderedPageBreak/>
        <w:t>Introduction</w:t>
      </w:r>
      <w:bookmarkEnd w:id="5"/>
      <w:bookmarkEnd w:id="6"/>
    </w:p>
    <w:p w14:paraId="4103B56E" w14:textId="6DE8D254" w:rsidR="362A3EC5" w:rsidRDefault="362A3EC5" w:rsidP="362A3EC5">
      <w:pPr>
        <w:rPr>
          <w:szCs w:val="21"/>
        </w:rPr>
      </w:pPr>
    </w:p>
    <w:p w14:paraId="02B3C76C" w14:textId="1A474AAB" w:rsidR="00EC0977" w:rsidRDefault="18F1886A" w:rsidP="005D6854">
      <w:pPr>
        <w:pStyle w:val="Heading2"/>
      </w:pPr>
      <w:bookmarkStart w:id="7" w:name="_Toc85627854"/>
      <w:r>
        <w:t>Background</w:t>
      </w:r>
      <w:r w:rsidR="3CAD31CD">
        <w:t xml:space="preserve"> IDEALFUEL Bio-HFO</w:t>
      </w:r>
      <w:bookmarkEnd w:id="7"/>
    </w:p>
    <w:p w14:paraId="448F6000" w14:textId="0C47194C" w:rsidR="5937A937" w:rsidRDefault="5937A937" w:rsidP="5937A937">
      <w:pPr>
        <w:rPr>
          <w:szCs w:val="21"/>
        </w:rPr>
      </w:pPr>
    </w:p>
    <w:p w14:paraId="22B8B703" w14:textId="66C0D252" w:rsidR="009E3767" w:rsidRPr="000B393A" w:rsidRDefault="6B49D179" w:rsidP="00766A25">
      <w:pPr>
        <w:spacing w:after="120" w:line="360" w:lineRule="auto"/>
        <w:ind w:firstLine="444"/>
        <w:rPr>
          <w:rFonts w:asciiTheme="majorHAnsi" w:hAnsiTheme="majorHAnsi" w:cstheme="majorBidi"/>
          <w:sz w:val="22"/>
          <w:szCs w:val="22"/>
        </w:rPr>
      </w:pPr>
      <w:r w:rsidRPr="5937A937">
        <w:rPr>
          <w:rFonts w:asciiTheme="majorHAnsi" w:hAnsiTheme="majorHAnsi" w:cstheme="majorBidi"/>
          <w:sz w:val="22"/>
          <w:szCs w:val="22"/>
          <w:lang w:val="en-GB"/>
        </w:rPr>
        <w:t xml:space="preserve">The maritime </w:t>
      </w:r>
      <w:r w:rsidR="0DAD5EA3" w:rsidRPr="5937A937">
        <w:rPr>
          <w:rFonts w:asciiTheme="majorHAnsi" w:hAnsiTheme="majorHAnsi" w:cstheme="majorBidi"/>
          <w:sz w:val="22"/>
          <w:szCs w:val="22"/>
          <w:lang w:val="en-GB"/>
        </w:rPr>
        <w:t xml:space="preserve">industry </w:t>
      </w:r>
      <w:r w:rsidRPr="5937A937">
        <w:rPr>
          <w:rFonts w:asciiTheme="majorHAnsi" w:hAnsiTheme="majorHAnsi" w:cstheme="majorBidi"/>
          <w:sz w:val="22"/>
          <w:szCs w:val="22"/>
          <w:lang w:val="en-GB"/>
        </w:rPr>
        <w:t xml:space="preserve">is a growing </w:t>
      </w:r>
      <w:r w:rsidR="0244E872" w:rsidRPr="5937A937">
        <w:rPr>
          <w:rFonts w:asciiTheme="majorHAnsi" w:hAnsiTheme="majorHAnsi" w:cstheme="majorBidi"/>
          <w:sz w:val="22"/>
          <w:szCs w:val="22"/>
          <w:lang w:val="en-GB"/>
        </w:rPr>
        <w:t>business</w:t>
      </w:r>
      <w:r w:rsidRPr="5937A937">
        <w:rPr>
          <w:rFonts w:asciiTheme="majorHAnsi" w:hAnsiTheme="majorHAnsi" w:cstheme="majorBidi"/>
          <w:sz w:val="22"/>
          <w:szCs w:val="22"/>
          <w:lang w:val="en-GB"/>
        </w:rPr>
        <w:t>, w</w:t>
      </w:r>
      <w:r w:rsidR="5FB205B6" w:rsidRPr="5937A937">
        <w:rPr>
          <w:rFonts w:asciiTheme="majorHAnsi" w:hAnsiTheme="majorHAnsi" w:cstheme="majorBidi"/>
          <w:sz w:val="22"/>
          <w:szCs w:val="22"/>
          <w:lang w:val="en-GB"/>
        </w:rPr>
        <w:t xml:space="preserve">hich accounts for </w:t>
      </w:r>
      <w:r w:rsidR="726196C0" w:rsidRPr="5937A937">
        <w:rPr>
          <w:rFonts w:asciiTheme="majorHAnsi" w:hAnsiTheme="majorHAnsi" w:cstheme="majorBidi"/>
          <w:sz w:val="22"/>
          <w:szCs w:val="22"/>
          <w:lang w:val="en-GB"/>
        </w:rPr>
        <w:t xml:space="preserve">12 % of total transport </w:t>
      </w:r>
      <w:r w:rsidR="00862D32" w:rsidRPr="5937A937">
        <w:rPr>
          <w:rFonts w:asciiTheme="majorHAnsi" w:hAnsiTheme="majorHAnsi" w:cstheme="majorBidi"/>
          <w:sz w:val="22"/>
          <w:szCs w:val="22"/>
          <w:lang w:val="en-GB"/>
        </w:rPr>
        <w:t xml:space="preserve">global </w:t>
      </w:r>
      <w:r w:rsidR="726196C0" w:rsidRPr="5937A937">
        <w:rPr>
          <w:rFonts w:asciiTheme="majorHAnsi" w:hAnsiTheme="majorHAnsi" w:cstheme="majorBidi"/>
          <w:sz w:val="22"/>
          <w:szCs w:val="22"/>
          <w:lang w:val="en-GB"/>
        </w:rPr>
        <w:t xml:space="preserve">energy demand </w:t>
      </w:r>
      <w:r w:rsidR="187486A6" w:rsidRPr="5937A937">
        <w:rPr>
          <w:rFonts w:asciiTheme="majorHAnsi" w:hAnsiTheme="majorHAnsi" w:cstheme="majorBidi"/>
          <w:sz w:val="22"/>
          <w:szCs w:val="22"/>
          <w:lang w:val="en-GB"/>
        </w:rPr>
        <w:t xml:space="preserve">with </w:t>
      </w:r>
      <w:r w:rsidR="00766A25">
        <w:rPr>
          <w:rFonts w:asciiTheme="majorHAnsi" w:hAnsiTheme="majorHAnsi" w:cstheme="majorBidi"/>
          <w:sz w:val="22"/>
          <w:szCs w:val="22"/>
          <w:lang w:val="en-GB"/>
        </w:rPr>
        <w:t>a significant share on</w:t>
      </w:r>
      <w:r w:rsidR="008A0DFD" w:rsidRPr="008A0DFD">
        <w:rPr>
          <w:rFonts w:asciiTheme="majorHAnsi" w:hAnsiTheme="majorHAnsi" w:cstheme="majorBidi"/>
          <w:sz w:val="22"/>
          <w:szCs w:val="22"/>
          <w:lang w:val="en-GB"/>
        </w:rPr>
        <w:t xml:space="preserve"> </w:t>
      </w:r>
      <w:r w:rsidR="008A0DFD" w:rsidRPr="5937A937">
        <w:rPr>
          <w:rFonts w:asciiTheme="majorHAnsi" w:hAnsiTheme="majorHAnsi" w:cstheme="majorBidi"/>
          <w:sz w:val="22"/>
          <w:szCs w:val="22"/>
          <w:lang w:val="en-GB"/>
        </w:rPr>
        <w:t>CO</w:t>
      </w:r>
      <w:r w:rsidR="008A0DFD" w:rsidRPr="00D852D9">
        <w:rPr>
          <w:rFonts w:asciiTheme="majorHAnsi" w:hAnsiTheme="majorHAnsi" w:cstheme="majorBidi"/>
          <w:sz w:val="22"/>
          <w:szCs w:val="22"/>
          <w:vertAlign w:val="subscript"/>
          <w:lang w:val="en-GB"/>
        </w:rPr>
        <w:t>2</w:t>
      </w:r>
      <w:r w:rsidR="187486A6" w:rsidRPr="5937A937">
        <w:rPr>
          <w:rFonts w:asciiTheme="majorHAnsi" w:hAnsiTheme="majorHAnsi" w:cstheme="majorBidi"/>
          <w:sz w:val="22"/>
          <w:szCs w:val="22"/>
          <w:lang w:val="en-GB"/>
        </w:rPr>
        <w:t xml:space="preserve"> emissions</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(Balcombe et al., 2019)</w:t>
      </w:r>
      <w:r w:rsidR="003B4A74">
        <w:rPr>
          <w:rFonts w:asciiTheme="majorHAnsi" w:hAnsiTheme="majorHAnsi" w:cstheme="majorBidi"/>
          <w:sz w:val="22"/>
          <w:szCs w:val="22"/>
          <w:lang w:val="en-GB"/>
        </w:rPr>
        <w:fldChar w:fldCharType="end"/>
      </w:r>
      <w:r w:rsidR="187486A6"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w:t>
      </w:r>
      <w:r w:rsidR="7A59A4E0" w:rsidRPr="5937A937">
        <w:rPr>
          <w:rFonts w:asciiTheme="majorHAnsi" w:hAnsiTheme="majorHAnsi" w:cstheme="majorBidi"/>
          <w:sz w:val="22"/>
          <w:szCs w:val="22"/>
          <w:lang w:val="en-GB"/>
        </w:rPr>
        <w:t xml:space="preserve">Currently, </w:t>
      </w:r>
      <w:r w:rsidR="57196BD7" w:rsidRPr="5937A937">
        <w:rPr>
          <w:rFonts w:asciiTheme="majorHAnsi" w:hAnsiTheme="majorHAnsi" w:cstheme="majorBidi"/>
          <w:sz w:val="22"/>
          <w:szCs w:val="22"/>
          <w:lang w:val="en-GB"/>
        </w:rPr>
        <w:t>it represents</w:t>
      </w:r>
      <w:r w:rsidR="49B0A269" w:rsidRPr="5937A937">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940 million tonnes of CO</w:t>
      </w:r>
      <w:r w:rsidRPr="00D852D9">
        <w:rPr>
          <w:rFonts w:asciiTheme="majorHAnsi" w:hAnsiTheme="majorHAnsi" w:cstheme="majorBidi"/>
          <w:sz w:val="22"/>
          <w:szCs w:val="22"/>
          <w:vertAlign w:val="subscript"/>
          <w:lang w:val="en-GB"/>
        </w:rPr>
        <w:t>2</w:t>
      </w:r>
      <w:r w:rsidR="4F0438C2" w:rsidRPr="5937A937">
        <w:rPr>
          <w:rFonts w:asciiTheme="majorHAnsi" w:hAnsiTheme="majorHAnsi" w:cstheme="majorBidi"/>
          <w:sz w:val="22"/>
          <w:szCs w:val="22"/>
          <w:lang w:val="en-GB"/>
        </w:rPr>
        <w:t xml:space="preserve"> emissions globally</w:t>
      </w:r>
      <w:r w:rsidRPr="5937A937">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{"citationItems":[{"id":"ITEM-1","itemData":{"DOI":"10.4324/9781003139836-21","URL":"https://ec.europa.eu/clima/policies/transport/shipping_en","abstract":"EU climate actions","accessed":{"date-parts":[["2021","8","31"]]},"author":[{"dropping-particle":"","family":"Abdenur","given":"Adriana Erthal","non-dropping-particle":"","parse-names":false,"suffix":""}],"container-title":"Global Governance Futures","id":"ITEM-1","issued":{"date-parts":[["2021"]]},"page":"238-252","title":"Climate action","type":"webpage"},"uris":["http://www.mendeley.com/documents/?uuid=e48ab161-a69a-483c-a511-9e430f0b5fa6"]}],"mendeley":{"formattedCitation":"(Abdenur, 2021)","plainTextFormattedCitation":"(Abdenur, 2021)","previouslyFormattedCitation":"(Abdenur, 2021)"},"properties":{"noteIndex":0},"schema":"https://github.com/citation-style-language/schema/raw/master/csl-citation.json"}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(Abdenur, 2021)</w:t>
      </w:r>
      <w:r w:rsidR="003B4A74">
        <w:rPr>
          <w:rFonts w:asciiTheme="majorHAnsi" w:hAnsiTheme="majorHAnsi" w:cstheme="majorBidi"/>
          <w:sz w:val="22"/>
          <w:szCs w:val="22"/>
          <w:lang w:val="en-GB"/>
        </w:rPr>
        <w:fldChar w:fldCharType="end"/>
      </w:r>
      <w:r w:rsidR="003B4A74">
        <w:rPr>
          <w:rFonts w:asciiTheme="majorHAnsi" w:hAnsiTheme="majorHAnsi" w:cstheme="majorBidi"/>
          <w:color w:val="113355"/>
          <w:sz w:val="22"/>
          <w:szCs w:val="22"/>
          <w:lang w:val="en-GB"/>
        </w:rPr>
        <w:t>.</w:t>
      </w:r>
      <w:r w:rsidRPr="5937A937">
        <w:rPr>
          <w:rFonts w:asciiTheme="majorHAnsi" w:hAnsiTheme="majorHAnsi" w:cstheme="majorBidi"/>
          <w:sz w:val="22"/>
          <w:szCs w:val="22"/>
          <w:lang w:val="en-GB"/>
        </w:rPr>
        <w:t xml:space="preserve"> </w:t>
      </w:r>
      <w:r w:rsidR="2D10C027" w:rsidRPr="5937A937">
        <w:rPr>
          <w:rFonts w:asciiTheme="majorHAnsi" w:hAnsiTheme="majorHAnsi" w:cstheme="majorBidi"/>
          <w:sz w:val="22"/>
          <w:szCs w:val="22"/>
          <w:lang w:val="en-GB"/>
        </w:rPr>
        <w:t>Although e</w:t>
      </w:r>
      <w:r w:rsidRPr="5937A937">
        <w:rPr>
          <w:rFonts w:asciiTheme="majorHAnsi" w:hAnsiTheme="majorHAnsi" w:cstheme="majorBidi"/>
          <w:sz w:val="22"/>
          <w:szCs w:val="22"/>
          <w:lang w:val="en-GB"/>
        </w:rPr>
        <w:t xml:space="preserve">fforts have already taken place to reduce </w:t>
      </w:r>
      <w:r w:rsidR="00766A25">
        <w:rPr>
          <w:rFonts w:asciiTheme="majorHAnsi" w:hAnsiTheme="majorHAnsi" w:cstheme="majorBidi"/>
          <w:sz w:val="22"/>
          <w:szCs w:val="22"/>
          <w:lang w:val="en-GB"/>
        </w:rPr>
        <w:t xml:space="preserve">in </w:t>
      </w:r>
      <w:r w:rsidRPr="5937A937">
        <w:rPr>
          <w:rFonts w:asciiTheme="majorHAnsi" w:hAnsiTheme="majorHAnsi" w:cstheme="majorBidi"/>
          <w:sz w:val="22"/>
          <w:szCs w:val="22"/>
          <w:lang w:val="en-GB"/>
        </w:rPr>
        <w:t xml:space="preserve">8% </w:t>
      </w:r>
      <w:r w:rsidR="00766A25">
        <w:rPr>
          <w:rFonts w:asciiTheme="majorHAnsi" w:hAnsiTheme="majorHAnsi" w:cstheme="majorBidi"/>
          <w:sz w:val="22"/>
          <w:szCs w:val="22"/>
          <w:lang w:val="en-GB"/>
        </w:rPr>
        <w:t xml:space="preserve">the </w:t>
      </w:r>
      <w:r w:rsidRPr="5937A937">
        <w:rPr>
          <w:rFonts w:asciiTheme="majorHAnsi" w:hAnsiTheme="majorHAnsi" w:cstheme="majorBidi"/>
          <w:sz w:val="22"/>
          <w:szCs w:val="22"/>
          <w:lang w:val="en-GB"/>
        </w:rPr>
        <w:t>CO</w:t>
      </w:r>
      <w:r w:rsidRPr="00D852D9">
        <w:rPr>
          <w:rFonts w:asciiTheme="majorHAnsi" w:hAnsiTheme="majorHAnsi" w:cstheme="majorBidi"/>
          <w:sz w:val="22"/>
          <w:szCs w:val="22"/>
          <w:vertAlign w:val="subscript"/>
          <w:lang w:val="en-GB"/>
        </w:rPr>
        <w:t>2</w:t>
      </w:r>
      <w:r w:rsidRPr="5937A937">
        <w:rPr>
          <w:rFonts w:asciiTheme="majorHAnsi" w:hAnsiTheme="majorHAnsi" w:cstheme="majorBidi"/>
          <w:sz w:val="22"/>
          <w:szCs w:val="22"/>
          <w:lang w:val="en-GB"/>
        </w:rPr>
        <w:t xml:space="preserve"> emissions between 2008 and 2015, the</w:t>
      </w:r>
      <w:r w:rsidR="3FA5692B" w:rsidRPr="5937A937">
        <w:rPr>
          <w:rFonts w:asciiTheme="majorHAnsi" w:hAnsiTheme="majorHAnsi" w:cstheme="majorBidi"/>
          <w:sz w:val="22"/>
          <w:szCs w:val="22"/>
          <w:lang w:val="en-GB"/>
        </w:rPr>
        <w:t>re is room for improv</w:t>
      </w:r>
      <w:r w:rsidR="00766A25">
        <w:rPr>
          <w:rFonts w:asciiTheme="majorHAnsi" w:hAnsiTheme="majorHAnsi" w:cstheme="majorBidi"/>
          <w:sz w:val="22"/>
          <w:szCs w:val="22"/>
          <w:lang w:val="en-GB"/>
        </w:rPr>
        <w:t xml:space="preserve">ed </w:t>
      </w:r>
      <w:r w:rsidR="3FA5692B" w:rsidRPr="5937A937">
        <w:rPr>
          <w:rFonts w:asciiTheme="majorHAnsi" w:hAnsiTheme="majorHAnsi" w:cstheme="majorBidi"/>
          <w:sz w:val="22"/>
          <w:szCs w:val="22"/>
          <w:lang w:val="en-GB"/>
        </w:rPr>
        <w:t>practices</w:t>
      </w:r>
      <w:r w:rsidRPr="5937A937">
        <w:rPr>
          <w:rFonts w:asciiTheme="majorHAnsi" w:hAnsiTheme="majorHAnsi" w:cstheme="majorBidi"/>
          <w:sz w:val="22"/>
          <w:szCs w:val="22"/>
          <w:lang w:val="en-GB"/>
        </w:rPr>
        <w:t xml:space="preserve">. According to the International Maritime Organization (IMO) </w:t>
      </w:r>
      <w:r w:rsidR="106AC49E" w:rsidRPr="5937A937">
        <w:rPr>
          <w:rFonts w:asciiTheme="majorHAnsi" w:hAnsiTheme="majorHAnsi" w:cstheme="majorBidi"/>
          <w:sz w:val="22"/>
          <w:szCs w:val="22"/>
          <w:lang w:val="en-GB"/>
        </w:rPr>
        <w:t xml:space="preserve">and </w:t>
      </w:r>
      <w:r w:rsidR="1126BFEC" w:rsidRPr="5937A937">
        <w:rPr>
          <w:rFonts w:asciiTheme="majorHAnsi" w:hAnsiTheme="majorHAnsi" w:cstheme="majorBidi"/>
          <w:sz w:val="22"/>
          <w:szCs w:val="22"/>
          <w:lang w:val="en-GB"/>
        </w:rPr>
        <w:t>considering the</w:t>
      </w:r>
      <w:r w:rsidRPr="5937A937">
        <w:rPr>
          <w:rFonts w:asciiTheme="majorHAnsi" w:hAnsiTheme="majorHAnsi" w:cstheme="majorBidi"/>
          <w:sz w:val="22"/>
          <w:szCs w:val="22"/>
          <w:lang w:val="en-GB"/>
        </w:rPr>
        <w:t xml:space="preserve"> business-as-usual </w:t>
      </w:r>
      <w:r w:rsidR="4C843D2E" w:rsidRPr="5937A937">
        <w:rPr>
          <w:rFonts w:asciiTheme="majorHAnsi" w:hAnsiTheme="majorHAnsi" w:cstheme="majorBidi"/>
          <w:sz w:val="22"/>
          <w:szCs w:val="22"/>
          <w:lang w:val="en-GB"/>
        </w:rPr>
        <w:t>scenario</w:t>
      </w:r>
      <w:r w:rsidR="6A5F3F94" w:rsidRPr="5937A937">
        <w:rPr>
          <w:rFonts w:asciiTheme="majorHAnsi" w:hAnsiTheme="majorHAnsi" w:cstheme="majorBidi"/>
          <w:sz w:val="22"/>
          <w:szCs w:val="22"/>
          <w:lang w:val="en-GB"/>
        </w:rPr>
        <w:t>,</w:t>
      </w:r>
      <w:r w:rsidR="4C843D2E" w:rsidRPr="5937A937">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emissions are expected to increase 50</w:t>
      </w:r>
      <w:r w:rsidR="00FA3DB1">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 to 250</w:t>
      </w:r>
      <w:r w:rsidR="00FA3DB1">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 by 2050</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{"citationItems":[{"id":"ITEM-1","itemData":{"DOI":"10.4324/9781003139836-21","URL":"https://ec.europa.eu/clima/policies/transport/shipping_en","abstract":"EU climate actions","accessed":{"date-parts":[["2021","8","31"]]},"author":[{"dropping-particle":"","family":"Abdenur","given":"Adriana Erthal","non-dropping-particle":"","parse-names":false,"suffix":""}],"container-title":"Global Governance Futures","id":"ITEM-1","issued":{"date-parts":[["2021"]]},"page":"238-252","title":"Climate action","type":"webpage"},"uris":["http://www.mendeley.com/documents/?uuid=e48ab161-a69a-483c-a511-9e430f0b5fa6"]},{"id":"ITEM-2","itemData":{"abstract":"The European shipping industry publishes position paper on the EU Green Deal \r\nOn the occasion of the European Shipping Week, ECSA - the European Community Shipowners'  Associations - has launched its position paper in response to the EU Green Deal proposed by the new European Commission.\r\n\"The shipping industry is fully committed to eradicating its GHG emissions completely as soon as possible in this century,\" said Claes Berglund, ECSA's President, as in line with the ambitious targets agreed for the sector by its global regulator, the UN International Maritime Organisation.\"\r\n\r\nThe newly-published position paper is the policy response of the industry towards the European Commission’s ambitious EU Green Deal.\r\n\r\nThe document welcomes and supports the EU’s ambition to take the lead in fighting climate change. Within this context, the European shipping industry aims to be an active contributor to the IMO discussions on both short-term and long-term measures, and seeks the EU’s support for a coordinated and holistic approach at the UN body.\r\n\r\nIn direct response to the EU Green Deal, the industry lays down 8 points where the EU can do together with the shipping industry:\r\n\r\nTake the lead in the international regulatory process\r\nIncentivise the modal shift in transport from roads and air to ferries and short sea shipping - need for an ambitious strategy\r\nResearch and Development - make the EU a frontrunner in low- and zero-carbon technologies\r\nPort call optimisation\r\nShore power and infrastructure for alternative fuels\r\nEstablish a green financing programme for the electrification of ferries\r\nUse the offshore potential for renewable energy\r\nDigitalisation","author":[{"dropping-particle":"","family":"ECSA","given":"","non-dropping-particle":"","parse-names":false,"suffix":""}],"id":"ITEM-2","issued":{"date-parts":[["2020"]]},"title":"A Green Deal for the European shipping industry","type":"article-journal"},"uris":["http://www.mendeley.com/documents/?uuid=e1945c32-0055-4ba3-b462-f781c9c86f91"]}],"mendeley":{"formattedCitation":"(Abdenur, 2021; ECSA, 2020)","plainTextFormattedCitation":"(Abdenur, 2021; ECSA, 2020)","previouslyFormattedCitation":"(Abdenur, 2021; ECSA, 2020)"},"properties":{"noteIndex":0},"schema":"https://github.com/citation-style-language/schema/raw/master/csl-citation.json"}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(Abdenur, 2021; ECSA, 2020)</w:t>
      </w:r>
      <w:r w:rsidR="003B4A74">
        <w:rPr>
          <w:rFonts w:asciiTheme="majorHAnsi" w:hAnsiTheme="majorHAnsi" w:cstheme="majorBidi"/>
          <w:sz w:val="22"/>
          <w:szCs w:val="22"/>
          <w:lang w:val="en-GB"/>
        </w:rPr>
        <w:fldChar w:fldCharType="end"/>
      </w:r>
      <w:r w:rsidR="003B4A74">
        <w:rPr>
          <w:rFonts w:asciiTheme="majorHAnsi" w:hAnsiTheme="majorHAnsi" w:cstheme="majorBidi"/>
          <w:sz w:val="22"/>
          <w:szCs w:val="22"/>
          <w:lang w:val="en-GB"/>
        </w:rPr>
        <w:t>.</w:t>
      </w:r>
    </w:p>
    <w:p w14:paraId="3EED2D56" w14:textId="684115AA" w:rsidR="009E3767" w:rsidRPr="000B393A" w:rsidRDefault="181D6297" w:rsidP="362A3EC5">
      <w:pPr>
        <w:spacing w:after="120" w:line="360" w:lineRule="auto"/>
        <w:ind w:firstLine="720"/>
        <w:rPr>
          <w:rFonts w:asciiTheme="majorHAnsi" w:hAnsiTheme="majorHAnsi" w:cstheme="majorBidi"/>
          <w:sz w:val="22"/>
          <w:szCs w:val="22"/>
        </w:rPr>
      </w:pPr>
      <w:r w:rsidRPr="362A3EC5">
        <w:rPr>
          <w:rFonts w:asciiTheme="majorHAnsi" w:hAnsiTheme="majorHAnsi" w:cstheme="majorBidi"/>
          <w:sz w:val="22"/>
          <w:szCs w:val="22"/>
          <w:lang w:val="en-GB"/>
        </w:rPr>
        <w:t xml:space="preserve">The decarbonization of the shipping industry is </w:t>
      </w:r>
      <w:r w:rsidR="54C5CCF4" w:rsidRPr="362A3EC5">
        <w:rPr>
          <w:rFonts w:asciiTheme="majorHAnsi" w:hAnsiTheme="majorHAnsi" w:cstheme="majorBidi"/>
          <w:sz w:val="22"/>
          <w:szCs w:val="22"/>
          <w:lang w:val="en-GB"/>
        </w:rPr>
        <w:t xml:space="preserve">a challenging task, which requires </w:t>
      </w:r>
      <w:r w:rsidRPr="362A3EC5">
        <w:rPr>
          <w:rFonts w:asciiTheme="majorHAnsi" w:hAnsiTheme="majorHAnsi" w:cstheme="majorBidi"/>
          <w:sz w:val="22"/>
          <w:szCs w:val="22"/>
          <w:lang w:val="en-GB"/>
        </w:rPr>
        <w:t xml:space="preserve">innovative </w:t>
      </w:r>
      <w:r w:rsidR="4EE368B2" w:rsidRPr="362A3EC5">
        <w:rPr>
          <w:rFonts w:asciiTheme="majorHAnsi" w:hAnsiTheme="majorHAnsi" w:cstheme="majorBidi"/>
          <w:sz w:val="22"/>
          <w:szCs w:val="22"/>
          <w:lang w:val="en-GB"/>
        </w:rPr>
        <w:t>solutions, p</w:t>
      </w:r>
      <w:r w:rsidRPr="362A3EC5">
        <w:rPr>
          <w:rFonts w:asciiTheme="majorHAnsi" w:hAnsiTheme="majorHAnsi" w:cstheme="majorBidi"/>
          <w:sz w:val="22"/>
          <w:szCs w:val="22"/>
          <w:lang w:val="en-GB"/>
        </w:rPr>
        <w:t xml:space="preserve">articularly, </w:t>
      </w:r>
      <w:r w:rsidR="11317E4D" w:rsidRPr="362A3EC5">
        <w:rPr>
          <w:rFonts w:asciiTheme="majorHAnsi" w:hAnsiTheme="majorHAnsi" w:cstheme="majorBidi"/>
          <w:sz w:val="22"/>
          <w:szCs w:val="22"/>
          <w:lang w:val="en-GB"/>
        </w:rPr>
        <w:t>towards</w:t>
      </w:r>
      <w:r w:rsidRPr="362A3EC5">
        <w:rPr>
          <w:rFonts w:asciiTheme="majorHAnsi" w:hAnsiTheme="majorHAnsi" w:cstheme="majorBidi"/>
          <w:sz w:val="22"/>
          <w:szCs w:val="22"/>
          <w:lang w:val="en-GB"/>
        </w:rPr>
        <w:t xml:space="preserve"> advanced “drop-in” biofuels</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{"citationItems":[{"id":"ITEM-1","itemData":{"abstract":"The European shipping industry publishes position paper on the EU Green Deal \r\nOn the occasion of the European Shipping Week, ECSA - the European Community Shipowners'  Associations - has launched its position paper in response to the EU Green Deal proposed by the new European Commission.\r\n\"The shipping industry is fully committed to eradicating its GHG emissions completely as soon as possible in this century,\" said Claes Berglund, ECSA's President, as in line with the ambitious targets agreed for the sector by its global regulator, the UN International Maritime Organisation.\"\r\n\r\nThe newly-published position paper is the policy response of the industry towards the European Commission’s ambitious EU Green Deal.\r\n\r\nThe document welcomes and supports the EU’s ambition to take the lead in fighting climate change. Within this context, the European shipping industry aims to be an active contributor to the IMO discussions on both short-term and long-term measures, and seeks the EU’s support for a coordinated and holistic approach at the UN body.\r\n\r\nIn direct response to the EU Green Deal, the industry lays down 8 points where the EU can do together with the shipping industry:\r\n\r\nTake the lead in the international regulatory process\r\nIncentivise the modal shift in transport from roads and air to ferries and short sea shipping - need for an ambitious strategy\r\nResearch and Development - make the EU a frontrunner in low- and zero-carbon technologies\r\nPort call optimisation\r\nShore power and infrastructure for alternative fuels\r\nEstablish a green financing programme for the electrification of ferries\r\nUse the offshore potential for renewable energy\r\nDigitalisation","author":[{"dropping-particle":"","family":"ECSA","given":"","non-dropping-particle":"","parse-names":false,"suffix":""}],"id":"ITEM-1","issued":{"date-parts":[["2020"]]},"title":"A Green Deal for the European shipping industry","type":"article-journal"},"uris":["http://www.mendeley.com/documents/?uuid=e1945c32-0055-4ba3-b462-f781c9c86f91"]}],"mendeley":{"formattedCitation":"(ECSA, 2020)","plainTextFormattedCitation":"(ECSA, 2020)","previouslyFormattedCitation":"(ECSA, 2020)"},"properties":{"noteIndex":0},"schema":"https://github.com/citation-style-language/schema/raw/master/csl-citation.json"}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(ECSA, 2020)</w:t>
      </w:r>
      <w:r w:rsidR="003B4A74">
        <w:rPr>
          <w:rFonts w:asciiTheme="majorHAnsi" w:hAnsiTheme="majorHAnsi" w:cstheme="majorBidi"/>
          <w:sz w:val="22"/>
          <w:szCs w:val="22"/>
          <w:lang w:val="en-GB"/>
        </w:rPr>
        <w:fldChar w:fldCharType="end"/>
      </w:r>
      <w:r w:rsidR="003B4A74">
        <w:rPr>
          <w:rFonts w:asciiTheme="majorHAnsi" w:hAnsiTheme="majorHAnsi" w:cstheme="majorBidi"/>
          <w:sz w:val="22"/>
          <w:szCs w:val="22"/>
          <w:lang w:val="en-GB"/>
        </w:rPr>
        <w:t>.</w:t>
      </w:r>
      <w:r w:rsidR="00766A25">
        <w:rPr>
          <w:rFonts w:asciiTheme="majorHAnsi" w:hAnsiTheme="majorHAnsi" w:cstheme="majorBidi"/>
          <w:sz w:val="22"/>
          <w:szCs w:val="22"/>
          <w:lang w:val="en-GB"/>
        </w:rPr>
        <w:t xml:space="preserve"> </w:t>
      </w:r>
      <w:r w:rsidR="00635632">
        <w:rPr>
          <w:rFonts w:asciiTheme="majorHAnsi" w:hAnsiTheme="majorHAnsi" w:cstheme="majorBidi"/>
          <w:sz w:val="22"/>
          <w:szCs w:val="22"/>
          <w:lang w:val="en-GB"/>
        </w:rPr>
        <w:t xml:space="preserve">Advanced biofuels have been defined </w:t>
      </w:r>
      <w:r w:rsidR="00E577C0">
        <w:rPr>
          <w:rFonts w:asciiTheme="majorHAnsi" w:hAnsiTheme="majorHAnsi" w:cstheme="majorBidi"/>
          <w:sz w:val="22"/>
          <w:szCs w:val="22"/>
          <w:lang w:val="en-GB"/>
        </w:rPr>
        <w:t>according to the Renewable Energy Directive II (RED II), as those</w:t>
      </w:r>
      <w:r w:rsidR="004450A2">
        <w:rPr>
          <w:rFonts w:asciiTheme="majorHAnsi" w:hAnsiTheme="majorHAnsi" w:cstheme="majorBidi"/>
          <w:sz w:val="22"/>
          <w:szCs w:val="22"/>
          <w:lang w:val="en-GB"/>
        </w:rPr>
        <w:t xml:space="preserve"> </w:t>
      </w:r>
      <w:r w:rsidR="00572DB8" w:rsidRPr="00572DB8">
        <w:rPr>
          <w:rFonts w:asciiTheme="majorHAnsi" w:hAnsiTheme="majorHAnsi" w:cstheme="majorBidi"/>
          <w:sz w:val="22"/>
          <w:szCs w:val="22"/>
          <w:lang w:val="en-GB"/>
        </w:rPr>
        <w:t>produced from</w:t>
      </w:r>
      <w:r w:rsidR="00572DB8">
        <w:rPr>
          <w:rFonts w:asciiTheme="majorHAnsi" w:hAnsiTheme="majorHAnsi" w:cstheme="majorBidi"/>
          <w:sz w:val="22"/>
          <w:szCs w:val="22"/>
          <w:lang w:val="en-GB"/>
        </w:rPr>
        <w:t xml:space="preserve"> the</w:t>
      </w:r>
      <w:r w:rsidR="00572DB8" w:rsidRPr="00572DB8">
        <w:rPr>
          <w:rFonts w:asciiTheme="majorHAnsi" w:hAnsiTheme="majorHAnsi" w:cstheme="majorBidi"/>
          <w:sz w:val="22"/>
          <w:szCs w:val="22"/>
          <w:lang w:val="en-GB"/>
        </w:rPr>
        <w:t xml:space="preserve"> feedstocks listed in of Annex IX part A of the </w:t>
      </w:r>
      <w:r w:rsidR="00572DB8">
        <w:rPr>
          <w:rFonts w:asciiTheme="majorHAnsi" w:hAnsiTheme="majorHAnsi" w:cstheme="majorBidi"/>
          <w:sz w:val="22"/>
          <w:szCs w:val="22"/>
          <w:lang w:val="en-GB"/>
        </w:rPr>
        <w:t xml:space="preserve">RED II </w:t>
      </w:r>
      <w:r w:rsidR="00572DB8">
        <w:rPr>
          <w:rFonts w:asciiTheme="majorHAnsi" w:hAnsiTheme="majorHAnsi" w:cstheme="majorBidi"/>
          <w:sz w:val="22"/>
          <w:szCs w:val="22"/>
          <w:lang w:val="en-GB"/>
        </w:rPr>
        <w:fldChar w:fldCharType="begin" w:fldLock="1"/>
      </w:r>
      <w:r w:rsidR="00E42C76">
        <w:rPr>
          <w:rFonts w:asciiTheme="majorHAnsi" w:hAnsiTheme="majorHAnsi" w:cstheme="majorBidi"/>
          <w:sz w:val="22"/>
          <w:szCs w:val="22"/>
          <w:lang w:val="en-GB"/>
        </w:rPr>
        <w:instrText>ADDIN CSL_CITATION {"citationItems":[{"id":"ITEM-1","itemData":{"URL":"https://www.eafo.eu/alternative-fuels/advanced-biofuels/generic-information","author":[{"dropping-particle":"","family":"European Alternative Fuels Observatory","given":"","non-dropping-particle":"","parse-names":false,"suffix":""}],"id":"ITEM-1","issued":{"date-parts":[["2020"]]},"title":"WHAT ARE ADVANCED BIOFUELS?","type":"webpage"},"uris":["http://www.mendeley.com/documents/?uuid=21c944a1-0746-467f-9517-0717a383dd37"]}],"mendeley":{"formattedCitation":"(European Alternative Fuels Observatory, 2020)","plainTextFormattedCitation":"(European Alternative Fuels Observatory, 2020)","previouslyFormattedCitation":"(European Alternative Fuels Observatory, 2020)"},"properties":{"noteIndex":0},"schema":"https://github.com/citation-style-language/schema/raw/master/csl-citation.json"}</w:instrText>
      </w:r>
      <w:r w:rsidR="00572DB8">
        <w:rPr>
          <w:rFonts w:asciiTheme="majorHAnsi" w:hAnsiTheme="majorHAnsi" w:cstheme="majorBidi"/>
          <w:sz w:val="22"/>
          <w:szCs w:val="22"/>
          <w:lang w:val="en-GB"/>
        </w:rPr>
        <w:fldChar w:fldCharType="separate"/>
      </w:r>
      <w:r w:rsidR="00572DB8" w:rsidRPr="00572DB8">
        <w:rPr>
          <w:rFonts w:asciiTheme="majorHAnsi" w:hAnsiTheme="majorHAnsi" w:cstheme="majorBidi"/>
          <w:noProof/>
          <w:sz w:val="22"/>
          <w:szCs w:val="22"/>
          <w:lang w:val="en-GB"/>
        </w:rPr>
        <w:t>(European Alternative Fuels Observatory, 2020)</w:t>
      </w:r>
      <w:r w:rsidR="00572DB8">
        <w:rPr>
          <w:rFonts w:asciiTheme="majorHAnsi" w:hAnsiTheme="majorHAnsi" w:cstheme="majorBidi"/>
          <w:sz w:val="22"/>
          <w:szCs w:val="22"/>
          <w:lang w:val="en-GB"/>
        </w:rPr>
        <w:fldChar w:fldCharType="end"/>
      </w:r>
      <w:r w:rsidR="00572DB8">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t>C</w:t>
      </w:r>
      <w:r w:rsidRPr="362A3EC5">
        <w:rPr>
          <w:rFonts w:asciiTheme="majorHAnsi" w:hAnsiTheme="majorHAnsi" w:cstheme="majorBidi"/>
          <w:sz w:val="22"/>
          <w:szCs w:val="22"/>
          <w:lang w:val="en-GB"/>
        </w:rPr>
        <w:t xml:space="preserve">ompared with other renewable </w:t>
      </w:r>
      <w:r w:rsidR="4FD6637E" w:rsidRPr="362A3EC5">
        <w:rPr>
          <w:rFonts w:asciiTheme="majorHAnsi" w:hAnsiTheme="majorHAnsi" w:cstheme="majorBidi"/>
          <w:sz w:val="22"/>
          <w:szCs w:val="22"/>
          <w:lang w:val="en-GB"/>
        </w:rPr>
        <w:t>options</w:t>
      </w:r>
      <w:r w:rsidR="02324E0A" w:rsidRPr="362A3EC5">
        <w:rPr>
          <w:rFonts w:asciiTheme="majorHAnsi" w:hAnsiTheme="majorHAnsi" w:cstheme="majorBidi"/>
          <w:sz w:val="22"/>
          <w:szCs w:val="22"/>
          <w:lang w:val="en-GB"/>
        </w:rPr>
        <w:t xml:space="preserve"> </w:t>
      </w:r>
      <w:r w:rsidRPr="362A3EC5">
        <w:rPr>
          <w:rFonts w:asciiTheme="majorHAnsi" w:hAnsiTheme="majorHAnsi" w:cstheme="majorBidi"/>
          <w:sz w:val="22"/>
          <w:szCs w:val="22"/>
          <w:lang w:val="en-GB"/>
        </w:rPr>
        <w:t xml:space="preserve">(e.g., electricity or hydrogen), advanced biofuels are the </w:t>
      </w:r>
      <w:r w:rsidR="1769465F" w:rsidRPr="362A3EC5">
        <w:rPr>
          <w:rFonts w:asciiTheme="majorHAnsi" w:hAnsiTheme="majorHAnsi" w:cstheme="majorBidi"/>
          <w:sz w:val="22"/>
          <w:szCs w:val="22"/>
          <w:lang w:val="en-GB"/>
        </w:rPr>
        <w:t>most effective</w:t>
      </w:r>
      <w:r w:rsidRPr="362A3EC5">
        <w:rPr>
          <w:rFonts w:asciiTheme="majorHAnsi" w:hAnsiTheme="majorHAnsi" w:cstheme="majorBidi"/>
          <w:sz w:val="22"/>
          <w:szCs w:val="22"/>
          <w:lang w:val="en-GB"/>
        </w:rPr>
        <w:t xml:space="preserve"> solution </w:t>
      </w:r>
      <w:r w:rsidR="0403E997" w:rsidRPr="362A3EC5">
        <w:rPr>
          <w:rFonts w:asciiTheme="majorHAnsi" w:hAnsiTheme="majorHAnsi" w:cstheme="majorBidi"/>
          <w:sz w:val="22"/>
          <w:szCs w:val="22"/>
          <w:lang w:val="en-GB"/>
        </w:rPr>
        <w:t>for the</w:t>
      </w:r>
      <w:r w:rsidRPr="362A3EC5">
        <w:rPr>
          <w:rFonts w:asciiTheme="majorHAnsi" w:hAnsiTheme="majorHAnsi" w:cstheme="majorBidi"/>
          <w:sz w:val="22"/>
          <w:szCs w:val="22"/>
          <w:lang w:val="en-GB"/>
        </w:rPr>
        <w:t xml:space="preserve"> </w:t>
      </w:r>
      <w:r w:rsidR="16ACAFE4" w:rsidRPr="362A3EC5">
        <w:rPr>
          <w:rFonts w:asciiTheme="majorHAnsi" w:hAnsiTheme="majorHAnsi" w:cstheme="majorBidi"/>
          <w:sz w:val="22"/>
          <w:szCs w:val="22"/>
          <w:lang w:val="en-GB"/>
        </w:rPr>
        <w:t xml:space="preserve">immediate </w:t>
      </w:r>
      <w:r w:rsidRPr="362A3EC5">
        <w:rPr>
          <w:rFonts w:asciiTheme="majorHAnsi" w:hAnsiTheme="majorHAnsi" w:cstheme="majorBidi"/>
          <w:sz w:val="22"/>
          <w:szCs w:val="22"/>
          <w:lang w:val="en-GB"/>
        </w:rPr>
        <w:t>reduc</w:t>
      </w:r>
      <w:r w:rsidR="0898E46E" w:rsidRPr="362A3EC5">
        <w:rPr>
          <w:rFonts w:asciiTheme="majorHAnsi" w:hAnsiTheme="majorHAnsi" w:cstheme="majorBidi"/>
          <w:sz w:val="22"/>
          <w:szCs w:val="22"/>
          <w:lang w:val="en-GB"/>
        </w:rPr>
        <w:t>tion on</w:t>
      </w:r>
      <w:r w:rsidRPr="362A3EC5">
        <w:rPr>
          <w:rFonts w:asciiTheme="majorHAnsi" w:hAnsiTheme="majorHAnsi" w:cstheme="majorBidi"/>
          <w:sz w:val="22"/>
          <w:szCs w:val="22"/>
          <w:lang w:val="en-GB"/>
        </w:rPr>
        <w:t xml:space="preserve"> GHG emissions</w:t>
      </w:r>
      <w:r w:rsidR="496A8D21" w:rsidRPr="362A3EC5">
        <w:rPr>
          <w:rFonts w:asciiTheme="majorHAnsi" w:hAnsiTheme="majorHAnsi" w:cstheme="majorBidi"/>
          <w:sz w:val="22"/>
          <w:szCs w:val="22"/>
          <w:lang w:val="en-GB"/>
        </w:rPr>
        <w:t>,</w:t>
      </w:r>
      <w:r w:rsidR="0A3D86E9" w:rsidRPr="362A3EC5">
        <w:rPr>
          <w:rFonts w:asciiTheme="majorHAnsi" w:hAnsiTheme="majorHAnsi" w:cstheme="majorBidi"/>
          <w:sz w:val="22"/>
          <w:szCs w:val="22"/>
          <w:lang w:val="en-GB"/>
        </w:rPr>
        <w:t xml:space="preserve"> safe </w:t>
      </w:r>
      <w:r w:rsidR="32489465" w:rsidRPr="362A3EC5">
        <w:rPr>
          <w:rFonts w:asciiTheme="majorHAnsi" w:hAnsiTheme="majorHAnsi" w:cstheme="majorBidi"/>
          <w:sz w:val="22"/>
          <w:szCs w:val="22"/>
          <w:lang w:val="en-GB"/>
        </w:rPr>
        <w:t>keep</w:t>
      </w:r>
      <w:r w:rsidR="01151642" w:rsidRPr="362A3EC5">
        <w:rPr>
          <w:rFonts w:asciiTheme="majorHAnsi" w:hAnsiTheme="majorHAnsi" w:cstheme="majorBidi"/>
          <w:sz w:val="22"/>
          <w:szCs w:val="22"/>
          <w:lang w:val="en-GB"/>
        </w:rPr>
        <w:t>ing</w:t>
      </w:r>
      <w:r w:rsidR="32489465" w:rsidRPr="362A3EC5">
        <w:rPr>
          <w:rFonts w:asciiTheme="majorHAnsi" w:hAnsiTheme="majorHAnsi" w:cstheme="majorBidi"/>
          <w:sz w:val="22"/>
          <w:szCs w:val="22"/>
          <w:lang w:val="en-GB"/>
        </w:rPr>
        <w:t xml:space="preserve"> the compromise</w:t>
      </w:r>
      <w:r w:rsidR="24BC6ECB" w:rsidRPr="362A3EC5">
        <w:rPr>
          <w:rFonts w:asciiTheme="majorHAnsi" w:hAnsiTheme="majorHAnsi" w:cstheme="majorBidi"/>
          <w:sz w:val="22"/>
          <w:szCs w:val="22"/>
          <w:lang w:val="en-GB"/>
        </w:rPr>
        <w:t xml:space="preserve"> </w:t>
      </w:r>
      <w:r w:rsidR="00766A25">
        <w:rPr>
          <w:rFonts w:asciiTheme="majorHAnsi" w:hAnsiTheme="majorHAnsi" w:cstheme="majorBidi"/>
          <w:sz w:val="22"/>
          <w:szCs w:val="22"/>
          <w:lang w:val="en-GB"/>
        </w:rPr>
        <w:t>with</w:t>
      </w:r>
      <w:r w:rsidRPr="362A3EC5">
        <w:rPr>
          <w:rFonts w:asciiTheme="majorHAnsi" w:hAnsiTheme="majorHAnsi" w:cstheme="majorBidi"/>
          <w:sz w:val="22"/>
          <w:szCs w:val="22"/>
          <w:lang w:val="en-GB"/>
        </w:rPr>
        <w:t xml:space="preserve"> 2030 targets. Advanced biofuels are considered an essential part of</w:t>
      </w:r>
      <w:r w:rsidR="0039263A">
        <w:rPr>
          <w:rFonts w:asciiTheme="majorHAnsi" w:hAnsiTheme="majorHAnsi" w:cstheme="majorBidi"/>
          <w:sz w:val="22"/>
          <w:szCs w:val="22"/>
          <w:lang w:val="en-GB"/>
        </w:rPr>
        <w:t xml:space="preserve"> the</w:t>
      </w:r>
      <w:r w:rsidRPr="362A3EC5">
        <w:rPr>
          <w:rFonts w:asciiTheme="majorHAnsi" w:hAnsiTheme="majorHAnsi" w:cstheme="majorBidi"/>
          <w:sz w:val="22"/>
          <w:szCs w:val="22"/>
          <w:lang w:val="en-GB"/>
        </w:rPr>
        <w:t xml:space="preserve"> </w:t>
      </w:r>
      <w:r w:rsidR="6761E4EB" w:rsidRPr="362A3EC5">
        <w:rPr>
          <w:rFonts w:asciiTheme="majorHAnsi" w:hAnsiTheme="majorHAnsi" w:cstheme="majorBidi"/>
          <w:sz w:val="22"/>
          <w:szCs w:val="22"/>
          <w:lang w:val="en-GB"/>
        </w:rPr>
        <w:t>European roadmap for decarbonization</w:t>
      </w:r>
      <w:r w:rsidRPr="362A3EC5">
        <w:rPr>
          <w:rFonts w:asciiTheme="majorHAnsi" w:hAnsiTheme="majorHAnsi" w:cstheme="majorBidi"/>
          <w:sz w:val="22"/>
          <w:szCs w:val="22"/>
          <w:lang w:val="en-GB"/>
        </w:rPr>
        <w:t xml:space="preserve">, their use can decrease the dependency </w:t>
      </w:r>
      <w:r w:rsidR="00766A25">
        <w:rPr>
          <w:rFonts w:asciiTheme="majorHAnsi" w:hAnsiTheme="majorHAnsi" w:cstheme="majorBidi"/>
          <w:sz w:val="22"/>
          <w:szCs w:val="22"/>
          <w:lang w:val="en-GB"/>
        </w:rPr>
        <w:t>on</w:t>
      </w:r>
      <w:r w:rsidRPr="362A3EC5">
        <w:rPr>
          <w:rFonts w:asciiTheme="majorHAnsi" w:hAnsiTheme="majorHAnsi" w:cstheme="majorBidi"/>
          <w:sz w:val="22"/>
          <w:szCs w:val="22"/>
          <w:lang w:val="en-GB"/>
        </w:rPr>
        <w:t xml:space="preserve"> fossil fuels while adding value to s</w:t>
      </w:r>
      <w:r w:rsidR="4427D842" w:rsidRPr="362A3EC5">
        <w:rPr>
          <w:rFonts w:asciiTheme="majorHAnsi" w:hAnsiTheme="majorHAnsi" w:cstheme="majorBidi"/>
          <w:sz w:val="22"/>
          <w:szCs w:val="22"/>
          <w:lang w:val="en-GB"/>
        </w:rPr>
        <w:t>econdary materials</w:t>
      </w:r>
      <w:r w:rsidRPr="362A3EC5">
        <w:rPr>
          <w:rFonts w:asciiTheme="majorHAnsi" w:hAnsiTheme="majorHAnsi" w:cstheme="majorBidi"/>
          <w:sz w:val="22"/>
          <w:szCs w:val="22"/>
          <w:lang w:val="en-GB"/>
        </w:rPr>
        <w:t xml:space="preserve"> that are considered of non-value</w:t>
      </w:r>
      <w:r w:rsidR="4CE0DDC7" w:rsidRPr="362A3EC5">
        <w:rPr>
          <w:rFonts w:asciiTheme="majorHAnsi" w:hAnsiTheme="majorHAnsi" w:cstheme="majorBidi"/>
          <w:sz w:val="22"/>
          <w:szCs w:val="22"/>
          <w:lang w:val="en-GB"/>
        </w:rPr>
        <w:t>, such as residues</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Reviews","id":"ITEM-1","issue":"March","issued":{"date-parts":[["2021"]]},"page":"100633","publisher":"Elsevier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uptake","type":"article-journal","volume":"34"},"uris":["http://www.mendeley.com/documents/?uuid=e0b8486c-e671-49c6-b25c-f2ad745dcfe0"]}],"mendeley":{"formattedCitation":"(Panoutsou et al., 2021)","plainTextFormattedCitation":"(Panoutsou et al., 2021)","previouslyFormattedCitation":"(Panoutsou et al., 2021)"},"properties":{"noteIndex":0},"schema":"https://github.com/citation-style-language/schema/raw/master/csl-citation.json"}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(Panoutsou et al., 2021)</w:t>
      </w:r>
      <w:r w:rsidR="003B4A74">
        <w:rPr>
          <w:rFonts w:asciiTheme="majorHAnsi" w:hAnsiTheme="majorHAnsi" w:cstheme="majorBidi"/>
          <w:sz w:val="22"/>
          <w:szCs w:val="22"/>
          <w:lang w:val="en-GB"/>
        </w:rPr>
        <w:fldChar w:fldCharType="end"/>
      </w:r>
      <w:r w:rsidRPr="362A3EC5">
        <w:rPr>
          <w:rFonts w:asciiTheme="majorHAnsi" w:hAnsiTheme="majorHAnsi" w:cstheme="majorBidi"/>
          <w:sz w:val="22"/>
          <w:szCs w:val="22"/>
          <w:lang w:val="en-GB"/>
        </w:rPr>
        <w:t xml:space="preserve">.   </w:t>
      </w:r>
    </w:p>
    <w:p w14:paraId="7269A623" w14:textId="6A15721D" w:rsidR="009E3767" w:rsidRPr="000B393A" w:rsidRDefault="6B49D179" w:rsidP="00C66DA5">
      <w:pPr>
        <w:spacing w:after="120" w:line="360" w:lineRule="auto"/>
        <w:ind w:firstLine="720"/>
        <w:rPr>
          <w:rFonts w:asciiTheme="majorHAnsi" w:hAnsiTheme="majorHAnsi" w:cstheme="majorBidi"/>
          <w:sz w:val="22"/>
          <w:szCs w:val="22"/>
        </w:rPr>
      </w:pPr>
      <w:r w:rsidRPr="5937A937">
        <w:rPr>
          <w:rFonts w:asciiTheme="majorHAnsi" w:hAnsiTheme="majorHAnsi" w:cstheme="majorBidi"/>
          <w:sz w:val="22"/>
          <w:szCs w:val="22"/>
          <w:lang w:val="en-GB"/>
        </w:rPr>
        <w:t xml:space="preserve">Currently less than </w:t>
      </w:r>
      <w:r w:rsidR="00012BF4">
        <w:rPr>
          <w:rFonts w:asciiTheme="majorHAnsi" w:hAnsiTheme="majorHAnsi" w:cstheme="majorBidi"/>
          <w:sz w:val="22"/>
          <w:szCs w:val="22"/>
          <w:lang w:val="en-GB"/>
        </w:rPr>
        <w:t>1</w:t>
      </w:r>
      <w:r w:rsidRPr="5937A937">
        <w:rPr>
          <w:rFonts w:asciiTheme="majorHAnsi" w:hAnsiTheme="majorHAnsi" w:cstheme="majorBidi"/>
          <w:sz w:val="22"/>
          <w:szCs w:val="22"/>
          <w:lang w:val="en-GB"/>
        </w:rPr>
        <w:t xml:space="preserve">% of the fuel used </w:t>
      </w:r>
      <w:r w:rsidR="1504D0F9" w:rsidRPr="5937A937">
        <w:rPr>
          <w:rFonts w:asciiTheme="majorHAnsi" w:hAnsiTheme="majorHAnsi" w:cstheme="majorBidi"/>
          <w:sz w:val="22"/>
          <w:szCs w:val="22"/>
          <w:lang w:val="en-GB"/>
        </w:rPr>
        <w:t xml:space="preserve">in marine </w:t>
      </w:r>
      <w:r w:rsidR="2B8D2F93" w:rsidRPr="5937A937">
        <w:rPr>
          <w:rFonts w:asciiTheme="majorHAnsi" w:hAnsiTheme="majorHAnsi" w:cstheme="majorBidi"/>
          <w:sz w:val="22"/>
          <w:szCs w:val="22"/>
          <w:lang w:val="en-GB"/>
        </w:rPr>
        <w:t>transportation</w:t>
      </w:r>
      <w:r w:rsidR="1504D0F9" w:rsidRPr="5937A937">
        <w:rPr>
          <w:rFonts w:asciiTheme="majorHAnsi" w:hAnsiTheme="majorHAnsi" w:cstheme="majorBidi"/>
          <w:sz w:val="22"/>
          <w:szCs w:val="22"/>
          <w:lang w:val="en-GB"/>
        </w:rPr>
        <w:t xml:space="preserve"> is </w:t>
      </w:r>
      <w:r w:rsidRPr="5937A937">
        <w:rPr>
          <w:rFonts w:asciiTheme="majorHAnsi" w:hAnsiTheme="majorHAnsi" w:cstheme="majorBidi"/>
          <w:sz w:val="22"/>
          <w:szCs w:val="22"/>
          <w:lang w:val="en-GB"/>
        </w:rPr>
        <w:t>bio</w:t>
      </w:r>
      <w:r w:rsidR="74DBB3BA" w:rsidRPr="5937A937">
        <w:rPr>
          <w:rFonts w:asciiTheme="majorHAnsi" w:hAnsiTheme="majorHAnsi" w:cstheme="majorBidi"/>
          <w:sz w:val="22"/>
          <w:szCs w:val="22"/>
          <w:lang w:val="en-GB"/>
        </w:rPr>
        <w:t>-based</w:t>
      </w:r>
      <w:r w:rsidR="0F75BCCB" w:rsidRPr="5937A937">
        <w:rPr>
          <w:rFonts w:asciiTheme="majorHAnsi" w:hAnsiTheme="majorHAnsi" w:cstheme="majorBidi"/>
          <w:sz w:val="22"/>
          <w:szCs w:val="22"/>
          <w:lang w:val="en-GB"/>
        </w:rPr>
        <w:t>.</w:t>
      </w:r>
      <w:r w:rsidR="05644B01" w:rsidRPr="5937A937">
        <w:rPr>
          <w:rFonts w:asciiTheme="majorHAnsi" w:hAnsiTheme="majorHAnsi" w:cstheme="majorBidi"/>
          <w:sz w:val="22"/>
          <w:szCs w:val="22"/>
          <w:lang w:val="en-GB"/>
        </w:rPr>
        <w:t xml:space="preserve"> T</w:t>
      </w:r>
      <w:r w:rsidRPr="5937A937">
        <w:rPr>
          <w:rFonts w:asciiTheme="majorHAnsi" w:hAnsiTheme="majorHAnsi" w:cstheme="majorBidi"/>
          <w:sz w:val="22"/>
          <w:szCs w:val="22"/>
          <w:lang w:val="en-GB"/>
        </w:rPr>
        <w:t>his is m</w:t>
      </w:r>
      <w:r w:rsidR="60E6D386" w:rsidRPr="5937A937">
        <w:rPr>
          <w:rFonts w:asciiTheme="majorHAnsi" w:hAnsiTheme="majorHAnsi" w:cstheme="majorBidi"/>
          <w:sz w:val="22"/>
          <w:szCs w:val="22"/>
          <w:lang w:val="en-GB"/>
        </w:rPr>
        <w:t xml:space="preserve">ostly </w:t>
      </w:r>
      <w:r w:rsidRPr="5937A937">
        <w:rPr>
          <w:rFonts w:asciiTheme="majorHAnsi" w:hAnsiTheme="majorHAnsi" w:cstheme="majorBidi"/>
          <w:sz w:val="22"/>
          <w:szCs w:val="22"/>
          <w:lang w:val="en-GB"/>
        </w:rPr>
        <w:t xml:space="preserve">due </w:t>
      </w:r>
      <w:r w:rsidR="5243B28B" w:rsidRPr="5937A937">
        <w:rPr>
          <w:rFonts w:asciiTheme="majorHAnsi" w:hAnsiTheme="majorHAnsi" w:cstheme="majorBidi"/>
          <w:sz w:val="22"/>
          <w:szCs w:val="22"/>
          <w:lang w:val="en-GB"/>
        </w:rPr>
        <w:t xml:space="preserve">to </w:t>
      </w:r>
      <w:r w:rsidRPr="5937A937">
        <w:rPr>
          <w:rFonts w:asciiTheme="majorHAnsi" w:hAnsiTheme="majorHAnsi" w:cstheme="majorBidi"/>
          <w:sz w:val="22"/>
          <w:szCs w:val="22"/>
          <w:lang w:val="en-GB"/>
        </w:rPr>
        <w:t xml:space="preserve">the considerably lower price of fossil fuels </w:t>
      </w:r>
      <w:r w:rsidR="61B9C795" w:rsidRPr="5937A937">
        <w:rPr>
          <w:rFonts w:asciiTheme="majorHAnsi" w:hAnsiTheme="majorHAnsi" w:cstheme="majorBidi"/>
          <w:sz w:val="22"/>
          <w:szCs w:val="22"/>
          <w:lang w:val="en-GB"/>
        </w:rPr>
        <w:t>alternatives</w:t>
      </w:r>
      <w:r w:rsidRPr="5937A937">
        <w:rPr>
          <w:rFonts w:asciiTheme="majorHAnsi" w:hAnsiTheme="majorHAnsi" w:cstheme="majorBidi"/>
          <w:sz w:val="22"/>
          <w:szCs w:val="22"/>
          <w:lang w:val="en-GB"/>
        </w:rPr>
        <w:t xml:space="preserve">.  </w:t>
      </w:r>
      <w:r w:rsidR="5C3F6096" w:rsidRPr="5937A937">
        <w:rPr>
          <w:rFonts w:asciiTheme="majorHAnsi" w:hAnsiTheme="majorHAnsi" w:cstheme="majorBidi"/>
          <w:sz w:val="22"/>
          <w:szCs w:val="22"/>
          <w:lang w:val="en-GB"/>
        </w:rPr>
        <w:t xml:space="preserve">Moreover, </w:t>
      </w:r>
      <w:r w:rsidR="33D64CA2" w:rsidRPr="5937A937">
        <w:rPr>
          <w:rFonts w:asciiTheme="majorHAnsi" w:hAnsiTheme="majorHAnsi" w:cstheme="majorBidi"/>
          <w:sz w:val="22"/>
          <w:szCs w:val="22"/>
          <w:lang w:val="en-GB"/>
        </w:rPr>
        <w:t>the fuel consumption profile</w:t>
      </w:r>
      <w:r w:rsidRPr="5937A937">
        <w:rPr>
          <w:rFonts w:asciiTheme="majorHAnsi" w:hAnsiTheme="majorHAnsi" w:cstheme="majorBidi"/>
          <w:sz w:val="22"/>
          <w:szCs w:val="22"/>
          <w:lang w:val="en-GB"/>
        </w:rPr>
        <w:t xml:space="preserve"> in the shipping sector </w:t>
      </w:r>
      <w:r w:rsidR="3B23BDDB" w:rsidRPr="5937A937">
        <w:rPr>
          <w:rFonts w:asciiTheme="majorHAnsi" w:hAnsiTheme="majorHAnsi" w:cstheme="majorBidi"/>
          <w:sz w:val="22"/>
          <w:szCs w:val="22"/>
          <w:lang w:val="en-GB"/>
        </w:rPr>
        <w:t>is</w:t>
      </w:r>
      <w:r w:rsidRPr="5937A937">
        <w:rPr>
          <w:rFonts w:asciiTheme="majorHAnsi" w:hAnsiTheme="majorHAnsi" w:cstheme="majorBidi"/>
          <w:sz w:val="22"/>
          <w:szCs w:val="22"/>
          <w:lang w:val="en-GB"/>
        </w:rPr>
        <w:t xml:space="preserve"> </w:t>
      </w:r>
      <w:r w:rsidR="33F99308" w:rsidRPr="5937A937">
        <w:rPr>
          <w:rFonts w:asciiTheme="majorHAnsi" w:hAnsiTheme="majorHAnsi" w:cstheme="majorBidi"/>
          <w:sz w:val="22"/>
          <w:szCs w:val="22"/>
          <w:lang w:val="en-GB"/>
        </w:rPr>
        <w:t>large</w:t>
      </w:r>
      <w:r w:rsidRPr="5937A937">
        <w:rPr>
          <w:rFonts w:asciiTheme="majorHAnsi" w:hAnsiTheme="majorHAnsi" w:cstheme="majorBidi"/>
          <w:sz w:val="22"/>
          <w:szCs w:val="22"/>
          <w:lang w:val="en-GB"/>
        </w:rPr>
        <w:t>ly depended on the price of residual fuel oil</w:t>
      </w:r>
      <w:r w:rsidR="3C29D90F" w:rsidRPr="5937A937">
        <w:rPr>
          <w:rFonts w:asciiTheme="majorHAnsi" w:hAnsiTheme="majorHAnsi" w:cstheme="majorBidi"/>
          <w:sz w:val="22"/>
          <w:szCs w:val="22"/>
          <w:lang w:val="en-GB"/>
        </w:rPr>
        <w:t xml:space="preserve">, one of the cheapest </w:t>
      </w:r>
      <w:r w:rsidR="001B711A" w:rsidRPr="5937A937">
        <w:rPr>
          <w:rFonts w:asciiTheme="majorHAnsi" w:hAnsiTheme="majorHAnsi" w:cstheme="majorBidi"/>
          <w:sz w:val="22"/>
          <w:szCs w:val="22"/>
          <w:lang w:val="en-GB"/>
        </w:rPr>
        <w:t xml:space="preserve">available </w:t>
      </w:r>
      <w:r w:rsidR="3C29D90F" w:rsidRPr="5937A937">
        <w:rPr>
          <w:rFonts w:asciiTheme="majorHAnsi" w:hAnsiTheme="majorHAnsi" w:cstheme="majorBidi"/>
          <w:sz w:val="22"/>
          <w:szCs w:val="22"/>
          <w:lang w:val="en-GB"/>
        </w:rPr>
        <w:t xml:space="preserve">fuel </w:t>
      </w:r>
      <w:r w:rsidR="005E294E">
        <w:rPr>
          <w:rFonts w:asciiTheme="majorHAnsi" w:hAnsiTheme="majorHAnsi" w:cstheme="majorBidi"/>
          <w:sz w:val="22"/>
          <w:szCs w:val="22"/>
          <w:lang w:val="en-GB"/>
        </w:rPr>
        <w:fldChar w:fldCharType="begin" w:fldLock="1"/>
      </w:r>
      <w:r w:rsidR="00B159B4">
        <w:rPr>
          <w:rFonts w:asciiTheme="majorHAnsi" w:hAnsiTheme="majorHAnsi" w:cstheme="majorBidi"/>
          <w:sz w:val="22"/>
          <w:szCs w:val="22"/>
          <w:lang w:val="en-GB"/>
        </w:rPr>
        <w:instrText>ADDIN CSL_CITATION {"citationItems":[{"id":"ITEM-1","itemData":{"author":[{"dropping-particle":"","family":"Uslu","given":"Ayla","non-dropping-particle":"","parse-names":false,"suffix":""}],"id":"ITEM-1","issued":{"date-parts":[["2019"]]},"title":"Market analysis","type":"report"},"uris":["http://www.mendeley.com/documents/?uuid=f0487272-4a66-4a0e-b49d-ac94b47a56ec"]}],"mendeley":{"formattedCitation":"(Uslu, 2019)","plainTextFormattedCitation":"(Uslu, 2019)","previouslyFormattedCitation":"(Uslu, 2019)"},"properties":{"noteIndex":0},"schema":"https://github.com/citation-style-language/schema/raw/master/csl-citation.json"}</w:instrText>
      </w:r>
      <w:r w:rsidR="005E294E">
        <w:rPr>
          <w:rFonts w:asciiTheme="majorHAnsi" w:hAnsiTheme="majorHAnsi" w:cstheme="majorBidi"/>
          <w:sz w:val="22"/>
          <w:szCs w:val="22"/>
          <w:lang w:val="en-GB"/>
        </w:rPr>
        <w:fldChar w:fldCharType="separate"/>
      </w:r>
      <w:r w:rsidR="005E294E" w:rsidRPr="005E294E">
        <w:rPr>
          <w:rFonts w:asciiTheme="majorHAnsi" w:hAnsiTheme="majorHAnsi" w:cstheme="majorBidi"/>
          <w:noProof/>
          <w:sz w:val="22"/>
          <w:szCs w:val="22"/>
          <w:lang w:val="en-GB"/>
        </w:rPr>
        <w:t>(Uslu, 2019)</w:t>
      </w:r>
      <w:r w:rsidR="005E294E">
        <w:rPr>
          <w:rFonts w:asciiTheme="majorHAnsi" w:hAnsiTheme="majorHAnsi" w:cstheme="majorBidi"/>
          <w:sz w:val="22"/>
          <w:szCs w:val="22"/>
          <w:lang w:val="en-GB"/>
        </w:rPr>
        <w:fldChar w:fldCharType="end"/>
      </w:r>
      <w:r w:rsidRPr="5937A937">
        <w:rPr>
          <w:rFonts w:asciiTheme="majorHAnsi" w:hAnsiTheme="majorHAnsi" w:cstheme="majorBidi"/>
          <w:sz w:val="22"/>
          <w:szCs w:val="22"/>
          <w:lang w:val="en-GB"/>
        </w:rPr>
        <w:t xml:space="preserve">. </w:t>
      </w:r>
    </w:p>
    <w:p w14:paraId="6704B7F6" w14:textId="511BBF9B" w:rsidR="009E3767" w:rsidRPr="009E3767" w:rsidRDefault="6B49D179" w:rsidP="0078088C">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Advanced biofuels face mayor challenges</w:t>
      </w:r>
      <w:r w:rsidR="00476C39">
        <w:rPr>
          <w:rFonts w:asciiTheme="majorHAnsi" w:hAnsiTheme="majorHAnsi" w:cstheme="majorBidi"/>
          <w:sz w:val="22"/>
          <w:szCs w:val="22"/>
          <w:lang w:val="en-GB"/>
        </w:rPr>
        <w:t xml:space="preserve"> for their widespread adoption in the shipping sector, namely </w:t>
      </w:r>
      <w:r w:rsidRPr="5937A937">
        <w:rPr>
          <w:rFonts w:asciiTheme="majorHAnsi" w:hAnsiTheme="majorHAnsi" w:cstheme="majorBidi"/>
          <w:sz w:val="22"/>
          <w:szCs w:val="22"/>
          <w:lang w:val="en-GB"/>
        </w:rPr>
        <w:t xml:space="preserve"> cost</w:t>
      </w:r>
      <w:r w:rsidR="001E0893">
        <w:rPr>
          <w:rFonts w:asciiTheme="majorHAnsi" w:hAnsiTheme="majorHAnsi" w:cstheme="majorBidi"/>
          <w:sz w:val="22"/>
          <w:szCs w:val="22"/>
          <w:lang w:val="en-GB"/>
        </w:rPr>
        <w:t xml:space="preserve"> and</w:t>
      </w:r>
      <w:r w:rsidR="001A6FD6">
        <w:rPr>
          <w:rFonts w:asciiTheme="majorHAnsi" w:hAnsiTheme="majorHAnsi" w:cstheme="majorBidi"/>
          <w:sz w:val="22"/>
          <w:szCs w:val="22"/>
          <w:lang w:val="en-GB"/>
        </w:rPr>
        <w:t xml:space="preserve"> availability</w:t>
      </w:r>
      <w:r w:rsidRPr="5937A937">
        <w:rPr>
          <w:rFonts w:asciiTheme="majorHAnsi" w:hAnsiTheme="majorHAnsi" w:cstheme="majorBidi"/>
          <w:sz w:val="22"/>
          <w:szCs w:val="22"/>
          <w:lang w:val="en-GB"/>
        </w:rPr>
        <w:t xml:space="preserve">. </w:t>
      </w:r>
      <w:r w:rsidR="001065BD">
        <w:rPr>
          <w:rFonts w:asciiTheme="majorHAnsi" w:hAnsiTheme="majorHAnsi" w:cstheme="majorBidi"/>
          <w:sz w:val="22"/>
          <w:szCs w:val="22"/>
          <w:lang w:val="en-GB"/>
        </w:rPr>
        <w:t>T</w:t>
      </w:r>
      <w:r w:rsidR="27FC103D" w:rsidRPr="5937A937">
        <w:rPr>
          <w:rFonts w:asciiTheme="majorHAnsi" w:hAnsiTheme="majorHAnsi" w:cstheme="majorBidi"/>
          <w:sz w:val="22"/>
          <w:szCs w:val="22"/>
          <w:lang w:val="en-GB"/>
        </w:rPr>
        <w:t>he</w:t>
      </w:r>
      <w:r w:rsidR="003A3931">
        <w:rPr>
          <w:rFonts w:asciiTheme="majorHAnsi" w:hAnsiTheme="majorHAnsi" w:cstheme="majorBidi"/>
          <w:sz w:val="22"/>
          <w:szCs w:val="22"/>
          <w:lang w:val="en-GB"/>
        </w:rPr>
        <w:t xml:space="preserve">ir cost is roughly </w:t>
      </w:r>
      <w:r w:rsidR="003F1488">
        <w:rPr>
          <w:rFonts w:asciiTheme="majorHAnsi" w:hAnsiTheme="majorHAnsi" w:cstheme="majorBidi"/>
          <w:sz w:val="22"/>
          <w:szCs w:val="22"/>
          <w:lang w:val="en-GB"/>
        </w:rPr>
        <w:t>2 to 5 fold</w:t>
      </w:r>
      <w:r w:rsidR="0078088C">
        <w:rPr>
          <w:rFonts w:asciiTheme="majorHAnsi" w:hAnsiTheme="majorHAnsi" w:cstheme="majorBidi"/>
          <w:sz w:val="22"/>
          <w:szCs w:val="22"/>
          <w:lang w:val="en-GB"/>
        </w:rPr>
        <w:t xml:space="preserve"> higher</w:t>
      </w:r>
      <w:r w:rsidR="003A3931">
        <w:rPr>
          <w:rFonts w:asciiTheme="majorHAnsi" w:hAnsiTheme="majorHAnsi" w:cstheme="majorBidi"/>
          <w:sz w:val="22"/>
          <w:szCs w:val="22"/>
          <w:lang w:val="en-GB"/>
        </w:rPr>
        <w:t xml:space="preserve"> </w:t>
      </w:r>
      <w:r w:rsidR="008F2676">
        <w:rPr>
          <w:rFonts w:asciiTheme="majorHAnsi" w:hAnsiTheme="majorHAnsi" w:cstheme="majorBidi"/>
          <w:sz w:val="22"/>
          <w:szCs w:val="22"/>
          <w:lang w:val="en-GB"/>
        </w:rPr>
        <w:t>compared with</w:t>
      </w:r>
      <w:r w:rsidR="00766A25">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crude-based</w:t>
      </w:r>
      <w:r w:rsidR="008F2676">
        <w:rPr>
          <w:rFonts w:asciiTheme="majorHAnsi" w:hAnsiTheme="majorHAnsi" w:cstheme="majorBidi"/>
          <w:sz w:val="22"/>
          <w:szCs w:val="22"/>
          <w:lang w:val="en-GB"/>
        </w:rPr>
        <w:t xml:space="preserve"> fuels</w:t>
      </w:r>
      <w:r w:rsidR="008D46BF">
        <w:rPr>
          <w:rFonts w:asciiTheme="majorHAnsi" w:hAnsiTheme="majorHAnsi" w:cstheme="majorBidi"/>
          <w:sz w:val="22"/>
          <w:szCs w:val="22"/>
          <w:lang w:val="en-GB"/>
        </w:rPr>
        <w:t>.  The second barrier</w:t>
      </w:r>
      <w:r w:rsidR="00B3030C">
        <w:rPr>
          <w:rFonts w:asciiTheme="majorHAnsi" w:hAnsiTheme="majorHAnsi" w:cstheme="majorBidi"/>
          <w:sz w:val="22"/>
          <w:szCs w:val="22"/>
          <w:lang w:val="en-GB"/>
        </w:rPr>
        <w:t xml:space="preserve">, availability, refers to the current lack of </w:t>
      </w:r>
      <w:r w:rsidR="00F57978">
        <w:rPr>
          <w:rFonts w:asciiTheme="majorHAnsi" w:hAnsiTheme="majorHAnsi" w:cstheme="majorBidi"/>
          <w:sz w:val="22"/>
          <w:szCs w:val="22"/>
          <w:lang w:val="en-GB"/>
        </w:rPr>
        <w:t xml:space="preserve">production </w:t>
      </w:r>
      <w:r w:rsidR="00B3030C">
        <w:rPr>
          <w:rFonts w:asciiTheme="majorHAnsi" w:hAnsiTheme="majorHAnsi" w:cstheme="majorBidi"/>
          <w:sz w:val="22"/>
          <w:szCs w:val="22"/>
          <w:lang w:val="en-GB"/>
        </w:rPr>
        <w:t xml:space="preserve">capacity </w:t>
      </w:r>
      <w:r w:rsidR="00774389">
        <w:rPr>
          <w:rFonts w:asciiTheme="majorHAnsi" w:hAnsiTheme="majorHAnsi" w:cstheme="majorBidi"/>
          <w:sz w:val="22"/>
          <w:szCs w:val="22"/>
          <w:lang w:val="en-GB"/>
        </w:rPr>
        <w:t>to meet the global demand</w:t>
      </w:r>
      <w:r w:rsidR="0078088C">
        <w:rPr>
          <w:rFonts w:asciiTheme="majorHAnsi" w:hAnsiTheme="majorHAnsi" w:cstheme="majorBidi"/>
          <w:sz w:val="22"/>
          <w:szCs w:val="22"/>
          <w:lang w:val="en-GB"/>
        </w:rPr>
        <w:t xml:space="preserve"> </w:t>
      </w:r>
      <w:r w:rsidR="0078088C">
        <w:rPr>
          <w:rFonts w:asciiTheme="majorHAnsi" w:hAnsiTheme="majorHAnsi" w:cstheme="majorBidi"/>
          <w:sz w:val="22"/>
          <w:szCs w:val="22"/>
          <w:lang w:val="en-GB"/>
        </w:rPr>
        <w:fldChar w:fldCharType="begin" w:fldLock="1"/>
      </w:r>
      <w:r w:rsidR="000B2E7F">
        <w:rPr>
          <w:rFonts w:asciiTheme="majorHAnsi" w:hAnsiTheme="majorHAnsi" w:cstheme="majorBidi"/>
          <w:sz w:val="22"/>
          <w:szCs w:val="22"/>
          <w:lang w:val="en-GB"/>
        </w:rPr>
        <w:instrText>ADDIN CSL_CITATION {"citationItems":[{"id":"ITEM-1","itemData":{"ISBN":"978-92-9260-150-8","author":[{"dropping-particle":"","family":"IRENA","given":"","non-dropping-particle":"","parse-names":false,"suffix":""}],"id":"ITEM-1","issue":"September","issued":{"date-parts":[["2019"]]},"title":"Navigating to a renewable future: Solutions for decarbonising shipping, Preliminary findings","type":"book"},"uris":["http://www.mendeley.com/documents/?uuid=d2f7c441-120d-444c-be3e-b4b221b94600"]}],"mendeley":{"formattedCitation":"(IRENA, 2019)","plainTextFormattedCitation":"(IRENA, 2019)","previouslyFormattedCitation":"(IRENA, 2019)"},"properties":{"noteIndex":0},"schema":"https://github.com/citation-style-language/schema/raw/master/csl-citation.json"}</w:instrText>
      </w:r>
      <w:r w:rsidR="0078088C">
        <w:rPr>
          <w:rFonts w:asciiTheme="majorHAnsi" w:hAnsiTheme="majorHAnsi" w:cstheme="majorBidi"/>
          <w:sz w:val="22"/>
          <w:szCs w:val="22"/>
          <w:lang w:val="en-GB"/>
        </w:rPr>
        <w:fldChar w:fldCharType="separate"/>
      </w:r>
      <w:r w:rsidR="0078088C" w:rsidRPr="0078088C">
        <w:rPr>
          <w:rFonts w:asciiTheme="majorHAnsi" w:hAnsiTheme="majorHAnsi" w:cstheme="majorBidi"/>
          <w:noProof/>
          <w:sz w:val="22"/>
          <w:szCs w:val="22"/>
          <w:lang w:val="en-GB"/>
        </w:rPr>
        <w:t>(IRENA, 2019)</w:t>
      </w:r>
      <w:r w:rsidR="0078088C">
        <w:rPr>
          <w:rFonts w:asciiTheme="majorHAnsi" w:hAnsiTheme="majorHAnsi" w:cstheme="majorBidi"/>
          <w:sz w:val="22"/>
          <w:szCs w:val="22"/>
          <w:lang w:val="en-GB"/>
        </w:rPr>
        <w:fldChar w:fldCharType="end"/>
      </w:r>
      <w:r w:rsidRPr="5937A937">
        <w:rPr>
          <w:rFonts w:asciiTheme="majorHAnsi" w:hAnsiTheme="majorHAnsi" w:cstheme="majorBidi"/>
          <w:sz w:val="22"/>
          <w:szCs w:val="22"/>
          <w:lang w:val="en-GB"/>
        </w:rPr>
        <w:t xml:space="preserve">. Within this context IDEALFUEL </w:t>
      </w:r>
      <w:r w:rsidR="48908ED0"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EU H2020 project</w:t>
      </w:r>
      <w:r w:rsidR="79A071C5"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was </w:t>
      </w:r>
      <w:r w:rsidR="52135B5F" w:rsidRPr="5937A937">
        <w:rPr>
          <w:rFonts w:asciiTheme="majorHAnsi" w:hAnsiTheme="majorHAnsi" w:cstheme="majorBidi"/>
          <w:sz w:val="22"/>
          <w:szCs w:val="22"/>
          <w:lang w:val="en-GB"/>
        </w:rPr>
        <w:t>conceived</w:t>
      </w:r>
      <w:r w:rsidRPr="5937A937">
        <w:rPr>
          <w:rFonts w:asciiTheme="majorHAnsi" w:hAnsiTheme="majorHAnsi" w:cstheme="majorBidi"/>
          <w:sz w:val="22"/>
          <w:szCs w:val="22"/>
          <w:lang w:val="en-GB"/>
        </w:rPr>
        <w:t xml:space="preserve"> with the </w:t>
      </w:r>
      <w:r w:rsidR="3F34A2E3" w:rsidRPr="5937A937">
        <w:rPr>
          <w:rFonts w:asciiTheme="majorHAnsi" w:hAnsiTheme="majorHAnsi" w:cstheme="majorBidi"/>
          <w:sz w:val="22"/>
          <w:szCs w:val="22"/>
          <w:lang w:val="en-GB"/>
        </w:rPr>
        <w:t>overall objective</w:t>
      </w:r>
      <w:r w:rsidRPr="5937A937">
        <w:rPr>
          <w:rFonts w:asciiTheme="majorHAnsi" w:hAnsiTheme="majorHAnsi" w:cstheme="majorBidi"/>
          <w:sz w:val="22"/>
          <w:szCs w:val="22"/>
          <w:lang w:val="en-GB"/>
        </w:rPr>
        <w:t xml:space="preserve"> of producing an advanced </w:t>
      </w:r>
      <w:r w:rsidR="34D53375" w:rsidRPr="5937A937">
        <w:rPr>
          <w:rFonts w:asciiTheme="majorHAnsi" w:hAnsiTheme="majorHAnsi" w:cstheme="majorBidi"/>
          <w:sz w:val="22"/>
          <w:szCs w:val="22"/>
          <w:lang w:val="en-GB"/>
        </w:rPr>
        <w:t>and cost-competitive biofuel</w:t>
      </w:r>
      <w:r w:rsidRPr="5937A937">
        <w:rPr>
          <w:rFonts w:asciiTheme="majorHAnsi" w:hAnsiTheme="majorHAnsi" w:cstheme="majorBidi"/>
          <w:sz w:val="22"/>
          <w:szCs w:val="22"/>
          <w:lang w:val="en-GB"/>
        </w:rPr>
        <w:t xml:space="preserve"> </w:t>
      </w:r>
      <w:r w:rsidR="4F2EAC33"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B</w:t>
      </w:r>
      <w:r w:rsidR="006B6B24">
        <w:rPr>
          <w:rFonts w:asciiTheme="majorHAnsi" w:hAnsiTheme="majorHAnsi" w:cstheme="majorBidi"/>
          <w:sz w:val="22"/>
          <w:szCs w:val="22"/>
          <w:lang w:val="en-GB"/>
        </w:rPr>
        <w:t>io</w:t>
      </w:r>
      <w:r w:rsidRPr="5937A937">
        <w:rPr>
          <w:rFonts w:asciiTheme="majorHAnsi" w:hAnsiTheme="majorHAnsi" w:cstheme="majorBidi"/>
          <w:sz w:val="22"/>
          <w:szCs w:val="22"/>
          <w:lang w:val="en-GB"/>
        </w:rPr>
        <w:t>-HFO</w:t>
      </w:r>
      <w:r w:rsidR="3DD4DD8C"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out of lignin. With this</w:t>
      </w:r>
      <w:r w:rsidR="30AB67FC" w:rsidRPr="5937A937">
        <w:rPr>
          <w:rFonts w:asciiTheme="majorHAnsi" w:hAnsiTheme="majorHAnsi" w:cstheme="majorBidi"/>
          <w:sz w:val="22"/>
          <w:szCs w:val="22"/>
          <w:lang w:val="en-GB"/>
        </w:rPr>
        <w:t xml:space="preserve"> concept in mind</w:t>
      </w:r>
      <w:r w:rsidRPr="5937A937">
        <w:rPr>
          <w:rFonts w:asciiTheme="majorHAnsi" w:hAnsiTheme="majorHAnsi" w:cstheme="majorBidi"/>
          <w:sz w:val="22"/>
          <w:szCs w:val="22"/>
          <w:lang w:val="en-GB"/>
        </w:rPr>
        <w:t>, a new process has been developed to</w:t>
      </w:r>
      <w:r w:rsidR="00607FF1">
        <w:rPr>
          <w:rFonts w:asciiTheme="majorHAnsi" w:hAnsiTheme="majorHAnsi" w:cstheme="majorBidi"/>
          <w:sz w:val="22"/>
          <w:szCs w:val="22"/>
          <w:lang w:val="en-GB"/>
        </w:rPr>
        <w:t xml:space="preserve"> fractionate lignocellulose and</w:t>
      </w:r>
      <w:r w:rsidRPr="5937A937">
        <w:rPr>
          <w:rFonts w:asciiTheme="majorHAnsi" w:hAnsiTheme="majorHAnsi" w:cstheme="majorBidi"/>
          <w:sz w:val="22"/>
          <w:szCs w:val="22"/>
          <w:lang w:val="en-GB"/>
        </w:rPr>
        <w:t xml:space="preserve"> extract  lignin</w:t>
      </w:r>
      <w:r w:rsidR="7C2CA74B" w:rsidRPr="5937A937">
        <w:rPr>
          <w:rFonts w:asciiTheme="majorHAnsi" w:hAnsiTheme="majorHAnsi" w:cstheme="majorBidi"/>
          <w:sz w:val="22"/>
          <w:szCs w:val="22"/>
          <w:lang w:val="en-GB"/>
        </w:rPr>
        <w:t xml:space="preserve">, suitable for further upgrade into </w:t>
      </w:r>
      <w:r w:rsidR="00AA7CE9">
        <w:rPr>
          <w:rFonts w:asciiTheme="majorHAnsi" w:hAnsiTheme="majorHAnsi" w:cstheme="majorBidi"/>
          <w:sz w:val="22"/>
          <w:szCs w:val="22"/>
          <w:lang w:val="en-GB"/>
        </w:rPr>
        <w:t>a marine fuel</w:t>
      </w:r>
      <w:r w:rsidRPr="5937A937">
        <w:rPr>
          <w:rFonts w:asciiTheme="majorHAnsi" w:hAnsiTheme="majorHAnsi" w:cstheme="majorBidi"/>
          <w:sz w:val="22"/>
          <w:szCs w:val="22"/>
          <w:lang w:val="en-GB"/>
        </w:rPr>
        <w:t>.</w:t>
      </w:r>
      <w:r w:rsidR="01630D40" w:rsidRPr="5937A937">
        <w:rPr>
          <w:rFonts w:asciiTheme="majorHAnsi" w:hAnsiTheme="majorHAnsi" w:cstheme="majorBidi"/>
          <w:sz w:val="22"/>
          <w:szCs w:val="22"/>
          <w:lang w:val="en-GB"/>
        </w:rPr>
        <w:t xml:space="preserve"> Although</w:t>
      </w:r>
      <w:r w:rsidRPr="5937A937">
        <w:rPr>
          <w:rFonts w:asciiTheme="majorHAnsi" w:hAnsiTheme="majorHAnsi" w:cstheme="majorBidi"/>
          <w:sz w:val="22"/>
          <w:szCs w:val="22"/>
          <w:lang w:val="en-GB"/>
        </w:rPr>
        <w:t xml:space="preserve"> lignin</w:t>
      </w:r>
      <w:r w:rsidR="0E5538E4" w:rsidRPr="5937A937">
        <w:rPr>
          <w:rFonts w:asciiTheme="majorHAnsi" w:hAnsiTheme="majorHAnsi" w:cstheme="majorBidi"/>
          <w:sz w:val="22"/>
          <w:szCs w:val="22"/>
          <w:lang w:val="en-GB"/>
        </w:rPr>
        <w:t xml:space="preserve"> is</w:t>
      </w:r>
      <w:r w:rsidRPr="5937A937">
        <w:rPr>
          <w:rFonts w:asciiTheme="majorHAnsi" w:hAnsiTheme="majorHAnsi" w:cstheme="majorBidi"/>
          <w:sz w:val="22"/>
          <w:szCs w:val="22"/>
          <w:lang w:val="en-GB"/>
        </w:rPr>
        <w:t xml:space="preserve"> a</w:t>
      </w:r>
      <w:r w:rsidR="65FA980F" w:rsidRPr="5937A937">
        <w:rPr>
          <w:rFonts w:asciiTheme="majorHAnsi" w:hAnsiTheme="majorHAnsi" w:cstheme="majorBidi"/>
          <w:sz w:val="22"/>
          <w:szCs w:val="22"/>
          <w:lang w:val="en-GB"/>
        </w:rPr>
        <w:t>ccessible</w:t>
      </w:r>
      <w:r w:rsidRPr="5937A937">
        <w:rPr>
          <w:rFonts w:asciiTheme="majorHAnsi" w:hAnsiTheme="majorHAnsi" w:cstheme="majorBidi"/>
          <w:sz w:val="22"/>
          <w:szCs w:val="22"/>
          <w:lang w:val="en-GB"/>
        </w:rPr>
        <w:t xml:space="preserve"> </w:t>
      </w:r>
      <w:r w:rsidR="0BB86068" w:rsidRPr="5937A937">
        <w:rPr>
          <w:rFonts w:asciiTheme="majorHAnsi" w:hAnsiTheme="majorHAnsi" w:cstheme="majorBidi"/>
          <w:sz w:val="22"/>
          <w:szCs w:val="22"/>
          <w:lang w:val="en-GB"/>
        </w:rPr>
        <w:t>in</w:t>
      </w:r>
      <w:r w:rsidRPr="5937A937">
        <w:rPr>
          <w:rFonts w:asciiTheme="majorHAnsi" w:hAnsiTheme="majorHAnsi" w:cstheme="majorBidi"/>
          <w:sz w:val="22"/>
          <w:szCs w:val="22"/>
          <w:lang w:val="en-GB"/>
        </w:rPr>
        <w:t xml:space="preserve"> the market</w:t>
      </w:r>
      <w:r w:rsidR="70FA519E"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w:t>
      </w:r>
      <w:r w:rsidR="02769A0C" w:rsidRPr="5937A937">
        <w:rPr>
          <w:rFonts w:asciiTheme="majorHAnsi" w:hAnsiTheme="majorHAnsi" w:cstheme="majorBidi"/>
          <w:sz w:val="22"/>
          <w:szCs w:val="22"/>
          <w:lang w:val="en-GB"/>
        </w:rPr>
        <w:t xml:space="preserve">the </w:t>
      </w:r>
      <w:r w:rsidR="781E5C88" w:rsidRPr="5937A937">
        <w:rPr>
          <w:rFonts w:asciiTheme="majorHAnsi" w:hAnsiTheme="majorHAnsi" w:cstheme="majorBidi"/>
          <w:sz w:val="22"/>
          <w:szCs w:val="22"/>
          <w:lang w:val="en-GB"/>
        </w:rPr>
        <w:t>chemical</w:t>
      </w:r>
      <w:r w:rsidR="02769A0C" w:rsidRPr="5937A937">
        <w:rPr>
          <w:rFonts w:asciiTheme="majorHAnsi" w:hAnsiTheme="majorHAnsi" w:cstheme="majorBidi"/>
          <w:sz w:val="22"/>
          <w:szCs w:val="22"/>
          <w:lang w:val="en-GB"/>
        </w:rPr>
        <w:t xml:space="preserve"> </w:t>
      </w:r>
      <w:r w:rsidR="4B67AE91" w:rsidRPr="5937A937">
        <w:rPr>
          <w:rFonts w:asciiTheme="majorHAnsi" w:hAnsiTheme="majorHAnsi" w:cstheme="majorBidi"/>
          <w:sz w:val="22"/>
          <w:szCs w:val="22"/>
          <w:lang w:val="en-GB"/>
        </w:rPr>
        <w:t>characteristic</w:t>
      </w:r>
      <w:r w:rsidR="02769A0C" w:rsidRPr="5937A937">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 xml:space="preserve">do not meet </w:t>
      </w:r>
      <w:r w:rsidR="37951E97" w:rsidRPr="5937A937">
        <w:rPr>
          <w:rFonts w:asciiTheme="majorHAnsi" w:hAnsiTheme="majorHAnsi" w:cstheme="majorBidi"/>
          <w:sz w:val="22"/>
          <w:szCs w:val="22"/>
          <w:lang w:val="en-GB"/>
        </w:rPr>
        <w:t xml:space="preserve">the necessary requirements </w:t>
      </w:r>
      <w:r w:rsidR="5F4C05FE" w:rsidRPr="5937A937">
        <w:rPr>
          <w:rFonts w:asciiTheme="majorHAnsi" w:hAnsiTheme="majorHAnsi" w:cstheme="majorBidi"/>
          <w:sz w:val="22"/>
          <w:szCs w:val="22"/>
          <w:lang w:val="en-GB"/>
        </w:rPr>
        <w:t>for</w:t>
      </w:r>
      <w:r w:rsidR="37951E97" w:rsidRPr="5937A937">
        <w:rPr>
          <w:rFonts w:asciiTheme="majorHAnsi" w:hAnsiTheme="majorHAnsi" w:cstheme="majorBidi"/>
          <w:sz w:val="22"/>
          <w:szCs w:val="22"/>
          <w:lang w:val="en-GB"/>
        </w:rPr>
        <w:t xml:space="preserve"> </w:t>
      </w:r>
      <w:r w:rsidR="001517EB">
        <w:rPr>
          <w:rFonts w:asciiTheme="majorHAnsi" w:hAnsiTheme="majorHAnsi" w:cstheme="majorBidi"/>
          <w:sz w:val="22"/>
          <w:szCs w:val="22"/>
          <w:lang w:val="en-GB"/>
        </w:rPr>
        <w:t xml:space="preserve">the </w:t>
      </w:r>
      <w:r w:rsidR="37951E97" w:rsidRPr="5937A937">
        <w:rPr>
          <w:rFonts w:asciiTheme="majorHAnsi" w:hAnsiTheme="majorHAnsi" w:cstheme="majorBidi"/>
          <w:sz w:val="22"/>
          <w:szCs w:val="22"/>
          <w:lang w:val="en-GB"/>
        </w:rPr>
        <w:t>efficient produc</w:t>
      </w:r>
      <w:r w:rsidR="1C3CB778" w:rsidRPr="5937A937">
        <w:rPr>
          <w:rFonts w:asciiTheme="majorHAnsi" w:hAnsiTheme="majorHAnsi" w:cstheme="majorBidi"/>
          <w:sz w:val="22"/>
          <w:szCs w:val="22"/>
          <w:lang w:val="en-GB"/>
        </w:rPr>
        <w:t>tion of</w:t>
      </w:r>
      <w:r w:rsidR="37951E97" w:rsidRPr="5937A937">
        <w:rPr>
          <w:rFonts w:asciiTheme="majorHAnsi" w:hAnsiTheme="majorHAnsi" w:cstheme="majorBidi"/>
          <w:sz w:val="22"/>
          <w:szCs w:val="22"/>
          <w:lang w:val="en-GB"/>
        </w:rPr>
        <w:t xml:space="preserve"> the </w:t>
      </w:r>
      <w:r w:rsidR="747BB9F3" w:rsidRPr="5937A937">
        <w:rPr>
          <w:rFonts w:asciiTheme="majorHAnsi" w:hAnsiTheme="majorHAnsi" w:cstheme="majorBidi"/>
          <w:sz w:val="22"/>
          <w:szCs w:val="22"/>
          <w:lang w:val="en-GB"/>
        </w:rPr>
        <w:t>end product</w:t>
      </w:r>
      <w:r w:rsidRPr="5937A937">
        <w:rPr>
          <w:rFonts w:asciiTheme="majorHAnsi" w:hAnsiTheme="majorHAnsi" w:cstheme="majorBidi"/>
          <w:sz w:val="22"/>
          <w:szCs w:val="22"/>
          <w:lang w:val="en-GB"/>
        </w:rPr>
        <w:t>.</w:t>
      </w:r>
      <w:r w:rsidR="578EEC06" w:rsidRPr="5937A937">
        <w:rPr>
          <w:rFonts w:asciiTheme="majorHAnsi" w:hAnsiTheme="majorHAnsi" w:cstheme="majorBidi"/>
          <w:sz w:val="22"/>
          <w:szCs w:val="22"/>
          <w:lang w:val="en-GB"/>
        </w:rPr>
        <w:t xml:space="preserve"> Moreover, </w:t>
      </w:r>
      <w:r w:rsidR="6A1FAC1E" w:rsidRPr="5937A937">
        <w:rPr>
          <w:rFonts w:asciiTheme="majorHAnsi" w:hAnsiTheme="majorHAnsi" w:cstheme="majorBidi"/>
          <w:sz w:val="22"/>
          <w:szCs w:val="22"/>
          <w:lang w:val="en-GB"/>
        </w:rPr>
        <w:t xml:space="preserve">the use of </w:t>
      </w:r>
      <w:r w:rsidR="489FACF0" w:rsidRPr="5937A937">
        <w:rPr>
          <w:rFonts w:asciiTheme="majorHAnsi" w:hAnsiTheme="majorHAnsi" w:cstheme="majorBidi"/>
          <w:sz w:val="22"/>
          <w:szCs w:val="22"/>
          <w:lang w:val="en-GB"/>
        </w:rPr>
        <w:t xml:space="preserve">the </w:t>
      </w:r>
      <w:r w:rsidR="6A1FAC1E" w:rsidRPr="5937A937">
        <w:rPr>
          <w:rFonts w:asciiTheme="majorHAnsi" w:hAnsiTheme="majorHAnsi" w:cstheme="majorBidi"/>
          <w:sz w:val="22"/>
          <w:szCs w:val="22"/>
          <w:lang w:val="en-GB"/>
        </w:rPr>
        <w:t>a</w:t>
      </w:r>
      <w:r w:rsidR="3C9AC7C7" w:rsidRPr="5937A937">
        <w:rPr>
          <w:rFonts w:asciiTheme="majorHAnsi" w:hAnsiTheme="majorHAnsi" w:cstheme="majorBidi"/>
          <w:sz w:val="22"/>
          <w:szCs w:val="22"/>
          <w:lang w:val="en-GB"/>
        </w:rPr>
        <w:t xml:space="preserve">vailable </w:t>
      </w:r>
      <w:r w:rsidR="6A1FAC1E" w:rsidRPr="5937A937">
        <w:rPr>
          <w:rFonts w:asciiTheme="majorHAnsi" w:hAnsiTheme="majorHAnsi" w:cstheme="majorBidi"/>
          <w:sz w:val="22"/>
          <w:szCs w:val="22"/>
          <w:lang w:val="en-GB"/>
        </w:rPr>
        <w:t xml:space="preserve">residual </w:t>
      </w:r>
      <w:r w:rsidR="69DCA76B" w:rsidRPr="5937A937">
        <w:rPr>
          <w:rFonts w:asciiTheme="majorHAnsi" w:hAnsiTheme="majorHAnsi" w:cstheme="majorBidi"/>
          <w:sz w:val="22"/>
          <w:szCs w:val="22"/>
          <w:lang w:val="en-GB"/>
        </w:rPr>
        <w:t xml:space="preserve">stream of </w:t>
      </w:r>
      <w:r w:rsidR="008438ED" w:rsidRPr="5937A937">
        <w:rPr>
          <w:rFonts w:asciiTheme="majorHAnsi" w:hAnsiTheme="majorHAnsi" w:cstheme="majorBidi"/>
          <w:sz w:val="22"/>
          <w:szCs w:val="22"/>
          <w:lang w:val="en-GB"/>
        </w:rPr>
        <w:t>l</w:t>
      </w:r>
      <w:r w:rsidR="008438ED">
        <w:rPr>
          <w:rFonts w:asciiTheme="majorHAnsi" w:hAnsiTheme="majorHAnsi" w:cstheme="majorBidi"/>
          <w:sz w:val="22"/>
          <w:szCs w:val="22"/>
          <w:lang w:val="en-GB"/>
        </w:rPr>
        <w:t>ignocellulosic biomass</w:t>
      </w:r>
      <w:r w:rsidR="00AD827F" w:rsidRPr="5937A937">
        <w:rPr>
          <w:rFonts w:asciiTheme="majorHAnsi" w:hAnsiTheme="majorHAnsi" w:cstheme="majorBidi"/>
          <w:sz w:val="22"/>
          <w:szCs w:val="22"/>
          <w:lang w:val="en-GB"/>
        </w:rPr>
        <w:t xml:space="preserve"> </w:t>
      </w:r>
      <w:r w:rsidR="7EDAF1BC" w:rsidRPr="5937A937">
        <w:rPr>
          <w:rFonts w:asciiTheme="majorHAnsi" w:hAnsiTheme="majorHAnsi" w:cstheme="majorBidi"/>
          <w:sz w:val="22"/>
          <w:szCs w:val="22"/>
          <w:lang w:val="en-GB"/>
        </w:rPr>
        <w:t xml:space="preserve">is a way to cope with the circular economy while adding value to the </w:t>
      </w:r>
      <w:r w:rsidR="38028723" w:rsidRPr="5937A937">
        <w:rPr>
          <w:rFonts w:asciiTheme="majorHAnsi" w:hAnsiTheme="majorHAnsi" w:cstheme="majorBidi"/>
          <w:sz w:val="22"/>
          <w:szCs w:val="22"/>
          <w:lang w:val="en-GB"/>
        </w:rPr>
        <w:t>whole project</w:t>
      </w:r>
      <w:r w:rsidR="02D0D2C2" w:rsidRPr="5937A937">
        <w:rPr>
          <w:rFonts w:asciiTheme="majorHAnsi" w:hAnsiTheme="majorHAnsi" w:cstheme="majorBidi"/>
          <w:sz w:val="22"/>
          <w:szCs w:val="22"/>
          <w:lang w:val="en-GB"/>
        </w:rPr>
        <w:t>.</w:t>
      </w:r>
    </w:p>
    <w:p w14:paraId="76508888" w14:textId="5D013F98" w:rsidR="362A3EC5" w:rsidRDefault="362A3EC5" w:rsidP="362A3EC5">
      <w:pPr>
        <w:spacing w:after="120" w:line="360" w:lineRule="auto"/>
        <w:rPr>
          <w:szCs w:val="21"/>
          <w:lang w:val="en-GB"/>
        </w:rPr>
      </w:pPr>
    </w:p>
    <w:p w14:paraId="38FCA6FA" w14:textId="44E3563A" w:rsidR="004C2A72" w:rsidRDefault="18F1886A" w:rsidP="005D6854">
      <w:pPr>
        <w:pStyle w:val="Heading2"/>
      </w:pPr>
      <w:bookmarkStart w:id="8" w:name="_Toc85627855"/>
      <w:r>
        <w:lastRenderedPageBreak/>
        <w:t>Objective</w:t>
      </w:r>
      <w:bookmarkEnd w:id="8"/>
      <w:r w:rsidR="62407F5C">
        <w:t xml:space="preserve"> </w:t>
      </w:r>
    </w:p>
    <w:p w14:paraId="402980F8" w14:textId="4A18490E" w:rsidR="362A3EC5" w:rsidRDefault="362A3EC5" w:rsidP="362A3EC5">
      <w:pPr>
        <w:spacing w:after="120" w:line="360" w:lineRule="auto"/>
        <w:rPr>
          <w:rFonts w:asciiTheme="majorHAnsi" w:hAnsiTheme="majorHAnsi" w:cstheme="majorBidi"/>
          <w:sz w:val="22"/>
          <w:szCs w:val="22"/>
        </w:rPr>
      </w:pPr>
    </w:p>
    <w:p w14:paraId="52ED480B" w14:textId="77777777" w:rsidR="00FC797D" w:rsidRDefault="3E1F9147" w:rsidP="00C66DA5">
      <w:pPr>
        <w:spacing w:after="120" w:line="360" w:lineRule="auto"/>
        <w:ind w:firstLine="720"/>
        <w:rPr>
          <w:rFonts w:asciiTheme="majorHAnsi" w:hAnsiTheme="majorHAnsi" w:cstheme="majorBidi"/>
          <w:sz w:val="22"/>
          <w:szCs w:val="22"/>
        </w:rPr>
      </w:pPr>
      <w:r w:rsidRPr="362A3EC5">
        <w:rPr>
          <w:rFonts w:asciiTheme="majorHAnsi" w:hAnsiTheme="majorHAnsi" w:cstheme="majorBidi"/>
          <w:sz w:val="22"/>
          <w:szCs w:val="22"/>
        </w:rPr>
        <w:t xml:space="preserve">The objective of the present report is to provide valuable information on the </w:t>
      </w:r>
      <w:r w:rsidR="29BAFE86" w:rsidRPr="362A3EC5">
        <w:rPr>
          <w:rFonts w:asciiTheme="majorHAnsi" w:hAnsiTheme="majorHAnsi" w:cstheme="majorBidi"/>
          <w:sz w:val="22"/>
          <w:szCs w:val="22"/>
        </w:rPr>
        <w:t>market perspective and, therefore, support the best process design and R&amp;D strategy.</w:t>
      </w:r>
      <w:r w:rsidR="66A594DF" w:rsidRPr="362A3EC5">
        <w:rPr>
          <w:rFonts w:asciiTheme="majorHAnsi" w:hAnsiTheme="majorHAnsi" w:cstheme="majorBidi"/>
          <w:sz w:val="22"/>
          <w:szCs w:val="22"/>
        </w:rPr>
        <w:t xml:space="preserve"> </w:t>
      </w:r>
    </w:p>
    <w:p w14:paraId="3D70CD8C" w14:textId="72AE3E7E" w:rsidR="3E1F9147" w:rsidRDefault="40847561" w:rsidP="00C66DA5">
      <w:pPr>
        <w:spacing w:after="120" w:line="360" w:lineRule="auto"/>
        <w:ind w:firstLine="720"/>
        <w:rPr>
          <w:rFonts w:asciiTheme="majorHAnsi" w:hAnsiTheme="majorHAnsi" w:cstheme="majorBidi"/>
          <w:sz w:val="22"/>
          <w:szCs w:val="22"/>
        </w:rPr>
      </w:pPr>
      <w:r w:rsidRPr="362A3EC5">
        <w:rPr>
          <w:rFonts w:asciiTheme="majorHAnsi" w:hAnsiTheme="majorHAnsi" w:cstheme="majorBidi"/>
          <w:sz w:val="22"/>
          <w:szCs w:val="22"/>
        </w:rPr>
        <w:t xml:space="preserve">This report presents </w:t>
      </w:r>
      <w:r w:rsidR="51EBDBCC" w:rsidRPr="362A3EC5">
        <w:rPr>
          <w:rFonts w:asciiTheme="majorHAnsi" w:hAnsiTheme="majorHAnsi" w:cstheme="majorBidi"/>
          <w:sz w:val="22"/>
          <w:szCs w:val="22"/>
        </w:rPr>
        <w:t xml:space="preserve">the size and trends in our current market, legislatives instruments, potential </w:t>
      </w:r>
      <w:r w:rsidR="4A256A03" w:rsidRPr="362A3EC5">
        <w:rPr>
          <w:rFonts w:asciiTheme="majorHAnsi" w:hAnsiTheme="majorHAnsi" w:cstheme="majorBidi"/>
          <w:sz w:val="22"/>
          <w:szCs w:val="22"/>
        </w:rPr>
        <w:t>market competitors</w:t>
      </w:r>
      <w:r w:rsidR="51EBDBCC" w:rsidRPr="362A3EC5">
        <w:rPr>
          <w:rFonts w:asciiTheme="majorHAnsi" w:hAnsiTheme="majorHAnsi" w:cstheme="majorBidi"/>
          <w:sz w:val="22"/>
          <w:szCs w:val="22"/>
        </w:rPr>
        <w:t xml:space="preserve"> in the </w:t>
      </w:r>
      <w:r w:rsidR="049CECAA" w:rsidRPr="362A3EC5">
        <w:rPr>
          <w:rFonts w:asciiTheme="majorHAnsi" w:hAnsiTheme="majorHAnsi" w:cstheme="majorBidi"/>
          <w:sz w:val="22"/>
          <w:szCs w:val="22"/>
        </w:rPr>
        <w:t>near</w:t>
      </w:r>
      <w:r w:rsidR="51EBDBCC" w:rsidRPr="362A3EC5">
        <w:rPr>
          <w:rFonts w:asciiTheme="majorHAnsi" w:hAnsiTheme="majorHAnsi" w:cstheme="majorBidi"/>
          <w:sz w:val="22"/>
          <w:szCs w:val="22"/>
        </w:rPr>
        <w:t xml:space="preserve"> and long t</w:t>
      </w:r>
      <w:r w:rsidR="57B264DF" w:rsidRPr="362A3EC5">
        <w:rPr>
          <w:rFonts w:asciiTheme="majorHAnsi" w:hAnsiTheme="majorHAnsi" w:cstheme="majorBidi"/>
          <w:sz w:val="22"/>
          <w:szCs w:val="22"/>
        </w:rPr>
        <w:t>erm</w:t>
      </w:r>
      <w:r w:rsidR="19747EB3" w:rsidRPr="362A3EC5">
        <w:rPr>
          <w:rFonts w:asciiTheme="majorHAnsi" w:hAnsiTheme="majorHAnsi" w:cstheme="majorBidi"/>
          <w:sz w:val="22"/>
          <w:szCs w:val="22"/>
        </w:rPr>
        <w:t xml:space="preserve">, </w:t>
      </w:r>
      <w:r w:rsidR="51EBDBCC" w:rsidRPr="362A3EC5">
        <w:rPr>
          <w:rFonts w:asciiTheme="majorHAnsi" w:hAnsiTheme="majorHAnsi" w:cstheme="majorBidi"/>
          <w:sz w:val="22"/>
          <w:szCs w:val="22"/>
        </w:rPr>
        <w:t xml:space="preserve">opportunities </w:t>
      </w:r>
      <w:r w:rsidR="66DEF4D1" w:rsidRPr="362A3EC5">
        <w:rPr>
          <w:rFonts w:asciiTheme="majorHAnsi" w:hAnsiTheme="majorHAnsi" w:cstheme="majorBidi"/>
          <w:sz w:val="22"/>
          <w:szCs w:val="22"/>
        </w:rPr>
        <w:t>and</w:t>
      </w:r>
      <w:r w:rsidR="51EBDBCC" w:rsidRPr="362A3EC5">
        <w:rPr>
          <w:rFonts w:asciiTheme="majorHAnsi" w:hAnsiTheme="majorHAnsi" w:cstheme="majorBidi"/>
          <w:sz w:val="22"/>
          <w:szCs w:val="22"/>
        </w:rPr>
        <w:t xml:space="preserve"> constrains. </w:t>
      </w:r>
      <w:r w:rsidR="40852536" w:rsidRPr="362A3EC5">
        <w:rPr>
          <w:rFonts w:asciiTheme="majorHAnsi" w:hAnsiTheme="majorHAnsi" w:cstheme="majorBidi"/>
          <w:sz w:val="22"/>
          <w:szCs w:val="22"/>
        </w:rPr>
        <w:t>I</w:t>
      </w:r>
      <w:r w:rsidR="694E4AB8" w:rsidRPr="362A3EC5">
        <w:rPr>
          <w:rFonts w:asciiTheme="majorHAnsi" w:hAnsiTheme="majorHAnsi" w:cstheme="majorBidi"/>
          <w:sz w:val="22"/>
          <w:szCs w:val="22"/>
        </w:rPr>
        <w:t>t is expected</w:t>
      </w:r>
      <w:r w:rsidR="2BDB663F" w:rsidRPr="362A3EC5">
        <w:rPr>
          <w:rFonts w:asciiTheme="majorHAnsi" w:hAnsiTheme="majorHAnsi" w:cstheme="majorBidi"/>
          <w:sz w:val="22"/>
          <w:szCs w:val="22"/>
        </w:rPr>
        <w:t xml:space="preserve"> that, by the end of this report,</w:t>
      </w:r>
      <w:r w:rsidR="694E4AB8" w:rsidRPr="362A3EC5">
        <w:rPr>
          <w:rFonts w:asciiTheme="majorHAnsi" w:hAnsiTheme="majorHAnsi" w:cstheme="majorBidi"/>
          <w:sz w:val="22"/>
          <w:szCs w:val="22"/>
        </w:rPr>
        <w:t xml:space="preserve"> </w:t>
      </w:r>
      <w:r w:rsidRPr="362A3EC5">
        <w:rPr>
          <w:rFonts w:asciiTheme="majorHAnsi" w:hAnsiTheme="majorHAnsi" w:cstheme="majorBidi"/>
          <w:sz w:val="22"/>
          <w:szCs w:val="22"/>
        </w:rPr>
        <w:t xml:space="preserve">a clear overview of the market </w:t>
      </w:r>
      <w:r w:rsidR="645EE142" w:rsidRPr="362A3EC5">
        <w:rPr>
          <w:rFonts w:asciiTheme="majorHAnsi" w:hAnsiTheme="majorHAnsi" w:cstheme="majorBidi"/>
          <w:sz w:val="22"/>
          <w:szCs w:val="22"/>
        </w:rPr>
        <w:t xml:space="preserve">is provided, </w:t>
      </w:r>
      <w:r w:rsidR="0E9F33B3" w:rsidRPr="362A3EC5">
        <w:rPr>
          <w:rFonts w:asciiTheme="majorHAnsi" w:hAnsiTheme="majorHAnsi" w:cstheme="majorBidi"/>
          <w:sz w:val="22"/>
          <w:szCs w:val="22"/>
        </w:rPr>
        <w:t xml:space="preserve">identifying </w:t>
      </w:r>
      <w:r w:rsidR="61247983" w:rsidRPr="362A3EC5">
        <w:rPr>
          <w:rFonts w:asciiTheme="majorHAnsi" w:hAnsiTheme="majorHAnsi" w:cstheme="majorBidi"/>
          <w:sz w:val="22"/>
          <w:szCs w:val="22"/>
        </w:rPr>
        <w:t xml:space="preserve">a </w:t>
      </w:r>
      <w:r w:rsidRPr="362A3EC5">
        <w:rPr>
          <w:rFonts w:asciiTheme="majorHAnsi" w:hAnsiTheme="majorHAnsi" w:cstheme="majorBidi"/>
          <w:sz w:val="22"/>
          <w:szCs w:val="22"/>
        </w:rPr>
        <w:t>po</w:t>
      </w:r>
      <w:r w:rsidR="27A7257C" w:rsidRPr="362A3EC5">
        <w:rPr>
          <w:rFonts w:asciiTheme="majorHAnsi" w:hAnsiTheme="majorHAnsi" w:cstheme="majorBidi"/>
          <w:sz w:val="22"/>
          <w:szCs w:val="22"/>
        </w:rPr>
        <w:t>tential</w:t>
      </w:r>
      <w:r w:rsidRPr="362A3EC5">
        <w:rPr>
          <w:rFonts w:asciiTheme="majorHAnsi" w:hAnsiTheme="majorHAnsi" w:cstheme="majorBidi"/>
          <w:sz w:val="22"/>
          <w:szCs w:val="22"/>
        </w:rPr>
        <w:t xml:space="preserve"> </w:t>
      </w:r>
      <w:r w:rsidR="5525B22E" w:rsidRPr="362A3EC5">
        <w:rPr>
          <w:rFonts w:asciiTheme="majorHAnsi" w:hAnsiTheme="majorHAnsi" w:cstheme="majorBidi"/>
          <w:sz w:val="22"/>
          <w:szCs w:val="22"/>
        </w:rPr>
        <w:t xml:space="preserve">spot for </w:t>
      </w:r>
      <w:r w:rsidRPr="362A3EC5">
        <w:rPr>
          <w:rFonts w:asciiTheme="majorHAnsi" w:hAnsiTheme="majorHAnsi" w:cstheme="majorBidi"/>
          <w:sz w:val="22"/>
          <w:szCs w:val="22"/>
        </w:rPr>
        <w:t xml:space="preserve">BIO-HFO within an European </w:t>
      </w:r>
      <w:r w:rsidR="3958035D" w:rsidRPr="362A3EC5">
        <w:rPr>
          <w:rFonts w:asciiTheme="majorHAnsi" w:hAnsiTheme="majorHAnsi" w:cstheme="majorBidi"/>
          <w:sz w:val="22"/>
          <w:szCs w:val="22"/>
        </w:rPr>
        <w:t xml:space="preserve">market </w:t>
      </w:r>
      <w:r w:rsidRPr="362A3EC5">
        <w:rPr>
          <w:rFonts w:asciiTheme="majorHAnsi" w:hAnsiTheme="majorHAnsi" w:cstheme="majorBidi"/>
          <w:sz w:val="22"/>
          <w:szCs w:val="22"/>
        </w:rPr>
        <w:t xml:space="preserve">context. </w:t>
      </w:r>
    </w:p>
    <w:p w14:paraId="155EACA2" w14:textId="77777777" w:rsidR="00295F62" w:rsidRDefault="00295F62" w:rsidP="362A3EC5">
      <w:pPr>
        <w:spacing w:after="120" w:line="360" w:lineRule="auto"/>
        <w:ind w:firstLine="444"/>
        <w:rPr>
          <w:rFonts w:asciiTheme="majorHAnsi" w:hAnsiTheme="majorHAnsi" w:cstheme="majorBidi"/>
          <w:sz w:val="22"/>
          <w:szCs w:val="22"/>
        </w:rPr>
      </w:pPr>
    </w:p>
    <w:p w14:paraId="25478F97" w14:textId="08799F97" w:rsidR="004C2A72" w:rsidRDefault="18F1886A" w:rsidP="005D6854">
      <w:pPr>
        <w:pStyle w:val="Heading2"/>
      </w:pPr>
      <w:bookmarkStart w:id="9" w:name="_Toc85627856"/>
      <w:r>
        <w:t>Outline of Report</w:t>
      </w:r>
      <w:bookmarkEnd w:id="9"/>
    </w:p>
    <w:p w14:paraId="58356561" w14:textId="77777777" w:rsidR="00FA4F70" w:rsidRDefault="00C66DA5" w:rsidP="00E65064">
      <w:pPr>
        <w:spacing w:after="120" w:line="360" w:lineRule="auto"/>
        <w:rPr>
          <w:sz w:val="22"/>
          <w:szCs w:val="22"/>
          <w:lang w:val="en-GB"/>
        </w:rPr>
      </w:pPr>
      <w:r>
        <w:rPr>
          <w:lang w:val="en-GB"/>
        </w:rPr>
        <w:tab/>
      </w:r>
      <w:r w:rsidR="00282551">
        <w:rPr>
          <w:lang w:val="en-GB"/>
        </w:rPr>
        <w:t xml:space="preserve">The report is structured as follows. </w:t>
      </w:r>
      <w:r w:rsidR="001168F0" w:rsidRPr="0040379B">
        <w:rPr>
          <w:sz w:val="22"/>
          <w:szCs w:val="22"/>
          <w:lang w:val="en-GB"/>
        </w:rPr>
        <w:t xml:space="preserve">In section 2 </w:t>
      </w:r>
      <w:r w:rsidR="00884BDE">
        <w:rPr>
          <w:sz w:val="22"/>
          <w:szCs w:val="22"/>
          <w:lang w:val="en-GB"/>
        </w:rPr>
        <w:t xml:space="preserve">the </w:t>
      </w:r>
      <w:r w:rsidR="003E03DC" w:rsidRPr="0040379B">
        <w:rPr>
          <w:sz w:val="22"/>
          <w:szCs w:val="22"/>
          <w:lang w:val="en-GB"/>
        </w:rPr>
        <w:t xml:space="preserve">European </w:t>
      </w:r>
      <w:r w:rsidR="00766A25" w:rsidRPr="0040379B">
        <w:rPr>
          <w:sz w:val="22"/>
          <w:szCs w:val="22"/>
          <w:lang w:val="en-GB"/>
        </w:rPr>
        <w:t>legislation</w:t>
      </w:r>
      <w:r w:rsidR="001168F0" w:rsidRPr="0040379B">
        <w:rPr>
          <w:sz w:val="22"/>
          <w:szCs w:val="22"/>
          <w:lang w:val="en-GB"/>
        </w:rPr>
        <w:t xml:space="preserve"> </w:t>
      </w:r>
      <w:r w:rsidR="00884BDE">
        <w:rPr>
          <w:sz w:val="22"/>
          <w:szCs w:val="22"/>
          <w:lang w:val="en-GB"/>
        </w:rPr>
        <w:t>which</w:t>
      </w:r>
      <w:r w:rsidR="001168F0" w:rsidRPr="0040379B">
        <w:rPr>
          <w:sz w:val="22"/>
          <w:szCs w:val="22"/>
          <w:lang w:val="en-GB"/>
        </w:rPr>
        <w:t xml:space="preserve"> </w:t>
      </w:r>
      <w:r w:rsidR="00FC02B3">
        <w:rPr>
          <w:sz w:val="22"/>
          <w:szCs w:val="22"/>
          <w:lang w:val="en-GB"/>
        </w:rPr>
        <w:t>might</w:t>
      </w:r>
      <w:r w:rsidR="001168F0" w:rsidRPr="0040379B">
        <w:rPr>
          <w:sz w:val="22"/>
          <w:szCs w:val="22"/>
          <w:lang w:val="en-GB"/>
        </w:rPr>
        <w:t xml:space="preserve"> directly or indirectly affect the </w:t>
      </w:r>
      <w:r w:rsidR="000336AA" w:rsidRPr="0040379B">
        <w:rPr>
          <w:sz w:val="22"/>
          <w:szCs w:val="22"/>
          <w:lang w:val="en-GB"/>
        </w:rPr>
        <w:t>market</w:t>
      </w:r>
      <w:r w:rsidR="001168F0" w:rsidRPr="0040379B">
        <w:rPr>
          <w:sz w:val="22"/>
          <w:szCs w:val="22"/>
          <w:lang w:val="en-GB"/>
        </w:rPr>
        <w:t xml:space="preserve"> for </w:t>
      </w:r>
      <w:r w:rsidR="000336AA" w:rsidRPr="0040379B">
        <w:rPr>
          <w:sz w:val="22"/>
          <w:szCs w:val="22"/>
          <w:lang w:val="en-GB"/>
        </w:rPr>
        <w:t>the Bio-HFO</w:t>
      </w:r>
      <w:r w:rsidR="00884BDE" w:rsidRPr="00884BDE">
        <w:rPr>
          <w:sz w:val="22"/>
          <w:szCs w:val="22"/>
          <w:lang w:val="en-GB"/>
        </w:rPr>
        <w:t xml:space="preserve"> </w:t>
      </w:r>
      <w:r w:rsidR="00884BDE">
        <w:rPr>
          <w:sz w:val="22"/>
          <w:szCs w:val="22"/>
          <w:lang w:val="en-GB"/>
        </w:rPr>
        <w:t xml:space="preserve">is </w:t>
      </w:r>
      <w:r w:rsidR="00884BDE" w:rsidRPr="0040379B">
        <w:rPr>
          <w:sz w:val="22"/>
          <w:szCs w:val="22"/>
          <w:lang w:val="en-GB"/>
        </w:rPr>
        <w:t xml:space="preserve"> presented</w:t>
      </w:r>
      <w:r w:rsidR="000336AA" w:rsidRPr="0040379B">
        <w:rPr>
          <w:sz w:val="22"/>
          <w:szCs w:val="22"/>
          <w:lang w:val="en-GB"/>
        </w:rPr>
        <w:t xml:space="preserve">. </w:t>
      </w:r>
      <w:r w:rsidR="001168F0" w:rsidRPr="0040379B">
        <w:rPr>
          <w:sz w:val="22"/>
          <w:szCs w:val="22"/>
          <w:lang w:val="en-GB"/>
        </w:rPr>
        <w:t xml:space="preserve"> </w:t>
      </w:r>
      <w:r w:rsidR="003E03DC" w:rsidRPr="0040379B">
        <w:rPr>
          <w:sz w:val="22"/>
          <w:szCs w:val="22"/>
          <w:lang w:val="en-GB"/>
        </w:rPr>
        <w:t xml:space="preserve">Then </w:t>
      </w:r>
      <w:r w:rsidR="00E07BD0" w:rsidRPr="0040379B">
        <w:rPr>
          <w:sz w:val="22"/>
          <w:szCs w:val="22"/>
          <w:lang w:val="en-GB"/>
        </w:rPr>
        <w:t xml:space="preserve">, in section 3 it is discussed the present fuel </w:t>
      </w:r>
      <w:r w:rsidR="00F47FE8" w:rsidRPr="0040379B">
        <w:rPr>
          <w:sz w:val="22"/>
          <w:szCs w:val="22"/>
          <w:lang w:val="en-GB"/>
        </w:rPr>
        <w:t>landscape</w:t>
      </w:r>
      <w:r w:rsidR="00E07BD0" w:rsidRPr="0040379B">
        <w:rPr>
          <w:sz w:val="22"/>
          <w:szCs w:val="22"/>
          <w:lang w:val="en-GB"/>
        </w:rPr>
        <w:t xml:space="preserve"> in the shipping sector</w:t>
      </w:r>
      <w:r w:rsidR="00F47FE8" w:rsidRPr="0040379B">
        <w:rPr>
          <w:sz w:val="22"/>
          <w:szCs w:val="22"/>
          <w:lang w:val="en-GB"/>
        </w:rPr>
        <w:t>, encompassing l</w:t>
      </w:r>
      <w:r w:rsidR="003C0D25" w:rsidRPr="0040379B">
        <w:rPr>
          <w:sz w:val="22"/>
          <w:szCs w:val="22"/>
          <w:lang w:val="en-GB"/>
        </w:rPr>
        <w:t>iquid fossil fuels and alternative fuels</w:t>
      </w:r>
      <w:r w:rsidR="00743D61" w:rsidRPr="0040379B">
        <w:rPr>
          <w:sz w:val="22"/>
          <w:szCs w:val="22"/>
          <w:lang w:val="en-GB"/>
        </w:rPr>
        <w:t xml:space="preserve">. </w:t>
      </w:r>
      <w:r w:rsidR="00F47FE8" w:rsidRPr="0040379B">
        <w:rPr>
          <w:sz w:val="22"/>
          <w:szCs w:val="22"/>
          <w:lang w:val="en-GB"/>
        </w:rPr>
        <w:t>This section disc</w:t>
      </w:r>
      <w:r w:rsidR="004306D6">
        <w:rPr>
          <w:sz w:val="22"/>
          <w:szCs w:val="22"/>
          <w:lang w:val="en-GB"/>
        </w:rPr>
        <w:t xml:space="preserve">usses </w:t>
      </w:r>
      <w:r w:rsidR="00F47FE8" w:rsidRPr="0040379B">
        <w:rPr>
          <w:sz w:val="22"/>
          <w:szCs w:val="22"/>
          <w:lang w:val="en-GB"/>
        </w:rPr>
        <w:t xml:space="preserve"> fuels’ specifications, compatibility and emissions</w:t>
      </w:r>
      <w:r w:rsidR="004306D6">
        <w:rPr>
          <w:sz w:val="22"/>
          <w:szCs w:val="22"/>
          <w:lang w:val="en-GB"/>
        </w:rPr>
        <w:t xml:space="preserve"> of current and future fuels</w:t>
      </w:r>
      <w:r w:rsidR="00115841" w:rsidRPr="0040379B">
        <w:rPr>
          <w:sz w:val="22"/>
          <w:szCs w:val="22"/>
          <w:lang w:val="en-GB"/>
        </w:rPr>
        <w:t xml:space="preserve">.  </w:t>
      </w:r>
      <w:r w:rsidR="00EB2619" w:rsidRPr="0040379B">
        <w:rPr>
          <w:sz w:val="22"/>
          <w:szCs w:val="22"/>
          <w:lang w:val="en-GB"/>
        </w:rPr>
        <w:t xml:space="preserve">Section 4 presents an overview of the future market based on scenarios developed by the EU, </w:t>
      </w:r>
      <w:r w:rsidR="0043799B" w:rsidRPr="0040379B">
        <w:rPr>
          <w:sz w:val="22"/>
          <w:szCs w:val="22"/>
          <w:lang w:val="en-GB"/>
        </w:rPr>
        <w:t xml:space="preserve"> </w:t>
      </w:r>
      <w:r w:rsidR="00F47FE8" w:rsidRPr="0040379B">
        <w:rPr>
          <w:sz w:val="22"/>
          <w:szCs w:val="22"/>
          <w:lang w:val="en-GB"/>
        </w:rPr>
        <w:t>elaborating on</w:t>
      </w:r>
      <w:r w:rsidR="0043799B" w:rsidRPr="0040379B">
        <w:rPr>
          <w:sz w:val="22"/>
          <w:szCs w:val="22"/>
          <w:lang w:val="en-GB"/>
        </w:rPr>
        <w:t xml:space="preserve"> pricing and possible future compet</w:t>
      </w:r>
      <w:r w:rsidR="00F47FE8" w:rsidRPr="0040379B">
        <w:rPr>
          <w:sz w:val="22"/>
          <w:szCs w:val="22"/>
          <w:lang w:val="en-GB"/>
        </w:rPr>
        <w:t>ition</w:t>
      </w:r>
      <w:r w:rsidR="0043799B" w:rsidRPr="0040379B">
        <w:rPr>
          <w:sz w:val="22"/>
          <w:szCs w:val="22"/>
          <w:lang w:val="en-GB"/>
        </w:rPr>
        <w:t xml:space="preserve">. </w:t>
      </w:r>
      <w:r w:rsidR="00FA4F70" w:rsidRPr="0040379B">
        <w:rPr>
          <w:sz w:val="22"/>
          <w:szCs w:val="22"/>
          <w:lang w:val="en-GB"/>
        </w:rPr>
        <w:t xml:space="preserve">Key stakeholders that can </w:t>
      </w:r>
      <w:r w:rsidR="00F47FE8" w:rsidRPr="0040379B">
        <w:rPr>
          <w:sz w:val="22"/>
          <w:szCs w:val="22"/>
          <w:lang w:val="en-GB"/>
        </w:rPr>
        <w:t>influence the</w:t>
      </w:r>
      <w:r w:rsidR="00FA4F70" w:rsidRPr="0040379B">
        <w:rPr>
          <w:sz w:val="22"/>
          <w:szCs w:val="22"/>
          <w:lang w:val="en-GB"/>
        </w:rPr>
        <w:t xml:space="preserve"> market</w:t>
      </w:r>
      <w:r w:rsidR="004306D6">
        <w:rPr>
          <w:sz w:val="22"/>
          <w:szCs w:val="22"/>
          <w:lang w:val="en-GB"/>
        </w:rPr>
        <w:t xml:space="preserve"> uptake</w:t>
      </w:r>
      <w:r w:rsidR="00FA4F70" w:rsidRPr="0040379B">
        <w:rPr>
          <w:sz w:val="22"/>
          <w:szCs w:val="22"/>
          <w:lang w:val="en-GB"/>
        </w:rPr>
        <w:t xml:space="preserve"> </w:t>
      </w:r>
      <w:r w:rsidR="00F47FE8" w:rsidRPr="0040379B">
        <w:rPr>
          <w:sz w:val="22"/>
          <w:szCs w:val="22"/>
          <w:lang w:val="en-GB"/>
        </w:rPr>
        <w:t xml:space="preserve">are </w:t>
      </w:r>
      <w:r w:rsidR="004306D6">
        <w:rPr>
          <w:sz w:val="22"/>
          <w:szCs w:val="22"/>
          <w:lang w:val="en-GB"/>
        </w:rPr>
        <w:t xml:space="preserve">also </w:t>
      </w:r>
      <w:r w:rsidR="00F47FE8" w:rsidRPr="0040379B">
        <w:rPr>
          <w:sz w:val="22"/>
          <w:szCs w:val="22"/>
          <w:lang w:val="en-GB"/>
        </w:rPr>
        <w:t>discussed</w:t>
      </w:r>
      <w:r w:rsidR="00FA4F70" w:rsidRPr="0040379B">
        <w:rPr>
          <w:sz w:val="22"/>
          <w:szCs w:val="22"/>
          <w:lang w:val="en-GB"/>
        </w:rPr>
        <w:t>. Finally</w:t>
      </w:r>
      <w:r w:rsidR="00156753" w:rsidRPr="0040379B">
        <w:rPr>
          <w:sz w:val="22"/>
          <w:szCs w:val="22"/>
          <w:lang w:val="en-GB"/>
        </w:rPr>
        <w:t>, conclusions and recommendations are provided based on the findings.</w:t>
      </w:r>
    </w:p>
    <w:p w14:paraId="0E88258D" w14:textId="4CD860E5" w:rsidR="00DC3405" w:rsidRDefault="00DC3405">
      <w:pPr>
        <w:spacing w:after="160" w:line="259" w:lineRule="auto"/>
        <w:jc w:val="left"/>
        <w:rPr>
          <w:sz w:val="22"/>
          <w:szCs w:val="22"/>
          <w:lang w:val="en-GB"/>
        </w:rPr>
      </w:pPr>
      <w:r>
        <w:rPr>
          <w:sz w:val="22"/>
          <w:szCs w:val="22"/>
          <w:lang w:val="en-GB"/>
        </w:rPr>
        <w:br w:type="page"/>
      </w:r>
    </w:p>
    <w:p w14:paraId="45BFECAB" w14:textId="24C60580" w:rsidR="00017D36" w:rsidRDefault="00F82CDE" w:rsidP="00DC3405">
      <w:pPr>
        <w:pStyle w:val="Heading1"/>
      </w:pPr>
      <w:bookmarkStart w:id="10" w:name="_Toc85627857"/>
      <w:r>
        <w:lastRenderedPageBreak/>
        <w:t xml:space="preserve">Socio-economical </w:t>
      </w:r>
      <w:r w:rsidR="007A5E42">
        <w:t>Context</w:t>
      </w:r>
      <w:bookmarkEnd w:id="10"/>
    </w:p>
    <w:p w14:paraId="34D6FE55" w14:textId="5C3737C3" w:rsidR="362A3EC5" w:rsidRDefault="362A3EC5" w:rsidP="362A3EC5">
      <w:pPr>
        <w:rPr>
          <w:szCs w:val="21"/>
        </w:rPr>
      </w:pPr>
    </w:p>
    <w:p w14:paraId="09585308" w14:textId="42B07A25" w:rsidR="000E166E" w:rsidRDefault="5FAF9DEA" w:rsidP="00095524">
      <w:pPr>
        <w:spacing w:after="120" w:line="360" w:lineRule="auto"/>
        <w:ind w:firstLine="444"/>
      </w:pPr>
      <w:r w:rsidRPr="5937A937">
        <w:rPr>
          <w:rFonts w:cs="Calibri"/>
          <w:color w:val="auto"/>
          <w:sz w:val="22"/>
          <w:szCs w:val="22"/>
          <w:lang w:val="en-GB"/>
        </w:rPr>
        <w:t xml:space="preserve">In this section, </w:t>
      </w:r>
      <w:r w:rsidR="43F9B2F4" w:rsidRPr="5937A937">
        <w:rPr>
          <w:rFonts w:cs="Calibri"/>
          <w:color w:val="auto"/>
          <w:sz w:val="22"/>
          <w:szCs w:val="22"/>
          <w:lang w:val="en-GB"/>
        </w:rPr>
        <w:t>the regulatory framework w</w:t>
      </w:r>
      <w:r w:rsidR="487CAFCD" w:rsidRPr="5937A937">
        <w:rPr>
          <w:rFonts w:cs="Calibri"/>
          <w:color w:val="auto"/>
          <w:sz w:val="22"/>
          <w:szCs w:val="22"/>
          <w:lang w:val="en-GB"/>
        </w:rPr>
        <w:t>ith regard t</w:t>
      </w:r>
      <w:r w:rsidR="3AFFCEE9" w:rsidRPr="5937A937">
        <w:rPr>
          <w:rFonts w:cs="Calibri"/>
          <w:color w:val="auto"/>
          <w:sz w:val="22"/>
          <w:szCs w:val="22"/>
          <w:lang w:val="en-GB"/>
        </w:rPr>
        <w:t xml:space="preserve">o </w:t>
      </w:r>
      <w:r w:rsidR="00136F65">
        <w:rPr>
          <w:rFonts w:cs="Calibri"/>
          <w:color w:val="auto"/>
          <w:sz w:val="22"/>
          <w:szCs w:val="22"/>
          <w:lang w:val="en-GB"/>
        </w:rPr>
        <w:t xml:space="preserve">the </w:t>
      </w:r>
      <w:r w:rsidR="00E83B32">
        <w:rPr>
          <w:rFonts w:cs="Calibri"/>
          <w:color w:val="auto"/>
          <w:sz w:val="22"/>
          <w:szCs w:val="22"/>
          <w:lang w:val="en-GB"/>
        </w:rPr>
        <w:t>European Economic Area (</w:t>
      </w:r>
      <w:r w:rsidR="43F9B2F4" w:rsidRPr="5937A937">
        <w:rPr>
          <w:rFonts w:cs="Calibri"/>
          <w:color w:val="auto"/>
          <w:sz w:val="22"/>
          <w:szCs w:val="22"/>
          <w:lang w:val="en-GB"/>
        </w:rPr>
        <w:t>E</w:t>
      </w:r>
      <w:r w:rsidR="00A3142F">
        <w:rPr>
          <w:rFonts w:cs="Calibri"/>
          <w:color w:val="auto"/>
          <w:sz w:val="22"/>
          <w:szCs w:val="22"/>
          <w:lang w:val="en-GB"/>
        </w:rPr>
        <w:t>EA</w:t>
      </w:r>
      <w:r w:rsidR="00E83B32">
        <w:rPr>
          <w:rFonts w:cs="Calibri"/>
          <w:color w:val="auto"/>
          <w:sz w:val="22"/>
          <w:szCs w:val="22"/>
          <w:lang w:val="en-GB"/>
        </w:rPr>
        <w:t>)</w:t>
      </w:r>
      <w:r w:rsidR="43F9B2F4" w:rsidRPr="5937A937">
        <w:rPr>
          <w:rFonts w:cs="Calibri"/>
          <w:color w:val="auto"/>
          <w:sz w:val="22"/>
          <w:szCs w:val="22"/>
          <w:lang w:val="en-GB"/>
        </w:rPr>
        <w:t xml:space="preserve">  </w:t>
      </w:r>
      <w:r w:rsidR="003870A1">
        <w:rPr>
          <w:rFonts w:cs="Calibri"/>
          <w:color w:val="auto"/>
          <w:sz w:val="22"/>
          <w:szCs w:val="22"/>
          <w:lang w:val="en-GB"/>
        </w:rPr>
        <w:t>is</w:t>
      </w:r>
      <w:r w:rsidR="43F9B2F4" w:rsidRPr="5937A937">
        <w:rPr>
          <w:rFonts w:cs="Calibri"/>
          <w:color w:val="auto"/>
          <w:sz w:val="22"/>
          <w:szCs w:val="22"/>
          <w:lang w:val="en-GB"/>
        </w:rPr>
        <w:t xml:space="preserve"> discussed. Legislative mandates are considered one of the most important</w:t>
      </w:r>
      <w:r w:rsidR="008A2200">
        <w:rPr>
          <w:rFonts w:cs="Calibri"/>
          <w:color w:val="auto"/>
          <w:sz w:val="22"/>
          <w:szCs w:val="22"/>
          <w:lang w:val="en-GB"/>
        </w:rPr>
        <w:t xml:space="preserve"> market</w:t>
      </w:r>
      <w:r w:rsidR="43F9B2F4" w:rsidRPr="5937A937">
        <w:rPr>
          <w:rFonts w:cs="Calibri"/>
          <w:color w:val="auto"/>
          <w:sz w:val="22"/>
          <w:szCs w:val="22"/>
          <w:lang w:val="en-GB"/>
        </w:rPr>
        <w:t xml:space="preserve"> d</w:t>
      </w:r>
      <w:r w:rsidR="009B6923">
        <w:rPr>
          <w:rFonts w:cs="Calibri"/>
          <w:color w:val="auto"/>
          <w:sz w:val="22"/>
          <w:szCs w:val="22"/>
          <w:lang w:val="en-GB"/>
        </w:rPr>
        <w:t>r</w:t>
      </w:r>
      <w:r w:rsidR="43F9B2F4" w:rsidRPr="5937A937">
        <w:rPr>
          <w:rFonts w:cs="Calibri"/>
          <w:color w:val="auto"/>
          <w:sz w:val="22"/>
          <w:szCs w:val="22"/>
          <w:lang w:val="en-GB"/>
        </w:rPr>
        <w:t>ivers for advanced biofuels</w:t>
      </w:r>
      <w:r w:rsidR="74400F8F" w:rsidRPr="5937A937">
        <w:rPr>
          <w:rFonts w:cs="Calibri"/>
          <w:color w:val="auto"/>
          <w:sz w:val="22"/>
          <w:szCs w:val="22"/>
          <w:lang w:val="en-GB"/>
        </w:rPr>
        <w:t xml:space="preserve">, since they </w:t>
      </w:r>
      <w:r w:rsidR="00F846E7">
        <w:rPr>
          <w:rFonts w:cs="Calibri"/>
          <w:color w:val="auto"/>
          <w:sz w:val="22"/>
          <w:szCs w:val="22"/>
          <w:lang w:val="en-GB"/>
        </w:rPr>
        <w:t>might</w:t>
      </w:r>
      <w:r w:rsidR="74400F8F" w:rsidRPr="5937A937">
        <w:rPr>
          <w:rFonts w:cs="Calibri"/>
          <w:color w:val="auto"/>
          <w:sz w:val="22"/>
          <w:szCs w:val="22"/>
          <w:lang w:val="en-GB"/>
        </w:rPr>
        <w:t xml:space="preserve"> shift future market trends</w:t>
      </w:r>
      <w:r w:rsidR="646DA352" w:rsidRPr="5937A937">
        <w:rPr>
          <w:rFonts w:cs="Calibri"/>
          <w:color w:val="auto"/>
          <w:sz w:val="22"/>
          <w:szCs w:val="22"/>
          <w:lang w:val="en-GB"/>
        </w:rPr>
        <w:t>, securing</w:t>
      </w:r>
      <w:r w:rsidR="00CE0DB6">
        <w:rPr>
          <w:rFonts w:cs="Calibri"/>
          <w:color w:val="auto"/>
          <w:sz w:val="22"/>
          <w:szCs w:val="22"/>
          <w:lang w:val="en-GB"/>
        </w:rPr>
        <w:t xml:space="preserve"> or limit</w:t>
      </w:r>
      <w:r w:rsidR="00164F88">
        <w:rPr>
          <w:rFonts w:cs="Calibri"/>
          <w:color w:val="auto"/>
          <w:sz w:val="22"/>
          <w:szCs w:val="22"/>
          <w:lang w:val="en-GB"/>
        </w:rPr>
        <w:t>ing</w:t>
      </w:r>
      <w:r w:rsidR="646DA352" w:rsidRPr="5937A937">
        <w:rPr>
          <w:rFonts w:cs="Calibri"/>
          <w:color w:val="auto"/>
          <w:sz w:val="22"/>
          <w:szCs w:val="22"/>
          <w:lang w:val="en-GB"/>
        </w:rPr>
        <w:t xml:space="preserve"> biofuels</w:t>
      </w:r>
      <w:r w:rsidR="2C6039E0" w:rsidRPr="5937A937">
        <w:rPr>
          <w:rFonts w:cs="Calibri"/>
          <w:color w:val="auto"/>
          <w:sz w:val="22"/>
          <w:szCs w:val="22"/>
          <w:lang w:val="en-GB"/>
        </w:rPr>
        <w:t>’</w:t>
      </w:r>
      <w:r w:rsidR="646DA352" w:rsidRPr="5937A937">
        <w:rPr>
          <w:rFonts w:cs="Calibri"/>
          <w:color w:val="auto"/>
          <w:sz w:val="22"/>
          <w:szCs w:val="22"/>
          <w:lang w:val="en-GB"/>
        </w:rPr>
        <w:t xml:space="preserve"> </w:t>
      </w:r>
      <w:r w:rsidR="009B6923" w:rsidRPr="5937A937">
        <w:rPr>
          <w:rFonts w:cs="Calibri"/>
          <w:color w:val="auto"/>
          <w:sz w:val="22"/>
          <w:szCs w:val="22"/>
          <w:lang w:val="en-GB"/>
        </w:rPr>
        <w:t>share</w:t>
      </w:r>
      <w:r w:rsidR="00B7687D">
        <w:rPr>
          <w:rFonts w:cs="Calibri"/>
          <w:color w:val="auto"/>
          <w:sz w:val="22"/>
          <w:szCs w:val="22"/>
          <w:lang w:val="en-GB"/>
        </w:rPr>
        <w:t xml:space="preserve">. </w:t>
      </w:r>
      <w:r w:rsidR="000E166E">
        <w:rPr>
          <w:rFonts w:cs="Calibri"/>
          <w:color w:val="auto"/>
          <w:sz w:val="22"/>
          <w:szCs w:val="22"/>
          <w:lang w:val="en-GB"/>
        </w:rPr>
        <w:t>However, as it is presented below</w:t>
      </w:r>
      <w:r w:rsidR="003E7AAC">
        <w:rPr>
          <w:rFonts w:cs="Calibri"/>
          <w:color w:val="auto"/>
          <w:sz w:val="22"/>
          <w:szCs w:val="22"/>
          <w:lang w:val="en-GB"/>
        </w:rPr>
        <w:t>,</w:t>
      </w:r>
      <w:r w:rsidR="000E166E">
        <w:rPr>
          <w:rFonts w:cs="Calibri"/>
          <w:color w:val="auto"/>
          <w:sz w:val="22"/>
          <w:szCs w:val="22"/>
          <w:lang w:val="en-GB"/>
        </w:rPr>
        <w:t xml:space="preserve"> </w:t>
      </w:r>
      <w:r w:rsidR="002A0A07">
        <w:rPr>
          <w:rFonts w:cs="Calibri"/>
          <w:color w:val="auto"/>
          <w:sz w:val="22"/>
          <w:szCs w:val="22"/>
          <w:lang w:val="en-GB"/>
        </w:rPr>
        <w:t>the effect of the</w:t>
      </w:r>
      <w:r w:rsidR="000E166E">
        <w:rPr>
          <w:rFonts w:cs="Calibri"/>
          <w:color w:val="auto"/>
          <w:sz w:val="22"/>
          <w:szCs w:val="22"/>
          <w:lang w:val="en-GB"/>
        </w:rPr>
        <w:t xml:space="preserve"> legislatives mandates </w:t>
      </w:r>
      <w:r w:rsidR="002A0A07">
        <w:rPr>
          <w:rFonts w:cs="Calibri"/>
          <w:color w:val="auto"/>
          <w:sz w:val="22"/>
          <w:szCs w:val="22"/>
          <w:lang w:val="en-GB"/>
        </w:rPr>
        <w:t>on</w:t>
      </w:r>
      <w:r w:rsidR="000E166E">
        <w:rPr>
          <w:rFonts w:cs="Calibri"/>
          <w:color w:val="auto"/>
          <w:sz w:val="22"/>
          <w:szCs w:val="22"/>
          <w:lang w:val="en-GB"/>
        </w:rPr>
        <w:t xml:space="preserve"> </w:t>
      </w:r>
      <w:r w:rsidR="00095524">
        <w:rPr>
          <w:rFonts w:cs="Calibri"/>
          <w:color w:val="auto"/>
          <w:sz w:val="22"/>
          <w:szCs w:val="22"/>
          <w:lang w:val="en-GB"/>
        </w:rPr>
        <w:t xml:space="preserve">the maritime sector is </w:t>
      </w:r>
      <w:r w:rsidR="000E166E">
        <w:rPr>
          <w:rFonts w:cs="Calibri"/>
          <w:color w:val="auto"/>
          <w:sz w:val="22"/>
          <w:szCs w:val="22"/>
          <w:lang w:val="en-GB"/>
        </w:rPr>
        <w:t xml:space="preserve"> still in discussion. For the moment</w:t>
      </w:r>
      <w:r w:rsidR="002A0A07">
        <w:rPr>
          <w:rFonts w:cs="Calibri"/>
          <w:color w:val="auto"/>
          <w:sz w:val="22"/>
          <w:szCs w:val="22"/>
          <w:lang w:val="en-GB"/>
        </w:rPr>
        <w:t>,</w:t>
      </w:r>
      <w:r w:rsidR="000E166E">
        <w:rPr>
          <w:rFonts w:cs="Calibri"/>
          <w:color w:val="auto"/>
          <w:sz w:val="22"/>
          <w:szCs w:val="22"/>
          <w:lang w:val="en-GB"/>
        </w:rPr>
        <w:t xml:space="preserve"> they can be considered useful guidelines for the future, which </w:t>
      </w:r>
      <w:r w:rsidR="002A0A07">
        <w:rPr>
          <w:rFonts w:cs="Calibri"/>
          <w:color w:val="auto"/>
          <w:sz w:val="22"/>
          <w:szCs w:val="22"/>
          <w:lang w:val="en-GB"/>
        </w:rPr>
        <w:t xml:space="preserve">are </w:t>
      </w:r>
      <w:r w:rsidR="000E166E">
        <w:rPr>
          <w:rFonts w:cs="Calibri"/>
          <w:color w:val="auto"/>
          <w:sz w:val="22"/>
          <w:szCs w:val="22"/>
          <w:lang w:val="en-GB"/>
        </w:rPr>
        <w:t>constantly</w:t>
      </w:r>
      <w:r w:rsidR="002A0A07">
        <w:rPr>
          <w:rFonts w:cs="Calibri"/>
          <w:color w:val="auto"/>
          <w:sz w:val="22"/>
          <w:szCs w:val="22"/>
          <w:lang w:val="en-GB"/>
        </w:rPr>
        <w:t xml:space="preserve"> under revision</w:t>
      </w:r>
      <w:r w:rsidR="000E166E">
        <w:rPr>
          <w:rFonts w:cs="Calibri"/>
          <w:color w:val="auto"/>
          <w:sz w:val="22"/>
          <w:szCs w:val="22"/>
          <w:lang w:val="en-GB"/>
        </w:rPr>
        <w:t>.</w:t>
      </w:r>
      <w:r w:rsidR="000E166E" w:rsidRPr="005E586D">
        <w:t xml:space="preserve"> </w:t>
      </w:r>
    </w:p>
    <w:p w14:paraId="6480EAC5" w14:textId="2706C511" w:rsidR="00033047" w:rsidRPr="00EC3F5A" w:rsidRDefault="002A0A07" w:rsidP="006B4F51">
      <w:pPr>
        <w:spacing w:after="120" w:line="360" w:lineRule="auto"/>
        <w:ind w:firstLine="720"/>
      </w:pPr>
      <w:r>
        <w:rPr>
          <w:rFonts w:cs="Calibri"/>
          <w:color w:val="auto"/>
          <w:sz w:val="22"/>
          <w:szCs w:val="22"/>
          <w:lang w:val="en-GB"/>
        </w:rPr>
        <w:t>On the social side, it</w:t>
      </w:r>
      <w:r w:rsidR="00164F88">
        <w:rPr>
          <w:rFonts w:cs="Calibri"/>
          <w:color w:val="auto"/>
          <w:sz w:val="22"/>
          <w:szCs w:val="22"/>
          <w:lang w:val="en-GB"/>
        </w:rPr>
        <w:t xml:space="preserve"> is considered that advanced bioenergy can stimulate jobs</w:t>
      </w:r>
      <w:r>
        <w:rPr>
          <w:rFonts w:cs="Calibri"/>
          <w:color w:val="auto"/>
          <w:sz w:val="22"/>
          <w:szCs w:val="22"/>
          <w:lang w:val="en-GB"/>
        </w:rPr>
        <w:t xml:space="preserve"> creation</w:t>
      </w:r>
      <w:r w:rsidR="00164F88">
        <w:rPr>
          <w:rFonts w:cs="Calibri"/>
          <w:color w:val="auto"/>
          <w:sz w:val="22"/>
          <w:szCs w:val="22"/>
          <w:lang w:val="en-GB"/>
        </w:rPr>
        <w:t xml:space="preserve">, local development and </w:t>
      </w:r>
      <w:r>
        <w:rPr>
          <w:rFonts w:cs="Calibri"/>
          <w:color w:val="auto"/>
          <w:sz w:val="22"/>
          <w:szCs w:val="22"/>
          <w:lang w:val="en-GB"/>
        </w:rPr>
        <w:t xml:space="preserve">contribute to energy supply </w:t>
      </w:r>
      <w:r w:rsidR="00164F88">
        <w:rPr>
          <w:rFonts w:cs="Calibri"/>
          <w:color w:val="auto"/>
          <w:sz w:val="22"/>
          <w:szCs w:val="22"/>
          <w:lang w:val="en-GB"/>
        </w:rPr>
        <w:t xml:space="preserve">security. </w:t>
      </w:r>
      <w:r w:rsidR="00546171">
        <w:rPr>
          <w:rFonts w:cs="Calibri"/>
          <w:color w:val="auto"/>
          <w:sz w:val="22"/>
          <w:szCs w:val="22"/>
          <w:lang w:val="en-GB"/>
        </w:rPr>
        <w:t>Feedstock d</w:t>
      </w:r>
      <w:r w:rsidR="00164F88">
        <w:rPr>
          <w:rFonts w:cs="Calibri"/>
          <w:color w:val="auto"/>
          <w:sz w:val="22"/>
          <w:szCs w:val="22"/>
          <w:lang w:val="en-GB"/>
        </w:rPr>
        <w:t xml:space="preserve">iversification  </w:t>
      </w:r>
      <w:r w:rsidR="006B4F51">
        <w:rPr>
          <w:rFonts w:cs="Calibri"/>
          <w:color w:val="auto"/>
          <w:sz w:val="22"/>
          <w:szCs w:val="22"/>
          <w:lang w:val="en-GB"/>
        </w:rPr>
        <w:t xml:space="preserve">can guarantee that fuel demands are met, while triggering industrial competitiveness. Due to these potential impacts public perception together with political regulatory measures strongly influence the development of </w:t>
      </w:r>
      <w:r w:rsidR="000A5C5F">
        <w:rPr>
          <w:rFonts w:cs="Calibri"/>
          <w:color w:val="auto"/>
          <w:sz w:val="22"/>
          <w:szCs w:val="22"/>
          <w:lang w:val="en-GB"/>
        </w:rPr>
        <w:t xml:space="preserve">a </w:t>
      </w:r>
      <w:r w:rsidR="006B4F51">
        <w:rPr>
          <w:rFonts w:cs="Calibri"/>
          <w:color w:val="auto"/>
          <w:sz w:val="22"/>
          <w:szCs w:val="22"/>
          <w:lang w:val="en-GB"/>
        </w:rPr>
        <w:t>bio</w:t>
      </w:r>
      <w:r w:rsidR="000A5C5F">
        <w:rPr>
          <w:rFonts w:cs="Calibri"/>
          <w:color w:val="auto"/>
          <w:sz w:val="22"/>
          <w:szCs w:val="22"/>
          <w:lang w:val="en-GB"/>
        </w:rPr>
        <w:t>-based</w:t>
      </w:r>
      <w:r w:rsidR="006B4F51">
        <w:rPr>
          <w:rFonts w:cs="Calibri"/>
          <w:color w:val="auto"/>
          <w:sz w:val="22"/>
          <w:szCs w:val="22"/>
          <w:lang w:val="en-GB"/>
        </w:rPr>
        <w:t xml:space="preserve"> market</w:t>
      </w:r>
      <w:r w:rsidR="00095524">
        <w:rPr>
          <w:rFonts w:cs="Calibri"/>
          <w:color w:val="auto"/>
          <w:sz w:val="22"/>
          <w:szCs w:val="22"/>
          <w:lang w:val="en-GB"/>
        </w:rPr>
        <w:t xml:space="preserve"> </w:t>
      </w:r>
      <w:r w:rsidR="00095524">
        <w:rPr>
          <w:rFonts w:cs="Calibri"/>
          <w:color w:val="auto"/>
          <w:sz w:val="22"/>
          <w:szCs w:val="22"/>
          <w:lang w:val="en-GB"/>
        </w:rPr>
        <w:fldChar w:fldCharType="begin" w:fldLock="1"/>
      </w:r>
      <w:r w:rsidR="00B0696A">
        <w:rPr>
          <w:rFonts w:cs="Calibri"/>
          <w:color w:val="auto"/>
          <w:sz w:val="22"/>
          <w:szCs w:val="22"/>
          <w:lang w:val="en-GB"/>
        </w:rPr>
        <w:instrText>ADDIN CSL_CITATION {"citationItems":[{"id":"ITEM-1","itemData":{"author":[{"dropping-particle":"","family":"Schröder","given":"Olaf","non-dropping-particle":"","parse-names":false,"suffix":""},{"dropping-particle":"","family":"Krahl","given":"Jürgen","non-dropping-particle":"","parse-names":false,"suffix":""},{"dropping-particle":"","family":"Müller-Langer","given":"Franziska","non-dropping-particle":"","parse-names":false,"suffix":""},{"dropping-particle":"","family":"Schröder","given":"Jörg","non-dropping-particle":"","parse-names":false,"suffix":""},{"dropping-particle":"","family":"Mattheß","given":"Eric","non-dropping-particle":"","parse-names":false,"suffix":""}],"id":"ITEM-1","issue":"October","issued":{"date-parts":[["2018"]]},"title":"Survey on Advanced Fuels for Advanced Engines Project report Funding by IEA Bioenergy Task 39 Norbert Grope","type":"article-journal"},"uris":["http://www.mendeley.com/documents/?uuid=d707d6fa-8780-40fc-8353-2d7ef27026fe"]}],"mendeley":{"formattedCitation":"(Schröder et al., 2018)","plainTextFormattedCitation":"(Schröder et al., 2018)","previouslyFormattedCitation":"(Schröder et al., 2018)"},"properties":{"noteIndex":0},"schema":"https://github.com/citation-style-language/schema/raw/master/csl-citation.json"}</w:instrText>
      </w:r>
      <w:r w:rsidR="00095524">
        <w:rPr>
          <w:rFonts w:cs="Calibri"/>
          <w:color w:val="auto"/>
          <w:sz w:val="22"/>
          <w:szCs w:val="22"/>
          <w:lang w:val="en-GB"/>
        </w:rPr>
        <w:fldChar w:fldCharType="separate"/>
      </w:r>
      <w:r w:rsidR="00095524" w:rsidRPr="00095524">
        <w:rPr>
          <w:rFonts w:cs="Calibri"/>
          <w:noProof/>
          <w:color w:val="auto"/>
          <w:sz w:val="22"/>
          <w:szCs w:val="22"/>
          <w:lang w:val="en-GB"/>
        </w:rPr>
        <w:t>(Schröder et al., 2018)</w:t>
      </w:r>
      <w:r w:rsidR="00095524">
        <w:rPr>
          <w:rFonts w:cs="Calibri"/>
          <w:color w:val="auto"/>
          <w:sz w:val="22"/>
          <w:szCs w:val="22"/>
          <w:lang w:val="en-GB"/>
        </w:rPr>
        <w:fldChar w:fldCharType="end"/>
      </w:r>
      <w:r w:rsidR="006B4F51" w:rsidRPr="00EC3F5A">
        <w:t xml:space="preserve">. </w:t>
      </w:r>
    </w:p>
    <w:p w14:paraId="26935197" w14:textId="295F56B7" w:rsidR="00414443" w:rsidRPr="00C2541A" w:rsidRDefault="006B4F51" w:rsidP="00AA160E">
      <w:pPr>
        <w:spacing w:after="120" w:line="360" w:lineRule="auto"/>
        <w:ind w:firstLine="720"/>
        <w:rPr>
          <w:sz w:val="22"/>
          <w:szCs w:val="22"/>
        </w:rPr>
      </w:pPr>
      <w:r w:rsidRPr="00C2541A">
        <w:rPr>
          <w:sz w:val="22"/>
          <w:szCs w:val="22"/>
        </w:rPr>
        <w:t>In this sense, biofuel market development</w:t>
      </w:r>
      <w:r w:rsidR="000A5C5F" w:rsidRPr="00C2541A">
        <w:rPr>
          <w:sz w:val="22"/>
          <w:szCs w:val="22"/>
        </w:rPr>
        <w:t xml:space="preserve"> is equally dependent </w:t>
      </w:r>
      <w:r w:rsidRPr="00C2541A">
        <w:rPr>
          <w:sz w:val="22"/>
          <w:szCs w:val="22"/>
        </w:rPr>
        <w:t xml:space="preserve">on technology </w:t>
      </w:r>
      <w:r w:rsidR="000A5C5F" w:rsidRPr="00C2541A">
        <w:rPr>
          <w:sz w:val="22"/>
          <w:szCs w:val="22"/>
        </w:rPr>
        <w:t xml:space="preserve">and </w:t>
      </w:r>
      <w:r w:rsidRPr="00C2541A">
        <w:rPr>
          <w:sz w:val="22"/>
          <w:szCs w:val="22"/>
        </w:rPr>
        <w:t xml:space="preserve"> </w:t>
      </w:r>
      <w:r w:rsidR="000A5C5F" w:rsidRPr="00C2541A">
        <w:rPr>
          <w:sz w:val="22"/>
          <w:szCs w:val="22"/>
        </w:rPr>
        <w:t xml:space="preserve">on </w:t>
      </w:r>
      <w:r w:rsidRPr="00C2541A">
        <w:rPr>
          <w:sz w:val="22"/>
          <w:szCs w:val="22"/>
        </w:rPr>
        <w:t xml:space="preserve">the socio-political and environmental context. </w:t>
      </w:r>
      <w:r w:rsidR="00C0391E" w:rsidRPr="00C2541A">
        <w:rPr>
          <w:sz w:val="22"/>
          <w:szCs w:val="22"/>
        </w:rPr>
        <w:t>Consequently, the limited aliment of traditional biofuels to these aspects is reflected in the observed preference of social-political framework towards advanced biofuels</w:t>
      </w:r>
      <w:r w:rsidR="00AA160E" w:rsidRPr="00C2541A">
        <w:rPr>
          <w:sz w:val="22"/>
          <w:szCs w:val="22"/>
        </w:rPr>
        <w:t xml:space="preserve"> </w:t>
      </w:r>
      <w:r w:rsidR="005E586D" w:rsidRPr="00C2541A">
        <w:rPr>
          <w:sz w:val="22"/>
          <w:szCs w:val="22"/>
        </w:rPr>
        <w:fldChar w:fldCharType="begin" w:fldLock="1"/>
      </w:r>
      <w:r w:rsidR="00095524" w:rsidRPr="00C2541A">
        <w:rPr>
          <w:sz w:val="22"/>
          <w:szCs w:val="22"/>
        </w:rPr>
        <w:instrText>ADDIN CSL_CITATION {"citationItems":[{"id":"ITEM-1","itemData":{"DOI":"10.3390/su10114016","author":[{"dropping-particle":"Di","family":"Lucia","given":"Lorenzo","non-dropping-particle":"","parse-names":false,"suffix":""},{"dropping-particle":"","family":"Ribeiro","given":"Barbara","non-dropping-particle":"","parse-names":false,"suffix":""}],"id":"ITEM-1","issued":{"date-parts":[["2018"]]},"page":"1-15","title":"Enacting Responsibilities in Landscape Design : The Case of Advanced Biofuels","type":"article-journal"},"uris":["http://www.mendeley.com/documents/?uuid=956beb4f-d477-4215-b2cd-fc8c97ffd0c2"]}],"mendeley":{"formattedCitation":"(Lucia &amp; Ribeiro, 2018)","plainTextFormattedCitation":"(Lucia &amp; Ribeiro, 2018)","previouslyFormattedCitation":"(Lucia &amp; Ribeiro, 2018)"},"properties":{"noteIndex":0},"schema":"https://github.com/citation-style-language/schema/raw/master/csl-citation.json"}</w:instrText>
      </w:r>
      <w:r w:rsidR="005E586D" w:rsidRPr="00C2541A">
        <w:rPr>
          <w:sz w:val="22"/>
          <w:szCs w:val="22"/>
        </w:rPr>
        <w:fldChar w:fldCharType="separate"/>
      </w:r>
      <w:r w:rsidR="005E586D" w:rsidRPr="00C2541A">
        <w:rPr>
          <w:noProof/>
          <w:sz w:val="22"/>
          <w:szCs w:val="22"/>
        </w:rPr>
        <w:t>(Lucia &amp; Ribeiro, 2018)</w:t>
      </w:r>
      <w:r w:rsidR="005E586D" w:rsidRPr="00C2541A">
        <w:rPr>
          <w:sz w:val="22"/>
          <w:szCs w:val="22"/>
        </w:rPr>
        <w:fldChar w:fldCharType="end"/>
      </w:r>
      <w:r w:rsidR="005E586D" w:rsidRPr="00C2541A">
        <w:rPr>
          <w:sz w:val="22"/>
          <w:szCs w:val="22"/>
        </w:rPr>
        <w:t xml:space="preserve">. </w:t>
      </w:r>
    </w:p>
    <w:p w14:paraId="7DF99AC4" w14:textId="77777777" w:rsidR="006A72D0" w:rsidRPr="00BA4A18" w:rsidRDefault="006A72D0" w:rsidP="006A72D0">
      <w:pPr>
        <w:spacing w:after="120" w:line="360" w:lineRule="auto"/>
        <w:ind w:firstLine="720"/>
      </w:pPr>
    </w:p>
    <w:p w14:paraId="1CCCB9DF" w14:textId="422E359C" w:rsidR="00017D36" w:rsidRDefault="00034A0A" w:rsidP="005D6854">
      <w:pPr>
        <w:pStyle w:val="Heading2"/>
      </w:pPr>
      <w:bookmarkStart w:id="11" w:name="_Toc85627858"/>
      <w:r>
        <w:t>Regulatory Frameworks</w:t>
      </w:r>
      <w:bookmarkEnd w:id="11"/>
    </w:p>
    <w:p w14:paraId="1192CB49" w14:textId="2592BCFC" w:rsidR="362A3EC5" w:rsidRDefault="362A3EC5" w:rsidP="362A3EC5">
      <w:pPr>
        <w:rPr>
          <w:szCs w:val="21"/>
        </w:rPr>
      </w:pPr>
    </w:p>
    <w:p w14:paraId="6D85BE4C" w14:textId="0FE733E5" w:rsidR="005A7A2C" w:rsidRDefault="5EA34800" w:rsidP="008A2200">
      <w:pPr>
        <w:spacing w:after="120" w:line="360" w:lineRule="auto"/>
        <w:ind w:firstLine="720"/>
        <w:rPr>
          <w:rFonts w:cs="Calibri"/>
          <w:color w:val="auto"/>
          <w:sz w:val="22"/>
          <w:szCs w:val="22"/>
          <w:lang w:val="en-GB"/>
        </w:rPr>
      </w:pPr>
      <w:r w:rsidRPr="5937A937">
        <w:rPr>
          <w:rFonts w:cs="Calibri"/>
          <w:color w:val="auto"/>
          <w:sz w:val="22"/>
          <w:szCs w:val="22"/>
          <w:lang w:val="en-GB"/>
        </w:rPr>
        <w:t xml:space="preserve">Regulatory frameworks play an important role in </w:t>
      </w:r>
      <w:r w:rsidR="234B6F1D" w:rsidRPr="5937A937">
        <w:rPr>
          <w:rFonts w:cs="Calibri"/>
          <w:color w:val="auto"/>
          <w:sz w:val="22"/>
          <w:szCs w:val="22"/>
          <w:lang w:val="en-GB"/>
        </w:rPr>
        <w:t>setting targets</w:t>
      </w:r>
      <w:r w:rsidRPr="5937A937">
        <w:rPr>
          <w:rFonts w:cs="Calibri"/>
          <w:color w:val="auto"/>
          <w:sz w:val="22"/>
          <w:szCs w:val="22"/>
          <w:lang w:val="en-GB"/>
        </w:rPr>
        <w:t xml:space="preserve"> and imposing restrictions. They are key to stablish the criteria that the fuels should meet and have a large influence in the market </w:t>
      </w:r>
      <w:r w:rsidR="005A7A2C" w:rsidRPr="5937A937">
        <w:rPr>
          <w:rFonts w:cs="Calibri"/>
          <w:color w:val="auto"/>
          <w:sz w:val="22"/>
          <w:szCs w:val="22"/>
          <w:lang w:val="en-GB"/>
        </w:rPr>
        <w:fldChar w:fldCharType="begin" w:fldLock="1"/>
      </w:r>
      <w:r w:rsidR="005A7A2C" w:rsidRPr="5937A937">
        <w:rPr>
          <w:rFonts w:cs="Calibri"/>
          <w:color w:val="auto"/>
          <w:sz w:val="22"/>
          <w:szCs w:val="22"/>
          <w:lang w:val="en-GB"/>
        </w:rPr>
        <w:instrText>ADDIN CSL_CITATION {"citationItems":[{"id":"ITEM-1","itemData":{"author":[{"dropping-particle":"","family":"EurObserv'ER","given":"","non-dropping-particle":"","parse-names":false,"suffix":""}],"id":"ITEM-1","issue":"September 2020","issued":{"date-parts":[["2019"]]},"title":"Boifuels Barometer","type":"report","volume":"2019"},"uris":["http://www.mendeley.com/documents/?uuid=081c552c-8dba-4d66-9b4a-841375b232a3"]},{"id":"ITEM-2","itemData":{"DOI":"10.1016/j.esr.2021.100633","ISSN":"2211467X","abstract":"Advanced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Reviews","id":"ITEM-2","issue":"March","issued":{"date-parts":[["2021"]]},"page":"100633","publisher":"Elsevier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uptake","type":"article-journal","volume":"34"},"uris":["http://www.mendeley.com/documents/?uuid=e0b8486c-e671-49c6-b25c-f2ad745dcfe0"]}],"mendeley":{"formattedCitation":"(EurObserv’ER, 2019; Panoutsou et al., 2021)","plainTextFormattedCitation":"(EurObserv’ER, 2019; Panoutsou et al., 2021)","previouslyFormattedCitation":"(EurObserv’ER, 2019; Panoutsou et al., 2021)"},"properties":{"noteIndex":0},"schema":"https://github.com/citation-style-language/schema/raw/master/csl-citation.json"}</w:instrText>
      </w:r>
      <w:r w:rsidR="005A7A2C" w:rsidRPr="5937A937">
        <w:rPr>
          <w:rFonts w:cs="Calibri"/>
          <w:color w:val="auto"/>
          <w:sz w:val="22"/>
          <w:szCs w:val="22"/>
          <w:lang w:val="en-GB"/>
        </w:rPr>
        <w:fldChar w:fldCharType="separate"/>
      </w:r>
      <w:r w:rsidRPr="5937A937">
        <w:rPr>
          <w:rFonts w:cs="Calibri"/>
          <w:noProof/>
          <w:color w:val="auto"/>
          <w:sz w:val="22"/>
          <w:szCs w:val="22"/>
          <w:lang w:val="en-GB"/>
        </w:rPr>
        <w:t>(EurObserv’ER, 2019; Panoutsou et al., 2021)</w:t>
      </w:r>
      <w:r w:rsidR="005A7A2C" w:rsidRPr="5937A937">
        <w:rPr>
          <w:rFonts w:cs="Calibri"/>
          <w:color w:val="auto"/>
          <w:sz w:val="22"/>
          <w:szCs w:val="22"/>
          <w:lang w:val="en-GB"/>
        </w:rPr>
        <w:fldChar w:fldCharType="end"/>
      </w:r>
      <w:r w:rsidRPr="5937A937">
        <w:rPr>
          <w:rFonts w:cs="Calibri"/>
          <w:color w:val="auto"/>
          <w:sz w:val="22"/>
          <w:szCs w:val="22"/>
          <w:lang w:val="en-GB"/>
        </w:rPr>
        <w:t xml:space="preserve">. </w:t>
      </w:r>
      <w:r w:rsidR="7128EE21" w:rsidRPr="5937A937">
        <w:rPr>
          <w:rFonts w:cs="Calibri"/>
          <w:color w:val="auto"/>
          <w:sz w:val="22"/>
          <w:szCs w:val="22"/>
          <w:lang w:val="en-GB"/>
        </w:rPr>
        <w:t>Although a</w:t>
      </w:r>
      <w:r w:rsidRPr="5937A937">
        <w:rPr>
          <w:rFonts w:cs="Calibri"/>
          <w:color w:val="auto"/>
          <w:sz w:val="22"/>
          <w:szCs w:val="22"/>
          <w:lang w:val="en-GB"/>
        </w:rPr>
        <w:t xml:space="preserve">dvanced biofuels have a large potential to </w:t>
      </w:r>
      <w:r w:rsidR="1C8B5E9C" w:rsidRPr="5937A937">
        <w:rPr>
          <w:rFonts w:cs="Calibri"/>
          <w:color w:val="auto"/>
          <w:sz w:val="22"/>
          <w:szCs w:val="22"/>
          <w:lang w:val="en-GB"/>
        </w:rPr>
        <w:t>mitigate</w:t>
      </w:r>
      <w:r w:rsidR="009404A9">
        <w:rPr>
          <w:rFonts w:cs="Calibri"/>
          <w:color w:val="auto"/>
          <w:sz w:val="22"/>
          <w:szCs w:val="22"/>
          <w:lang w:val="en-GB"/>
        </w:rPr>
        <w:t xml:space="preserve"> CO</w:t>
      </w:r>
      <w:r w:rsidR="009404A9">
        <w:rPr>
          <w:rFonts w:cs="Calibri"/>
          <w:color w:val="auto"/>
          <w:sz w:val="22"/>
          <w:szCs w:val="22"/>
          <w:vertAlign w:val="subscript"/>
          <w:lang w:val="en-GB"/>
        </w:rPr>
        <w:t>2</w:t>
      </w:r>
      <w:r w:rsidRPr="5937A937">
        <w:rPr>
          <w:rFonts w:cs="Calibri"/>
          <w:color w:val="auto"/>
          <w:sz w:val="22"/>
          <w:szCs w:val="22"/>
          <w:lang w:val="en-GB"/>
        </w:rPr>
        <w:t xml:space="preserve"> emissions, their production </w:t>
      </w:r>
      <w:r w:rsidR="009404A9">
        <w:rPr>
          <w:rFonts w:cs="Calibri"/>
          <w:color w:val="auto"/>
          <w:sz w:val="22"/>
          <w:szCs w:val="22"/>
          <w:lang w:val="en-GB"/>
        </w:rPr>
        <w:t>is</w:t>
      </w:r>
      <w:r w:rsidR="0BE91AA4" w:rsidRPr="5937A937">
        <w:rPr>
          <w:rFonts w:cs="Calibri"/>
          <w:color w:val="auto"/>
          <w:sz w:val="22"/>
          <w:szCs w:val="22"/>
          <w:lang w:val="en-GB"/>
        </w:rPr>
        <w:t xml:space="preserve"> usually</w:t>
      </w:r>
      <w:r w:rsidRPr="5937A937">
        <w:rPr>
          <w:rFonts w:cs="Calibri"/>
          <w:color w:val="auto"/>
          <w:sz w:val="22"/>
          <w:szCs w:val="22"/>
          <w:lang w:val="en-GB"/>
        </w:rPr>
        <w:t xml:space="preserve"> </w:t>
      </w:r>
      <w:r w:rsidR="6794B75C" w:rsidRPr="5937A937">
        <w:rPr>
          <w:rFonts w:cs="Calibri"/>
          <w:color w:val="auto"/>
          <w:sz w:val="22"/>
          <w:szCs w:val="22"/>
          <w:lang w:val="en-GB"/>
        </w:rPr>
        <w:t xml:space="preserve">more expensive than the fossil </w:t>
      </w:r>
      <w:r w:rsidR="00F130DE">
        <w:rPr>
          <w:rFonts w:cs="Calibri"/>
          <w:color w:val="auto"/>
          <w:sz w:val="22"/>
          <w:szCs w:val="22"/>
          <w:lang w:val="en-GB"/>
        </w:rPr>
        <w:t>equivalent</w:t>
      </w:r>
      <w:r w:rsidR="6794B75C" w:rsidRPr="5937A937">
        <w:rPr>
          <w:rFonts w:cs="Calibri"/>
          <w:color w:val="auto"/>
          <w:sz w:val="22"/>
          <w:szCs w:val="22"/>
          <w:lang w:val="en-GB"/>
        </w:rPr>
        <w:t xml:space="preserve"> due to the</w:t>
      </w:r>
      <w:r w:rsidRPr="5937A937">
        <w:rPr>
          <w:rFonts w:cs="Calibri"/>
          <w:color w:val="auto"/>
          <w:sz w:val="22"/>
          <w:szCs w:val="22"/>
          <w:lang w:val="en-GB"/>
        </w:rPr>
        <w:t xml:space="preserve"> low</w:t>
      </w:r>
      <w:r w:rsidR="000A5C5F">
        <w:rPr>
          <w:rFonts w:cs="Calibri"/>
          <w:color w:val="auto"/>
          <w:sz w:val="22"/>
          <w:szCs w:val="22"/>
          <w:lang w:val="en-GB"/>
        </w:rPr>
        <w:t>er technology maturity</w:t>
      </w:r>
      <w:r w:rsidRPr="5937A937">
        <w:rPr>
          <w:rFonts w:cs="Calibri"/>
          <w:color w:val="auto"/>
          <w:sz w:val="22"/>
          <w:szCs w:val="22"/>
          <w:lang w:val="en-GB"/>
        </w:rPr>
        <w:t xml:space="preserve"> and scale. Market interventions</w:t>
      </w:r>
      <w:r w:rsidR="55841C70" w:rsidRPr="5937A937">
        <w:rPr>
          <w:rFonts w:cs="Calibri"/>
          <w:color w:val="auto"/>
          <w:sz w:val="22"/>
          <w:szCs w:val="22"/>
          <w:lang w:val="en-GB"/>
        </w:rPr>
        <w:t>, therefore,</w:t>
      </w:r>
      <w:r w:rsidRPr="5937A937">
        <w:rPr>
          <w:rFonts w:cs="Calibri"/>
          <w:color w:val="auto"/>
          <w:sz w:val="22"/>
          <w:szCs w:val="22"/>
          <w:lang w:val="en-GB"/>
        </w:rPr>
        <w:t xml:space="preserve"> are</w:t>
      </w:r>
      <w:r w:rsidR="5CEDD018" w:rsidRPr="5937A937">
        <w:rPr>
          <w:rFonts w:cs="Calibri"/>
          <w:color w:val="auto"/>
          <w:sz w:val="22"/>
          <w:szCs w:val="22"/>
          <w:lang w:val="en-GB"/>
        </w:rPr>
        <w:t xml:space="preserve"> essential</w:t>
      </w:r>
      <w:r w:rsidRPr="5937A937">
        <w:rPr>
          <w:rFonts w:cs="Calibri"/>
          <w:color w:val="auto"/>
          <w:sz w:val="22"/>
          <w:szCs w:val="22"/>
          <w:lang w:val="en-GB"/>
        </w:rPr>
        <w:t xml:space="preserve"> to </w:t>
      </w:r>
      <w:r w:rsidR="4EED00CD" w:rsidRPr="5937A937">
        <w:rPr>
          <w:rFonts w:cs="Calibri"/>
          <w:color w:val="auto"/>
          <w:sz w:val="22"/>
          <w:szCs w:val="22"/>
          <w:lang w:val="en-GB"/>
        </w:rPr>
        <w:t>leverage the</w:t>
      </w:r>
      <w:r w:rsidRPr="5937A937">
        <w:rPr>
          <w:rFonts w:cs="Calibri"/>
          <w:color w:val="auto"/>
          <w:sz w:val="22"/>
          <w:szCs w:val="22"/>
          <w:lang w:val="en-GB"/>
        </w:rPr>
        <w:t xml:space="preserve"> use and acceptance </w:t>
      </w:r>
      <w:r w:rsidR="212D1D87" w:rsidRPr="5937A937">
        <w:rPr>
          <w:rFonts w:cs="Calibri"/>
          <w:color w:val="auto"/>
          <w:sz w:val="22"/>
          <w:szCs w:val="22"/>
          <w:lang w:val="en-GB"/>
        </w:rPr>
        <w:t>of advanced fuels</w:t>
      </w:r>
      <w:r w:rsidR="00B159B4">
        <w:rPr>
          <w:rFonts w:cs="Calibri"/>
          <w:color w:val="auto"/>
          <w:sz w:val="22"/>
          <w:szCs w:val="22"/>
          <w:lang w:val="en-GB"/>
        </w:rPr>
        <w:t xml:space="preserve"> </w:t>
      </w:r>
      <w:r w:rsidR="00B159B4">
        <w:rPr>
          <w:rFonts w:cs="Calibri"/>
          <w:color w:val="auto"/>
          <w:sz w:val="22"/>
          <w:szCs w:val="22"/>
          <w:lang w:val="en-GB"/>
        </w:rPr>
        <w:fldChar w:fldCharType="begin" w:fldLock="1"/>
      </w:r>
      <w:r w:rsidR="00486E07">
        <w:rPr>
          <w:rFonts w:cs="Calibri"/>
          <w:color w:val="auto"/>
          <w:sz w:val="22"/>
          <w:szCs w:val="22"/>
          <w:lang w:val="en-GB"/>
        </w:rPr>
        <w:instrText>ADDIN CSL_CITATION {"citationItems":[{"id":"ITEM-1","itemData":{"DOI":"10.1016/j.esr.2021.100633","ISSN":"2211467X","abstract":"Advanced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Reviews","id":"ITEM-1","issue":"March","issued":{"date-parts":[["2021"]]},"page":"100633","publisher":"Elsevier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uptake","type":"article-journal","volume":"34"},"uris":["http://www.mendeley.com/documents/?uuid=e0b8486c-e671-49c6-b25c-f2ad745dcfe0"]}],"mendeley":{"formattedCitation":"(Panoutsou et al., 2021)","plainTextFormattedCitation":"(Panoutsou et al., 2021)","previouslyFormattedCitation":"(Panoutsou et al., 2021)"},"properties":{"noteIndex":0},"schema":"https://github.com/citation-style-language/schema/raw/master/csl-citation.json"}</w:instrText>
      </w:r>
      <w:r w:rsidR="00B159B4">
        <w:rPr>
          <w:rFonts w:cs="Calibri"/>
          <w:color w:val="auto"/>
          <w:sz w:val="22"/>
          <w:szCs w:val="22"/>
          <w:lang w:val="en-GB"/>
        </w:rPr>
        <w:fldChar w:fldCharType="separate"/>
      </w:r>
      <w:r w:rsidR="00B159B4" w:rsidRPr="00B159B4">
        <w:rPr>
          <w:rFonts w:cs="Calibri"/>
          <w:noProof/>
          <w:color w:val="auto"/>
          <w:sz w:val="22"/>
          <w:szCs w:val="22"/>
          <w:lang w:val="en-GB"/>
        </w:rPr>
        <w:t>(Panoutsou et al., 2021)</w:t>
      </w:r>
      <w:r w:rsidR="00B159B4">
        <w:rPr>
          <w:rFonts w:cs="Calibri"/>
          <w:color w:val="auto"/>
          <w:sz w:val="22"/>
          <w:szCs w:val="22"/>
          <w:lang w:val="en-GB"/>
        </w:rPr>
        <w:fldChar w:fldCharType="end"/>
      </w:r>
      <w:r w:rsidRPr="5937A937">
        <w:rPr>
          <w:rFonts w:cs="Calibri"/>
          <w:color w:val="auto"/>
          <w:sz w:val="22"/>
          <w:szCs w:val="22"/>
          <w:lang w:val="en-GB"/>
        </w:rPr>
        <w:t>. In the case of IDEALFUEL’s B</w:t>
      </w:r>
      <w:r w:rsidR="0067451E">
        <w:rPr>
          <w:rFonts w:cs="Calibri"/>
          <w:color w:val="auto"/>
          <w:sz w:val="22"/>
          <w:szCs w:val="22"/>
          <w:lang w:val="en-GB"/>
        </w:rPr>
        <w:t>io</w:t>
      </w:r>
      <w:r w:rsidRPr="5937A937">
        <w:rPr>
          <w:rFonts w:cs="Calibri"/>
          <w:color w:val="auto"/>
          <w:sz w:val="22"/>
          <w:szCs w:val="22"/>
          <w:lang w:val="en-GB"/>
        </w:rPr>
        <w:t xml:space="preserve">-HFO, international regulation set by </w:t>
      </w:r>
      <w:r w:rsidR="7E97BF34" w:rsidRPr="5937A937">
        <w:rPr>
          <w:rFonts w:cs="Calibri"/>
          <w:color w:val="auto"/>
          <w:sz w:val="22"/>
          <w:szCs w:val="22"/>
          <w:lang w:val="en-GB"/>
        </w:rPr>
        <w:t>the International</w:t>
      </w:r>
      <w:r w:rsidRPr="5937A937">
        <w:rPr>
          <w:rFonts w:cs="Calibri"/>
          <w:color w:val="auto"/>
          <w:sz w:val="22"/>
          <w:szCs w:val="22"/>
          <w:lang w:val="en-GB"/>
        </w:rPr>
        <w:t xml:space="preserve"> Maritime Organization (IMO) and the EU</w:t>
      </w:r>
      <w:r w:rsidR="48B00A3E" w:rsidRPr="5937A937">
        <w:rPr>
          <w:rFonts w:cs="Calibri"/>
          <w:color w:val="auto"/>
          <w:sz w:val="22"/>
          <w:szCs w:val="22"/>
          <w:lang w:val="en-GB"/>
        </w:rPr>
        <w:t xml:space="preserve"> directives </w:t>
      </w:r>
      <w:r w:rsidR="47F12A8A" w:rsidRPr="5937A937">
        <w:rPr>
          <w:rFonts w:cs="Calibri"/>
          <w:color w:val="auto"/>
          <w:sz w:val="22"/>
          <w:szCs w:val="22"/>
          <w:lang w:val="en-GB"/>
        </w:rPr>
        <w:t>will have a large influence on</w:t>
      </w:r>
      <w:r w:rsidRPr="5937A937">
        <w:rPr>
          <w:rFonts w:cs="Calibri"/>
          <w:color w:val="auto"/>
          <w:sz w:val="22"/>
          <w:szCs w:val="22"/>
          <w:lang w:val="en-GB"/>
        </w:rPr>
        <w:t xml:space="preserve"> market opportunities.</w:t>
      </w:r>
    </w:p>
    <w:p w14:paraId="0C41A473" w14:textId="77777777" w:rsidR="003870A1" w:rsidRPr="00742DB3" w:rsidRDefault="003870A1" w:rsidP="008A2200">
      <w:pPr>
        <w:spacing w:after="120" w:line="360" w:lineRule="auto"/>
        <w:ind w:firstLine="720"/>
        <w:rPr>
          <w:rFonts w:cs="Calibri"/>
          <w:color w:val="auto"/>
          <w:sz w:val="22"/>
          <w:szCs w:val="22"/>
          <w:lang w:val="en-GB"/>
        </w:rPr>
      </w:pPr>
    </w:p>
    <w:p w14:paraId="0DE58F0A" w14:textId="7652FBC2" w:rsidR="005A7A2C" w:rsidRDefault="005A7A2C" w:rsidP="00DC3405">
      <w:pPr>
        <w:pStyle w:val="Heading3"/>
      </w:pPr>
      <w:bookmarkStart w:id="12" w:name="_Toc85627859"/>
      <w:r>
        <w:t>International Convention for the Prevention of Pollution from Ships (MARPOL)</w:t>
      </w:r>
      <w:bookmarkEnd w:id="12"/>
    </w:p>
    <w:p w14:paraId="68913850" w14:textId="77777777" w:rsidR="00B30734" w:rsidRPr="00B30734" w:rsidRDefault="00B30734" w:rsidP="00B30734">
      <w:pPr>
        <w:rPr>
          <w:lang w:val="en-GB"/>
        </w:rPr>
      </w:pPr>
    </w:p>
    <w:p w14:paraId="2330C897" w14:textId="33145692" w:rsidR="005A7A2C" w:rsidRPr="00D65853" w:rsidRDefault="5EA34800" w:rsidP="0011532E">
      <w:pPr>
        <w:spacing w:after="120" w:line="360" w:lineRule="auto"/>
        <w:ind w:firstLine="709"/>
        <w:rPr>
          <w:rFonts w:cs="Calibri"/>
          <w:color w:val="auto"/>
          <w:sz w:val="22"/>
          <w:szCs w:val="22"/>
          <w:lang w:val="en-GB"/>
        </w:rPr>
      </w:pPr>
      <w:r w:rsidRPr="5937A937">
        <w:rPr>
          <w:rFonts w:cs="Calibri"/>
          <w:color w:val="auto"/>
          <w:sz w:val="22"/>
          <w:szCs w:val="22"/>
          <w:lang w:val="en-GB"/>
        </w:rPr>
        <w:t xml:space="preserve">Due to its international </w:t>
      </w:r>
      <w:r w:rsidR="7101A2C9" w:rsidRPr="5937A937">
        <w:rPr>
          <w:rFonts w:cs="Calibri"/>
          <w:color w:val="auto"/>
          <w:sz w:val="22"/>
          <w:szCs w:val="22"/>
          <w:lang w:val="en-GB"/>
        </w:rPr>
        <w:t>character</w:t>
      </w:r>
      <w:r w:rsidRPr="5937A937">
        <w:rPr>
          <w:rFonts w:cs="Calibri"/>
          <w:color w:val="auto"/>
          <w:sz w:val="22"/>
          <w:szCs w:val="22"/>
          <w:lang w:val="en-GB"/>
        </w:rPr>
        <w:t xml:space="preserve">, emissions </w:t>
      </w:r>
      <w:r w:rsidR="0F80C5A7" w:rsidRPr="5937A937">
        <w:rPr>
          <w:rFonts w:cs="Calibri"/>
          <w:color w:val="auto"/>
          <w:sz w:val="22"/>
          <w:szCs w:val="22"/>
          <w:lang w:val="en-GB"/>
        </w:rPr>
        <w:t xml:space="preserve">coming </w:t>
      </w:r>
      <w:r w:rsidRPr="5937A937">
        <w:rPr>
          <w:rFonts w:cs="Calibri"/>
          <w:color w:val="auto"/>
          <w:sz w:val="22"/>
          <w:szCs w:val="22"/>
          <w:lang w:val="en-GB"/>
        </w:rPr>
        <w:t xml:space="preserve">from the shipping </w:t>
      </w:r>
      <w:r w:rsidR="0973AE6F" w:rsidRPr="5937A937">
        <w:rPr>
          <w:rFonts w:cs="Calibri"/>
          <w:color w:val="auto"/>
          <w:sz w:val="22"/>
          <w:szCs w:val="22"/>
          <w:lang w:val="en-GB"/>
        </w:rPr>
        <w:t>activities</w:t>
      </w:r>
      <w:r w:rsidRPr="5937A937">
        <w:rPr>
          <w:rFonts w:cs="Calibri"/>
          <w:color w:val="auto"/>
          <w:sz w:val="22"/>
          <w:szCs w:val="22"/>
          <w:lang w:val="en-GB"/>
        </w:rPr>
        <w:t xml:space="preserve"> are not attributed to any nation. </w:t>
      </w:r>
      <w:r w:rsidR="009404A9">
        <w:rPr>
          <w:rFonts w:cs="Calibri"/>
          <w:color w:val="auto"/>
          <w:sz w:val="22"/>
          <w:szCs w:val="22"/>
          <w:lang w:val="en-GB"/>
        </w:rPr>
        <w:t>T</w:t>
      </w:r>
      <w:r w:rsidRPr="5937A937">
        <w:rPr>
          <w:rFonts w:cs="Calibri"/>
          <w:color w:val="auto"/>
          <w:sz w:val="22"/>
          <w:szCs w:val="22"/>
          <w:lang w:val="en-GB"/>
        </w:rPr>
        <w:t xml:space="preserve">he responsibility </w:t>
      </w:r>
      <w:r w:rsidR="00E740F8">
        <w:rPr>
          <w:rFonts w:cs="Calibri"/>
          <w:color w:val="auto"/>
          <w:sz w:val="22"/>
          <w:szCs w:val="22"/>
          <w:lang w:val="en-GB"/>
        </w:rPr>
        <w:t>for</w:t>
      </w:r>
      <w:r w:rsidRPr="5937A937">
        <w:rPr>
          <w:rFonts w:cs="Calibri"/>
          <w:color w:val="auto"/>
          <w:sz w:val="22"/>
          <w:szCs w:val="22"/>
          <w:lang w:val="en-GB"/>
        </w:rPr>
        <w:t xml:space="preserve"> governing GHG emissions fall</w:t>
      </w:r>
      <w:r w:rsidR="00A00171">
        <w:rPr>
          <w:rFonts w:cs="Calibri"/>
          <w:color w:val="auto"/>
          <w:sz w:val="22"/>
          <w:szCs w:val="22"/>
          <w:lang w:val="en-GB"/>
        </w:rPr>
        <w:t>s</w:t>
      </w:r>
      <w:r w:rsidRPr="5937A937">
        <w:rPr>
          <w:rFonts w:cs="Calibri"/>
          <w:color w:val="auto"/>
          <w:sz w:val="22"/>
          <w:szCs w:val="22"/>
          <w:lang w:val="en-GB"/>
        </w:rPr>
        <w:t xml:space="preserve"> under the United Nations Framework Convention on Climate Change (UNFCC), particularly </w:t>
      </w:r>
      <w:r w:rsidR="2D2744F0" w:rsidRPr="5937A937">
        <w:rPr>
          <w:rFonts w:cs="Calibri"/>
          <w:color w:val="auto"/>
          <w:sz w:val="22"/>
          <w:szCs w:val="22"/>
          <w:lang w:val="en-GB"/>
        </w:rPr>
        <w:t xml:space="preserve">in </w:t>
      </w:r>
      <w:r w:rsidRPr="5937A937">
        <w:rPr>
          <w:rFonts w:cs="Calibri"/>
          <w:color w:val="auto"/>
          <w:sz w:val="22"/>
          <w:szCs w:val="22"/>
          <w:lang w:val="en-GB"/>
        </w:rPr>
        <w:t>the</w:t>
      </w:r>
      <w:r w:rsidR="00AC5121">
        <w:rPr>
          <w:rFonts w:cs="Calibri"/>
          <w:color w:val="auto"/>
          <w:sz w:val="22"/>
          <w:szCs w:val="22"/>
          <w:lang w:val="en-GB"/>
        </w:rPr>
        <w:t xml:space="preserve"> United Nations</w:t>
      </w:r>
      <w:r w:rsidRPr="5937A937">
        <w:rPr>
          <w:rFonts w:cs="Calibri"/>
          <w:color w:val="auto"/>
          <w:sz w:val="22"/>
          <w:szCs w:val="22"/>
          <w:lang w:val="en-GB"/>
        </w:rPr>
        <w:t xml:space="preserve"> </w:t>
      </w:r>
      <w:r w:rsidR="00AC5121">
        <w:rPr>
          <w:rFonts w:cs="Calibri"/>
          <w:color w:val="auto"/>
          <w:sz w:val="22"/>
          <w:szCs w:val="22"/>
          <w:lang w:val="en-GB"/>
        </w:rPr>
        <w:t>(</w:t>
      </w:r>
      <w:r w:rsidRPr="5937A937">
        <w:rPr>
          <w:rFonts w:cs="Calibri"/>
          <w:color w:val="auto"/>
          <w:sz w:val="22"/>
          <w:szCs w:val="22"/>
          <w:lang w:val="en-GB"/>
        </w:rPr>
        <w:t>UN</w:t>
      </w:r>
      <w:r w:rsidR="00AC5121">
        <w:rPr>
          <w:rFonts w:cs="Calibri"/>
          <w:color w:val="auto"/>
          <w:sz w:val="22"/>
          <w:szCs w:val="22"/>
          <w:lang w:val="en-GB"/>
        </w:rPr>
        <w:t>)</w:t>
      </w:r>
      <w:r w:rsidRPr="5937A937">
        <w:rPr>
          <w:rFonts w:cs="Calibri"/>
          <w:color w:val="auto"/>
          <w:sz w:val="22"/>
          <w:szCs w:val="22"/>
          <w:lang w:val="en-GB"/>
        </w:rPr>
        <w:t xml:space="preserve"> specialized agency IMO </w:t>
      </w:r>
      <w:r w:rsidR="005A7A2C" w:rsidRPr="5937A937">
        <w:rPr>
          <w:rFonts w:cs="Calibri"/>
          <w:color w:val="auto"/>
          <w:sz w:val="22"/>
          <w:szCs w:val="22"/>
          <w:lang w:val="en-GB"/>
        </w:rPr>
        <w:fldChar w:fldCharType="begin" w:fldLock="1"/>
      </w:r>
      <w:r w:rsidR="005A7A2C" w:rsidRPr="5937A937">
        <w:rPr>
          <w:rFonts w:cs="Calibri"/>
          <w:color w:val="auto"/>
          <w:sz w:val="22"/>
          <w:szCs w:val="22"/>
          <w:lang w:val="en-GB"/>
        </w:rPr>
        <w:instrText>ADDIN CSL_CITATION {"citationItems":[{"id":"ITEM-1","itemData":{"DOI":"10.1007/s12027-020-00637-3","ISSN":"18639038","abstract":"The European Green Deal announced by the European Commission in December 2019 is a roadmap meant to foster the transition of the European Union towards the climate-neutral economy by reducing carbon emissions towards 55% by 2030 and achieving carbon neutrality by 2050. By putting the EGD in a boarder perspective of evolving, constitutional rationale of environmental protection in the EU legal order, this contribution examines horizontal, legal dimension and financial implications of the green transition. The challenge ahead of the Union is now how to transform the ambitious climate agenda into efficient legal and economic instruments ‘in a fair way, leaving no one behind’. This paper argues that EGD is a great opportunity, but in order to turn it into a success, it must be strongly anchored in the concepts pertaining to the constitutional framework of the EU legal order, in particular, the concepts of solidarity, sustainable development and high level of environmental protection.","author":[{"dropping-particle":"","family":"Sikora","given":"Alicja","non-dropping-particle":"","parse-names":false,"suffix":""}],"container-title":"ERA Forum","id":"ITEM-1","issued":{"date-parts":[["2020"]]},"page":"681-697","publisher":"The Author(s)","title":"European Green Deal – legal and financial challenges of the climate change","type":"article-journal"},"uris":["http://www.mendeley.com/documents/?uuid=28a71f4b-3341-4579-a677-8efa15a33d7a"]}],"mendeley":{"formattedCitation":"(Sikora, 2020)","plainTextFormattedCitation":"(Sikora, 2020)","previouslyFormattedCitation":"(Sikora, 2020)"},"properties":{"noteIndex":0},"schema":"https://github.com/citation-style-language/schema/raw/master/csl-citation.json"}</w:instrText>
      </w:r>
      <w:r w:rsidR="005A7A2C" w:rsidRPr="5937A937">
        <w:rPr>
          <w:rFonts w:cs="Calibri"/>
          <w:color w:val="auto"/>
          <w:sz w:val="22"/>
          <w:szCs w:val="22"/>
          <w:lang w:val="en-GB"/>
        </w:rPr>
        <w:fldChar w:fldCharType="separate"/>
      </w:r>
      <w:r w:rsidRPr="5937A937">
        <w:rPr>
          <w:rFonts w:cs="Calibri"/>
          <w:noProof/>
          <w:color w:val="auto"/>
          <w:sz w:val="22"/>
          <w:szCs w:val="22"/>
          <w:lang w:val="en-GB"/>
        </w:rPr>
        <w:t>(Sikora, 2020)</w:t>
      </w:r>
      <w:r w:rsidR="005A7A2C" w:rsidRPr="5937A937">
        <w:rPr>
          <w:rFonts w:cs="Calibri"/>
          <w:color w:val="auto"/>
          <w:sz w:val="22"/>
          <w:szCs w:val="22"/>
          <w:lang w:val="en-GB"/>
        </w:rPr>
        <w:fldChar w:fldCharType="end"/>
      </w:r>
      <w:r w:rsidRPr="5937A937">
        <w:rPr>
          <w:rFonts w:cs="Calibri"/>
          <w:color w:val="auto"/>
          <w:sz w:val="22"/>
          <w:szCs w:val="22"/>
          <w:lang w:val="en-GB"/>
        </w:rPr>
        <w:t>. The IMO's primary purpose is t</w:t>
      </w:r>
      <w:r w:rsidR="3D275B0D" w:rsidRPr="5937A937">
        <w:rPr>
          <w:rFonts w:cs="Calibri"/>
          <w:color w:val="auto"/>
          <w:sz w:val="22"/>
          <w:szCs w:val="22"/>
          <w:lang w:val="en-GB"/>
        </w:rPr>
        <w:t>o</w:t>
      </w:r>
      <w:r w:rsidRPr="5937A937">
        <w:rPr>
          <w:rFonts w:cs="Calibri"/>
          <w:color w:val="auto"/>
          <w:sz w:val="22"/>
          <w:szCs w:val="22"/>
          <w:lang w:val="en-GB"/>
        </w:rPr>
        <w:t xml:space="preserve"> establish and </w:t>
      </w:r>
      <w:r w:rsidR="1FD5CBEB" w:rsidRPr="5937A937">
        <w:rPr>
          <w:rFonts w:cs="Calibri"/>
          <w:color w:val="auto"/>
          <w:sz w:val="22"/>
          <w:szCs w:val="22"/>
          <w:lang w:val="en-GB"/>
        </w:rPr>
        <w:t>maintain</w:t>
      </w:r>
      <w:r w:rsidRPr="5937A937">
        <w:rPr>
          <w:rFonts w:cs="Calibri"/>
          <w:color w:val="auto"/>
          <w:sz w:val="22"/>
          <w:szCs w:val="22"/>
          <w:lang w:val="en-GB"/>
        </w:rPr>
        <w:t xml:space="preserve"> a comprehensive regulatory </w:t>
      </w:r>
      <w:r w:rsidRPr="5937A937">
        <w:rPr>
          <w:rFonts w:cs="Calibri"/>
          <w:color w:val="auto"/>
          <w:sz w:val="22"/>
          <w:szCs w:val="22"/>
          <w:lang w:val="en-GB"/>
        </w:rPr>
        <w:lastRenderedPageBreak/>
        <w:t>framework for shipping, covering</w:t>
      </w:r>
      <w:r w:rsidR="1C6EA51C" w:rsidRPr="5937A937">
        <w:rPr>
          <w:rFonts w:cs="Calibri"/>
          <w:color w:val="auto"/>
          <w:sz w:val="22"/>
          <w:szCs w:val="22"/>
          <w:lang w:val="en-GB"/>
        </w:rPr>
        <w:t>,</w:t>
      </w:r>
      <w:r w:rsidRPr="5937A937">
        <w:rPr>
          <w:rFonts w:cs="Calibri"/>
          <w:color w:val="auto"/>
          <w:sz w:val="22"/>
          <w:szCs w:val="22"/>
          <w:lang w:val="en-GB"/>
        </w:rPr>
        <w:t xml:space="preserve"> amongst others</w:t>
      </w:r>
      <w:r w:rsidR="7AFADB2D" w:rsidRPr="5937A937">
        <w:rPr>
          <w:rFonts w:cs="Calibri"/>
          <w:color w:val="auto"/>
          <w:sz w:val="22"/>
          <w:szCs w:val="22"/>
          <w:lang w:val="en-GB"/>
        </w:rPr>
        <w:t>,</w:t>
      </w:r>
      <w:r w:rsidRPr="5937A937">
        <w:rPr>
          <w:rFonts w:cs="Calibri"/>
          <w:color w:val="auto"/>
          <w:sz w:val="22"/>
          <w:szCs w:val="22"/>
          <w:lang w:val="en-GB"/>
        </w:rPr>
        <w:t xml:space="preserve"> maritime safety, environmental concerns and the efficiency of shipping </w:t>
      </w:r>
      <w:r w:rsidR="005A7A2C" w:rsidRPr="5937A937">
        <w:rPr>
          <w:rFonts w:cs="Calibri"/>
          <w:color w:val="auto"/>
          <w:sz w:val="22"/>
          <w:szCs w:val="22"/>
          <w:lang w:val="en-GB"/>
        </w:rPr>
        <w:fldChar w:fldCharType="begin" w:fldLock="1"/>
      </w:r>
      <w:r w:rsidR="005A7A2C" w:rsidRPr="5937A937">
        <w:rPr>
          <w:rFonts w:cs="Calibri"/>
          <w:color w:val="auto"/>
          <w:sz w:val="22"/>
          <w:szCs w:val="22"/>
          <w:lang w:val="en-GB"/>
        </w:rPr>
        <w:instrText>ADDIN CSL_CITATION {"citationItems":[{"id":"ITEM-1","itemData":{"author":[{"dropping-particle":"","family":"Uslu","given":"Ayla","non-dropping-particle":"","parse-names":false,"suffix":""}],"id":"ITEM-1","issued":{"date-parts":[["2019"]]},"title":"Market analysis","type":"report"},"uris":["http://www.mendeley.com/documents/?uuid=f0487272-4a66-4a0e-b49d-ac94b47a56ec"]}],"mendeley":{"formattedCitation":"(Uslu, 2019)","plainTextFormattedCitation":"(Uslu, 2019)","previouslyFormattedCitation":"(Uslu, 2019)"},"properties":{"noteIndex":0},"schema":"https://github.com/citation-style-language/schema/raw/master/csl-citation.json"}</w:instrText>
      </w:r>
      <w:r w:rsidR="005A7A2C" w:rsidRPr="5937A937">
        <w:rPr>
          <w:rFonts w:cs="Calibri"/>
          <w:color w:val="auto"/>
          <w:sz w:val="22"/>
          <w:szCs w:val="22"/>
          <w:lang w:val="en-GB"/>
        </w:rPr>
        <w:fldChar w:fldCharType="separate"/>
      </w:r>
      <w:r w:rsidRPr="5937A937">
        <w:rPr>
          <w:rFonts w:cs="Calibri"/>
          <w:noProof/>
          <w:color w:val="auto"/>
          <w:sz w:val="22"/>
          <w:szCs w:val="22"/>
          <w:lang w:val="en-GB"/>
        </w:rPr>
        <w:t>(Uslu, 2019)</w:t>
      </w:r>
      <w:r w:rsidR="005A7A2C" w:rsidRPr="5937A937">
        <w:rPr>
          <w:rFonts w:cs="Calibri"/>
          <w:color w:val="auto"/>
          <w:sz w:val="22"/>
          <w:szCs w:val="22"/>
          <w:lang w:val="en-GB"/>
        </w:rPr>
        <w:fldChar w:fldCharType="end"/>
      </w:r>
      <w:r w:rsidRPr="5937A937">
        <w:rPr>
          <w:rFonts w:cs="Calibri"/>
          <w:color w:val="auto"/>
          <w:sz w:val="22"/>
          <w:szCs w:val="22"/>
          <w:lang w:val="en-GB"/>
        </w:rPr>
        <w:t xml:space="preserve">. </w:t>
      </w:r>
    </w:p>
    <w:p w14:paraId="1680CAD5" w14:textId="4D4E8DAB" w:rsidR="005A7A2C" w:rsidRDefault="5EA34800" w:rsidP="5937A937">
      <w:pPr>
        <w:spacing w:after="120" w:line="360" w:lineRule="auto"/>
        <w:ind w:firstLine="720"/>
        <w:rPr>
          <w:rFonts w:cs="Calibri"/>
          <w:color w:val="auto"/>
          <w:sz w:val="22"/>
          <w:szCs w:val="22"/>
        </w:rPr>
      </w:pPr>
      <w:r w:rsidRPr="5937A937">
        <w:rPr>
          <w:rFonts w:cs="Calibri"/>
          <w:color w:val="auto"/>
          <w:sz w:val="22"/>
          <w:szCs w:val="22"/>
        </w:rPr>
        <w:t xml:space="preserve">The International Convention for the Prevention of Pollution from Ships </w:t>
      </w:r>
      <w:r w:rsidR="0F7A4727" w:rsidRPr="5937A937">
        <w:rPr>
          <w:rFonts w:cs="Calibri"/>
          <w:color w:val="auto"/>
          <w:sz w:val="22"/>
          <w:szCs w:val="22"/>
        </w:rPr>
        <w:t xml:space="preserve">deals </w:t>
      </w:r>
      <w:r w:rsidR="2DF810EC" w:rsidRPr="5937A937">
        <w:rPr>
          <w:rFonts w:cs="Calibri"/>
          <w:color w:val="auto"/>
          <w:sz w:val="22"/>
          <w:szCs w:val="22"/>
        </w:rPr>
        <w:t>with environment</w:t>
      </w:r>
      <w:r w:rsidR="08E78DA6" w:rsidRPr="5937A937">
        <w:rPr>
          <w:rFonts w:cs="Calibri"/>
          <w:color w:val="auto"/>
          <w:sz w:val="22"/>
          <w:szCs w:val="22"/>
        </w:rPr>
        <w:t xml:space="preserve"> and </w:t>
      </w:r>
      <w:r w:rsidRPr="5937A937">
        <w:rPr>
          <w:rFonts w:cs="Calibri"/>
          <w:color w:val="auto"/>
          <w:sz w:val="22"/>
          <w:szCs w:val="22"/>
        </w:rPr>
        <w:t xml:space="preserve">pollution </w:t>
      </w:r>
      <w:r w:rsidR="114AB3B4" w:rsidRPr="5937A937">
        <w:rPr>
          <w:rFonts w:cs="Calibri"/>
          <w:color w:val="auto"/>
          <w:sz w:val="22"/>
          <w:szCs w:val="22"/>
        </w:rPr>
        <w:t>related to marine activity</w:t>
      </w:r>
      <w:r w:rsidRPr="5937A937">
        <w:rPr>
          <w:rFonts w:cs="Calibri"/>
          <w:color w:val="auto"/>
          <w:sz w:val="22"/>
          <w:szCs w:val="22"/>
        </w:rPr>
        <w:t xml:space="preserve">. It was adopted in 1973, modified by the MARPOL Protocol in 1978 and entered into force in 1983. MARPOL has been updated by several amendments throughout the years. The Convention includes six technical Annexes that covers </w:t>
      </w:r>
      <w:r w:rsidR="3E7CE717" w:rsidRPr="5937A937">
        <w:rPr>
          <w:rFonts w:cs="Calibri"/>
          <w:color w:val="auto"/>
          <w:sz w:val="22"/>
          <w:szCs w:val="22"/>
        </w:rPr>
        <w:t xml:space="preserve">the </w:t>
      </w:r>
      <w:r w:rsidRPr="5937A937">
        <w:rPr>
          <w:rFonts w:cs="Calibri"/>
          <w:color w:val="auto"/>
          <w:sz w:val="22"/>
          <w:szCs w:val="22"/>
        </w:rPr>
        <w:t>regulations to prevent and minimiz</w:t>
      </w:r>
      <w:r w:rsidR="2FA1ACBB" w:rsidRPr="5937A937">
        <w:rPr>
          <w:rFonts w:cs="Calibri"/>
          <w:color w:val="auto"/>
          <w:sz w:val="22"/>
          <w:szCs w:val="22"/>
        </w:rPr>
        <w:t xml:space="preserve">e pollution </w:t>
      </w:r>
      <w:r w:rsidR="1067DFA8" w:rsidRPr="5937A937">
        <w:rPr>
          <w:rFonts w:cs="Calibri"/>
          <w:color w:val="auto"/>
          <w:sz w:val="22"/>
          <w:szCs w:val="22"/>
        </w:rPr>
        <w:t>prevenient</w:t>
      </w:r>
      <w:r w:rsidR="193CF1D1" w:rsidRPr="5937A937">
        <w:rPr>
          <w:rFonts w:cs="Calibri"/>
          <w:color w:val="auto"/>
          <w:sz w:val="22"/>
          <w:szCs w:val="22"/>
        </w:rPr>
        <w:t xml:space="preserve"> </w:t>
      </w:r>
      <w:r w:rsidR="43550F07" w:rsidRPr="5937A937">
        <w:rPr>
          <w:rFonts w:cs="Calibri"/>
          <w:color w:val="auto"/>
          <w:sz w:val="22"/>
          <w:szCs w:val="22"/>
        </w:rPr>
        <w:t xml:space="preserve">from </w:t>
      </w:r>
      <w:r w:rsidRPr="5937A937">
        <w:rPr>
          <w:rFonts w:cs="Calibri"/>
          <w:color w:val="auto"/>
          <w:sz w:val="22"/>
          <w:szCs w:val="22"/>
        </w:rPr>
        <w:t xml:space="preserve">accidental </w:t>
      </w:r>
      <w:r w:rsidR="7ADE62AB" w:rsidRPr="5937A937">
        <w:rPr>
          <w:rFonts w:cs="Calibri"/>
          <w:color w:val="auto"/>
          <w:sz w:val="22"/>
          <w:szCs w:val="22"/>
        </w:rPr>
        <w:t>or</w:t>
      </w:r>
      <w:r w:rsidRPr="5937A937">
        <w:rPr>
          <w:rFonts w:cs="Calibri"/>
          <w:color w:val="auto"/>
          <w:sz w:val="22"/>
          <w:szCs w:val="22"/>
        </w:rPr>
        <w:t xml:space="preserve"> daily operations. Special </w:t>
      </w:r>
      <w:r w:rsidR="006C3CC7">
        <w:rPr>
          <w:rFonts w:cs="Calibri"/>
          <w:color w:val="auto"/>
          <w:sz w:val="22"/>
          <w:szCs w:val="22"/>
        </w:rPr>
        <w:t>A</w:t>
      </w:r>
      <w:r w:rsidRPr="5937A937">
        <w:rPr>
          <w:rFonts w:cs="Calibri"/>
          <w:color w:val="auto"/>
          <w:sz w:val="22"/>
          <w:szCs w:val="22"/>
        </w:rPr>
        <w:t>reas</w:t>
      </w:r>
      <w:r w:rsidR="6FDC7D97" w:rsidRPr="5937A937">
        <w:rPr>
          <w:rFonts w:cs="Calibri"/>
          <w:color w:val="auto"/>
          <w:sz w:val="22"/>
          <w:szCs w:val="22"/>
        </w:rPr>
        <w:t xml:space="preserve">, practices and restrictions </w:t>
      </w:r>
      <w:r w:rsidRPr="5937A937">
        <w:rPr>
          <w:rFonts w:cs="Calibri"/>
          <w:color w:val="auto"/>
          <w:sz w:val="22"/>
          <w:szCs w:val="22"/>
        </w:rPr>
        <w:t xml:space="preserve">are </w:t>
      </w:r>
      <w:r w:rsidR="78EBA405" w:rsidRPr="5937A937">
        <w:rPr>
          <w:rFonts w:cs="Calibri"/>
          <w:color w:val="auto"/>
          <w:sz w:val="22"/>
          <w:szCs w:val="22"/>
        </w:rPr>
        <w:t>describ</w:t>
      </w:r>
      <w:r w:rsidRPr="5937A937">
        <w:rPr>
          <w:rFonts w:cs="Calibri"/>
          <w:color w:val="auto"/>
          <w:sz w:val="22"/>
          <w:szCs w:val="22"/>
        </w:rPr>
        <w:t>ed in most</w:t>
      </w:r>
      <w:r w:rsidR="006C3CC7">
        <w:rPr>
          <w:rFonts w:cs="Calibri"/>
          <w:color w:val="auto"/>
          <w:sz w:val="22"/>
          <w:szCs w:val="22"/>
        </w:rPr>
        <w:t xml:space="preserve"> of the</w:t>
      </w:r>
      <w:r w:rsidRPr="5937A937">
        <w:rPr>
          <w:rFonts w:cs="Calibri"/>
          <w:color w:val="auto"/>
          <w:sz w:val="22"/>
          <w:szCs w:val="22"/>
        </w:rPr>
        <w:t xml:space="preserve"> Annexes </w:t>
      </w:r>
      <w:r w:rsidR="005A7A2C" w:rsidRPr="5937A937">
        <w:rPr>
          <w:rFonts w:cs="Calibri"/>
          <w:color w:val="auto"/>
          <w:sz w:val="22"/>
          <w:szCs w:val="22"/>
        </w:rPr>
        <w:fldChar w:fldCharType="begin" w:fldLock="1"/>
      </w:r>
      <w:r w:rsidR="005A7A2C" w:rsidRPr="5937A937">
        <w:rPr>
          <w:rFonts w:cs="Calibri"/>
          <w:color w:val="auto"/>
          <w:sz w:val="22"/>
          <w:szCs w:val="22"/>
        </w:rPr>
        <w:instrText>ADDIN CSL_CITATION {"citationItems":[{"id":"ITEM-1","itemData":{"DOI":"10.4324/9781315774695-85","URL":"https://www.imo.org/en/About/Conventions/Pages/International-Convention-for-the-Prevention-of-Pollution-from-Ships-(MARPOL).aspx","abstract":"Lloyd's Register Rulefinder 2005 – Version 9.4 MARPOL -International Convention for the Prevention of Pollution from Ships Amended by Resolution MEPC.111(50) Amended by Resolution MEPC.115(51) Amended by Resolution MEPC.116(51) MARPOL -International Convention for the Prevention of Pollution from Ships Amended by Resolution MEPC.111(50) Amended by Resolution MEPC.115(51) Amended by Resolution MEPC.116(51)","author":[{"dropping-particle":"","family":"Brodie","given":"Peter","non-dropping-particle":"","parse-names":false,"suffix":""}],"container-title":"Commercial Shipping Handbook","id":"ITEM-1","issued":{"date-parts":[["2020"]]},"page":"219-221","title":"International Convention for the Prevention of Pollution from Ships (MARPOL)","type":"webpage"},"uris":["http://www.mendeley.com/documents/?uuid=0f4c6244-31e6-4c62-927f-3c5fd5bd090f"]}],"mendeley":{"formattedCitation":"(Brodie, 2020)","plainTextFormattedCitation":"(Brodie, 2020)","previouslyFormattedCitation":"(Brodie, 2020)"},"properties":{"noteIndex":0},"schema":"https://github.com/citation-style-language/schema/raw/master/csl-citation.json"}</w:instrText>
      </w:r>
      <w:r w:rsidR="005A7A2C" w:rsidRPr="5937A937">
        <w:rPr>
          <w:rFonts w:cs="Calibri"/>
          <w:color w:val="auto"/>
          <w:sz w:val="22"/>
          <w:szCs w:val="22"/>
        </w:rPr>
        <w:fldChar w:fldCharType="separate"/>
      </w:r>
      <w:r w:rsidRPr="5937A937">
        <w:rPr>
          <w:rFonts w:cs="Calibri"/>
          <w:noProof/>
          <w:color w:val="auto"/>
          <w:sz w:val="22"/>
          <w:szCs w:val="22"/>
        </w:rPr>
        <w:t>(Brodie, 2020)</w:t>
      </w:r>
      <w:r w:rsidR="005A7A2C" w:rsidRPr="5937A937">
        <w:rPr>
          <w:rFonts w:cs="Calibri"/>
          <w:color w:val="auto"/>
          <w:sz w:val="22"/>
          <w:szCs w:val="22"/>
        </w:rPr>
        <w:fldChar w:fldCharType="end"/>
      </w:r>
      <w:r w:rsidRPr="5937A937">
        <w:rPr>
          <w:rStyle w:val="FootnoteReference"/>
          <w:rFonts w:cs="Calibri"/>
          <w:color w:val="auto"/>
        </w:rPr>
        <w:t xml:space="preserve"> </w:t>
      </w:r>
    </w:p>
    <w:p w14:paraId="42C35303" w14:textId="35E5D396" w:rsidR="003F3946" w:rsidRDefault="5EA34800" w:rsidP="0040379B">
      <w:pPr>
        <w:spacing w:after="120" w:line="360" w:lineRule="auto"/>
        <w:ind w:firstLine="720"/>
        <w:rPr>
          <w:rFonts w:cs="Calibri"/>
          <w:color w:val="auto"/>
          <w:sz w:val="22"/>
          <w:szCs w:val="22"/>
        </w:rPr>
      </w:pPr>
      <w:r w:rsidRPr="5937A937">
        <w:rPr>
          <w:rFonts w:cs="Calibri"/>
          <w:color w:val="auto"/>
          <w:sz w:val="22"/>
          <w:szCs w:val="22"/>
        </w:rPr>
        <w:t>In 2005</w:t>
      </w:r>
      <w:r w:rsidR="46D43D01" w:rsidRPr="5937A937">
        <w:rPr>
          <w:rFonts w:cs="Calibri"/>
          <w:color w:val="auto"/>
          <w:sz w:val="22"/>
          <w:szCs w:val="22"/>
        </w:rPr>
        <w:t>,</w:t>
      </w:r>
      <w:r w:rsidRPr="5937A937">
        <w:rPr>
          <w:rFonts w:cs="Calibri"/>
          <w:color w:val="auto"/>
          <w:sz w:val="22"/>
          <w:szCs w:val="22"/>
        </w:rPr>
        <w:t xml:space="preserve"> air pollution was </w:t>
      </w:r>
      <w:r w:rsidR="5776BECE" w:rsidRPr="5937A937">
        <w:rPr>
          <w:rFonts w:cs="Calibri"/>
          <w:color w:val="auto"/>
          <w:sz w:val="22"/>
          <w:szCs w:val="22"/>
        </w:rPr>
        <w:t xml:space="preserve">specially </w:t>
      </w:r>
      <w:r w:rsidRPr="5937A937">
        <w:rPr>
          <w:rFonts w:cs="Calibri"/>
          <w:color w:val="auto"/>
          <w:sz w:val="22"/>
          <w:szCs w:val="22"/>
        </w:rPr>
        <w:t xml:space="preserve">addressed by </w:t>
      </w:r>
      <w:r w:rsidR="200F692B" w:rsidRPr="5937A937">
        <w:rPr>
          <w:rFonts w:cs="Calibri"/>
          <w:color w:val="auto"/>
          <w:sz w:val="22"/>
          <w:szCs w:val="22"/>
        </w:rPr>
        <w:t>setting specific limits</w:t>
      </w:r>
      <w:r w:rsidR="57B4D7D2" w:rsidRPr="5937A937">
        <w:rPr>
          <w:rFonts w:cs="Calibri"/>
          <w:color w:val="auto"/>
          <w:sz w:val="22"/>
          <w:szCs w:val="22"/>
        </w:rPr>
        <w:t xml:space="preserve"> on emissions</w:t>
      </w:r>
      <w:r w:rsidR="002679C9">
        <w:rPr>
          <w:rFonts w:cs="Calibri"/>
          <w:color w:val="auto"/>
          <w:sz w:val="22"/>
          <w:szCs w:val="22"/>
        </w:rPr>
        <w:t xml:space="preserve">, and </w:t>
      </w:r>
      <w:r w:rsidR="003870A1">
        <w:rPr>
          <w:rFonts w:cs="Calibri"/>
          <w:color w:val="auto"/>
          <w:sz w:val="22"/>
          <w:szCs w:val="22"/>
        </w:rPr>
        <w:t xml:space="preserve">by </w:t>
      </w:r>
      <w:r w:rsidR="002679C9">
        <w:rPr>
          <w:rFonts w:cs="Calibri"/>
          <w:color w:val="auto"/>
          <w:sz w:val="22"/>
          <w:szCs w:val="22"/>
        </w:rPr>
        <w:t xml:space="preserve">the establishment of </w:t>
      </w:r>
      <w:r w:rsidR="003870A1">
        <w:rPr>
          <w:rFonts w:cs="Calibri"/>
          <w:color w:val="auto"/>
          <w:sz w:val="22"/>
          <w:szCs w:val="22"/>
        </w:rPr>
        <w:t xml:space="preserve">the </w:t>
      </w:r>
      <w:r w:rsidR="002679C9">
        <w:rPr>
          <w:rFonts w:cs="Calibri"/>
          <w:color w:val="auto"/>
          <w:sz w:val="22"/>
          <w:szCs w:val="22"/>
        </w:rPr>
        <w:t xml:space="preserve">emission control </w:t>
      </w:r>
      <w:r w:rsidR="2B29660E" w:rsidRPr="5937A937">
        <w:rPr>
          <w:rFonts w:cs="Calibri"/>
          <w:color w:val="auto"/>
          <w:sz w:val="22"/>
          <w:szCs w:val="22"/>
        </w:rPr>
        <w:t>areas (ECAs)</w:t>
      </w:r>
      <w:r w:rsidR="002679C9">
        <w:rPr>
          <w:rFonts w:cs="Calibri"/>
          <w:color w:val="auto"/>
          <w:sz w:val="22"/>
          <w:szCs w:val="22"/>
        </w:rPr>
        <w:t>.</w:t>
      </w:r>
      <w:r w:rsidR="3A72AFE6" w:rsidRPr="5937A937">
        <w:rPr>
          <w:rFonts w:cs="Calibri"/>
          <w:color w:val="auto"/>
          <w:sz w:val="22"/>
          <w:szCs w:val="22"/>
        </w:rPr>
        <w:t xml:space="preserve"> </w:t>
      </w:r>
      <w:r w:rsidR="002679C9" w:rsidRPr="5937A937">
        <w:rPr>
          <w:rFonts w:cs="Calibri"/>
          <w:color w:val="auto"/>
          <w:sz w:val="22"/>
          <w:szCs w:val="22"/>
          <w:lang w:val="en-GB"/>
        </w:rPr>
        <w:t>ECA zone</w:t>
      </w:r>
      <w:r w:rsidR="00D16898">
        <w:rPr>
          <w:rFonts w:cs="Calibri"/>
          <w:color w:val="auto"/>
          <w:sz w:val="22"/>
          <w:szCs w:val="22"/>
          <w:lang w:val="en-GB"/>
        </w:rPr>
        <w:t>s</w:t>
      </w:r>
      <w:r w:rsidR="000E56EE">
        <w:rPr>
          <w:rFonts w:cs="Calibri"/>
          <w:color w:val="auto"/>
          <w:sz w:val="22"/>
          <w:szCs w:val="22"/>
          <w:lang w:val="en-GB"/>
        </w:rPr>
        <w:t xml:space="preserve"> </w:t>
      </w:r>
      <w:r w:rsidR="000E56EE">
        <w:rPr>
          <w:rFonts w:cs="Calibri"/>
          <w:color w:val="auto"/>
          <w:sz w:val="22"/>
          <w:szCs w:val="22"/>
        </w:rPr>
        <w:t>(</w:t>
      </w:r>
      <w:r w:rsidR="000E56EE" w:rsidRPr="5937A937">
        <w:rPr>
          <w:rFonts w:cs="Calibri"/>
          <w:color w:val="auto"/>
          <w:sz w:val="22"/>
          <w:szCs w:val="22"/>
        </w:rPr>
        <w:t>depicted in Fi</w:t>
      </w:r>
      <w:r w:rsidR="000E56EE">
        <w:rPr>
          <w:rFonts w:cs="Calibri"/>
          <w:color w:val="auto"/>
          <w:sz w:val="22"/>
          <w:szCs w:val="22"/>
        </w:rPr>
        <w:t>g .1)</w:t>
      </w:r>
      <w:r w:rsidR="002679C9" w:rsidRPr="5937A937">
        <w:rPr>
          <w:rFonts w:cs="Calibri"/>
          <w:color w:val="auto"/>
          <w:sz w:val="22"/>
          <w:szCs w:val="22"/>
          <w:lang w:val="en-GB"/>
        </w:rPr>
        <w:t xml:space="preserve"> ha</w:t>
      </w:r>
      <w:r w:rsidR="00D16898">
        <w:rPr>
          <w:rFonts w:cs="Calibri"/>
          <w:color w:val="auto"/>
          <w:sz w:val="22"/>
          <w:szCs w:val="22"/>
          <w:lang w:val="en-GB"/>
        </w:rPr>
        <w:t>ve</w:t>
      </w:r>
      <w:r w:rsidR="002679C9" w:rsidRPr="5937A937">
        <w:rPr>
          <w:rFonts w:cs="Calibri"/>
          <w:color w:val="auto"/>
          <w:sz w:val="22"/>
          <w:szCs w:val="22"/>
          <w:lang w:val="en-GB"/>
        </w:rPr>
        <w:t xml:space="preserve"> a stricter limit for emissions</w:t>
      </w:r>
      <w:r w:rsidR="002679C9">
        <w:rPr>
          <w:rFonts w:cs="Calibri"/>
          <w:color w:val="auto"/>
          <w:sz w:val="22"/>
          <w:szCs w:val="22"/>
          <w:lang w:val="en-GB"/>
        </w:rPr>
        <w:t xml:space="preserve"> </w:t>
      </w:r>
      <w:r w:rsidR="00D16898">
        <w:rPr>
          <w:rFonts w:cs="Calibri"/>
          <w:color w:val="auto"/>
          <w:sz w:val="22"/>
          <w:szCs w:val="22"/>
        </w:rPr>
        <w:t>of</w:t>
      </w:r>
      <w:r w:rsidR="200F692B" w:rsidRPr="5937A937">
        <w:rPr>
          <w:rFonts w:cs="Calibri"/>
          <w:color w:val="auto"/>
          <w:sz w:val="22"/>
          <w:szCs w:val="22"/>
        </w:rPr>
        <w:t xml:space="preserve"> </w:t>
      </w:r>
      <w:r w:rsidR="00433288" w:rsidRPr="5937A937">
        <w:rPr>
          <w:rFonts w:cs="Calibri"/>
          <w:color w:val="auto"/>
          <w:sz w:val="22"/>
          <w:szCs w:val="22"/>
          <w:lang w:val="en-GB"/>
        </w:rPr>
        <w:t>nitrogen</w:t>
      </w:r>
      <w:r w:rsidRPr="5937A937">
        <w:rPr>
          <w:rFonts w:cs="Calibri"/>
          <w:color w:val="auto"/>
          <w:sz w:val="22"/>
          <w:szCs w:val="22"/>
          <w:lang w:val="en-GB"/>
        </w:rPr>
        <w:t xml:space="preserve"> </w:t>
      </w:r>
      <w:r w:rsidR="6F527CE4" w:rsidRPr="5937A937">
        <w:rPr>
          <w:rFonts w:cs="Calibri"/>
          <w:color w:val="auto"/>
          <w:sz w:val="22"/>
          <w:szCs w:val="22"/>
          <w:lang w:val="en-GB"/>
        </w:rPr>
        <w:t>o</w:t>
      </w:r>
      <w:r w:rsidRPr="5937A937">
        <w:rPr>
          <w:rFonts w:cs="Calibri"/>
          <w:color w:val="auto"/>
          <w:sz w:val="22"/>
          <w:szCs w:val="22"/>
          <w:lang w:val="en-GB"/>
        </w:rPr>
        <w:t>xide (NOx)</w:t>
      </w:r>
      <w:r w:rsidR="3ADFA837" w:rsidRPr="5937A937">
        <w:rPr>
          <w:rFonts w:cs="Calibri"/>
          <w:color w:val="auto"/>
          <w:sz w:val="22"/>
          <w:szCs w:val="22"/>
          <w:lang w:val="en-GB"/>
        </w:rPr>
        <w:t>;</w:t>
      </w:r>
      <w:r w:rsidRPr="5937A937">
        <w:rPr>
          <w:rFonts w:cs="Calibri"/>
          <w:color w:val="auto"/>
          <w:sz w:val="22"/>
          <w:szCs w:val="22"/>
          <w:lang w:val="en-GB"/>
        </w:rPr>
        <w:t xml:space="preserve"> </w:t>
      </w:r>
      <w:r w:rsidR="6EADFB20" w:rsidRPr="5937A937">
        <w:rPr>
          <w:rFonts w:cs="Calibri"/>
          <w:color w:val="auto"/>
          <w:sz w:val="22"/>
          <w:szCs w:val="22"/>
          <w:lang w:val="en-GB"/>
        </w:rPr>
        <w:t>s</w:t>
      </w:r>
      <w:r w:rsidRPr="5937A937">
        <w:rPr>
          <w:rFonts w:cs="Calibri"/>
          <w:color w:val="auto"/>
          <w:sz w:val="22"/>
          <w:szCs w:val="22"/>
          <w:lang w:val="en-GB"/>
        </w:rPr>
        <w:t>ul</w:t>
      </w:r>
      <w:r w:rsidR="00B3418A">
        <w:rPr>
          <w:rFonts w:cs="Calibri"/>
          <w:color w:val="auto"/>
          <w:sz w:val="22"/>
          <w:szCs w:val="22"/>
          <w:lang w:val="en-GB"/>
        </w:rPr>
        <w:t>f</w:t>
      </w:r>
      <w:r w:rsidRPr="5937A937">
        <w:rPr>
          <w:rFonts w:cs="Calibri"/>
          <w:color w:val="auto"/>
          <w:sz w:val="22"/>
          <w:szCs w:val="22"/>
          <w:lang w:val="en-GB"/>
        </w:rPr>
        <w:t xml:space="preserve">ur </w:t>
      </w:r>
      <w:r w:rsidR="3478ED4D" w:rsidRPr="5937A937">
        <w:rPr>
          <w:rFonts w:cs="Calibri"/>
          <w:color w:val="auto"/>
          <w:sz w:val="22"/>
          <w:szCs w:val="22"/>
          <w:lang w:val="en-GB"/>
        </w:rPr>
        <w:t>o</w:t>
      </w:r>
      <w:r w:rsidRPr="5937A937">
        <w:rPr>
          <w:rFonts w:cs="Calibri"/>
          <w:color w:val="auto"/>
          <w:sz w:val="22"/>
          <w:szCs w:val="22"/>
          <w:lang w:val="en-GB"/>
        </w:rPr>
        <w:t>xide (SOx)</w:t>
      </w:r>
      <w:r w:rsidR="3F09015E" w:rsidRPr="5937A937">
        <w:rPr>
          <w:rFonts w:cs="Calibri"/>
          <w:color w:val="auto"/>
          <w:sz w:val="22"/>
          <w:szCs w:val="22"/>
          <w:lang w:val="en-GB"/>
        </w:rPr>
        <w:t>;</w:t>
      </w:r>
      <w:r w:rsidRPr="5937A937">
        <w:rPr>
          <w:rFonts w:cs="Calibri"/>
          <w:color w:val="auto"/>
          <w:sz w:val="22"/>
          <w:szCs w:val="22"/>
          <w:lang w:val="en-GB"/>
        </w:rPr>
        <w:t xml:space="preserve"> </w:t>
      </w:r>
      <w:r w:rsidR="3865F3CD" w:rsidRPr="5937A937">
        <w:rPr>
          <w:rFonts w:cs="Calibri"/>
          <w:color w:val="auto"/>
          <w:sz w:val="22"/>
          <w:szCs w:val="22"/>
          <w:lang w:val="en-GB"/>
        </w:rPr>
        <w:t>v</w:t>
      </w:r>
      <w:r w:rsidRPr="5937A937">
        <w:rPr>
          <w:rFonts w:cs="Calibri"/>
          <w:color w:val="auto"/>
          <w:sz w:val="22"/>
          <w:szCs w:val="22"/>
          <w:lang w:val="en-GB"/>
        </w:rPr>
        <w:t xml:space="preserve">olatile </w:t>
      </w:r>
      <w:r w:rsidR="5FA88122" w:rsidRPr="5937A937">
        <w:rPr>
          <w:rFonts w:cs="Calibri"/>
          <w:color w:val="auto"/>
          <w:sz w:val="22"/>
          <w:szCs w:val="22"/>
          <w:lang w:val="en-GB"/>
        </w:rPr>
        <w:t>o</w:t>
      </w:r>
      <w:r w:rsidRPr="5937A937">
        <w:rPr>
          <w:rFonts w:cs="Calibri"/>
          <w:color w:val="auto"/>
          <w:sz w:val="22"/>
          <w:szCs w:val="22"/>
          <w:lang w:val="en-GB"/>
        </w:rPr>
        <w:t xml:space="preserve">rganic </w:t>
      </w:r>
      <w:r w:rsidR="4718CA9F" w:rsidRPr="5937A937">
        <w:rPr>
          <w:rFonts w:cs="Calibri"/>
          <w:color w:val="auto"/>
          <w:sz w:val="22"/>
          <w:szCs w:val="22"/>
          <w:lang w:val="en-GB"/>
        </w:rPr>
        <w:t>c</w:t>
      </w:r>
      <w:r w:rsidRPr="5937A937">
        <w:rPr>
          <w:rFonts w:cs="Calibri"/>
          <w:color w:val="auto"/>
          <w:sz w:val="22"/>
          <w:szCs w:val="22"/>
          <w:lang w:val="en-GB"/>
        </w:rPr>
        <w:t>ompounds (VOC)</w:t>
      </w:r>
      <w:r w:rsidR="27464845" w:rsidRPr="5937A937">
        <w:rPr>
          <w:rFonts w:cs="Calibri"/>
          <w:color w:val="auto"/>
          <w:sz w:val="22"/>
          <w:szCs w:val="22"/>
          <w:lang w:val="en-GB"/>
        </w:rPr>
        <w:t>;</w:t>
      </w:r>
      <w:r w:rsidR="002A2257">
        <w:rPr>
          <w:rFonts w:cs="Calibri"/>
          <w:color w:val="auto"/>
          <w:sz w:val="22"/>
          <w:szCs w:val="22"/>
          <w:lang w:val="en-GB"/>
        </w:rPr>
        <w:t xml:space="preserve"> and</w:t>
      </w:r>
      <w:r w:rsidRPr="5937A937">
        <w:rPr>
          <w:rFonts w:cs="Calibri"/>
          <w:color w:val="auto"/>
          <w:sz w:val="22"/>
          <w:szCs w:val="22"/>
          <w:lang w:val="en-GB"/>
        </w:rPr>
        <w:t xml:space="preserve"> </w:t>
      </w:r>
      <w:r w:rsidR="0C8A6DF5" w:rsidRPr="5937A937">
        <w:rPr>
          <w:rFonts w:cs="Calibri"/>
          <w:color w:val="auto"/>
          <w:sz w:val="22"/>
          <w:szCs w:val="22"/>
          <w:lang w:val="en-GB"/>
        </w:rPr>
        <w:t>p</w:t>
      </w:r>
      <w:r w:rsidRPr="5937A937">
        <w:rPr>
          <w:rFonts w:cs="Calibri"/>
          <w:color w:val="auto"/>
          <w:sz w:val="22"/>
          <w:szCs w:val="22"/>
          <w:lang w:val="en-GB"/>
        </w:rPr>
        <w:t xml:space="preserve">articular </w:t>
      </w:r>
      <w:r w:rsidR="4234A2E4" w:rsidRPr="5937A937">
        <w:rPr>
          <w:rFonts w:cs="Calibri"/>
          <w:color w:val="auto"/>
          <w:sz w:val="22"/>
          <w:szCs w:val="22"/>
          <w:lang w:val="en-GB"/>
        </w:rPr>
        <w:t>m</w:t>
      </w:r>
      <w:r w:rsidRPr="5937A937">
        <w:rPr>
          <w:rFonts w:cs="Calibri"/>
          <w:color w:val="auto"/>
          <w:sz w:val="22"/>
          <w:szCs w:val="22"/>
          <w:lang w:val="en-GB"/>
        </w:rPr>
        <w:t>atter (PM)</w:t>
      </w:r>
      <w:r w:rsidR="000E56EE">
        <w:rPr>
          <w:rFonts w:cs="Calibri"/>
          <w:color w:val="auto"/>
          <w:sz w:val="22"/>
          <w:szCs w:val="22"/>
          <w:lang w:val="en-GB"/>
        </w:rPr>
        <w:t xml:space="preserve"> </w:t>
      </w:r>
      <w:r w:rsidR="00037B04">
        <w:rPr>
          <w:rFonts w:cs="Calibri"/>
          <w:color w:val="auto"/>
          <w:sz w:val="22"/>
          <w:szCs w:val="22"/>
          <w:lang w:val="en-GB"/>
        </w:rPr>
        <w:t>(see table 1)</w:t>
      </w:r>
      <w:r w:rsidRPr="5937A937">
        <w:rPr>
          <w:rFonts w:cs="Calibri"/>
          <w:color w:val="auto"/>
          <w:sz w:val="22"/>
          <w:szCs w:val="22"/>
          <w:lang w:val="en-GB"/>
        </w:rPr>
        <w:t xml:space="preserve">. </w:t>
      </w:r>
      <w:r w:rsidR="00F05AD7">
        <w:rPr>
          <w:rFonts w:cs="Calibri"/>
          <w:color w:val="auto"/>
          <w:sz w:val="22"/>
          <w:szCs w:val="22"/>
        </w:rPr>
        <w:t>Limits</w:t>
      </w:r>
      <w:r w:rsidR="00F05AD7" w:rsidDel="00004694">
        <w:rPr>
          <w:rFonts w:cs="Calibri"/>
          <w:color w:val="auto"/>
          <w:sz w:val="22"/>
          <w:szCs w:val="22"/>
          <w:lang w:val="en-GB"/>
        </w:rPr>
        <w:t xml:space="preserve"> </w:t>
      </w:r>
      <w:r w:rsidR="00F05AD7">
        <w:rPr>
          <w:rFonts w:cs="Calibri"/>
          <w:color w:val="auto"/>
          <w:sz w:val="22"/>
          <w:szCs w:val="22"/>
          <w:lang w:val="en-GB"/>
        </w:rPr>
        <w:t xml:space="preserve">in the </w:t>
      </w:r>
      <w:r w:rsidR="00F05AD7">
        <w:rPr>
          <w:rFonts w:cs="Calibri"/>
          <w:color w:val="auto"/>
          <w:sz w:val="22"/>
          <w:szCs w:val="22"/>
        </w:rPr>
        <w:t>s</w:t>
      </w:r>
      <w:r w:rsidR="00D62160" w:rsidRPr="5937A937">
        <w:rPr>
          <w:rFonts w:cs="Calibri"/>
          <w:color w:val="auto"/>
          <w:sz w:val="22"/>
          <w:szCs w:val="22"/>
        </w:rPr>
        <w:t>u</w:t>
      </w:r>
      <w:r w:rsidR="00D62160">
        <w:rPr>
          <w:rFonts w:cs="Calibri"/>
          <w:color w:val="auto"/>
          <w:sz w:val="22"/>
          <w:szCs w:val="22"/>
        </w:rPr>
        <w:t>l</w:t>
      </w:r>
      <w:r w:rsidR="00D62160" w:rsidRPr="5937A937">
        <w:rPr>
          <w:rFonts w:cs="Calibri"/>
          <w:color w:val="auto"/>
          <w:sz w:val="22"/>
          <w:szCs w:val="22"/>
        </w:rPr>
        <w:t>fur</w:t>
      </w:r>
      <w:r w:rsidR="03018CFE" w:rsidRPr="5937A937">
        <w:rPr>
          <w:rFonts w:cs="Calibri"/>
          <w:color w:val="auto"/>
          <w:sz w:val="22"/>
          <w:szCs w:val="22"/>
        </w:rPr>
        <w:t xml:space="preserve"> </w:t>
      </w:r>
      <w:r w:rsidR="00F05AD7">
        <w:rPr>
          <w:rFonts w:cs="Calibri"/>
          <w:color w:val="auto"/>
          <w:sz w:val="22"/>
          <w:szCs w:val="22"/>
        </w:rPr>
        <w:t>content</w:t>
      </w:r>
      <w:r w:rsidR="03018CFE" w:rsidRPr="5937A937">
        <w:rPr>
          <w:rFonts w:cs="Calibri"/>
          <w:color w:val="auto"/>
          <w:sz w:val="22"/>
          <w:szCs w:val="22"/>
        </w:rPr>
        <w:t xml:space="preserve"> </w:t>
      </w:r>
      <w:r w:rsidR="00F05AD7">
        <w:rPr>
          <w:rFonts w:cs="Calibri"/>
          <w:color w:val="auto"/>
          <w:sz w:val="22"/>
          <w:szCs w:val="22"/>
        </w:rPr>
        <w:t xml:space="preserve">of the fuel </w:t>
      </w:r>
      <w:r w:rsidRPr="5937A937">
        <w:rPr>
          <w:rFonts w:cs="Calibri"/>
          <w:color w:val="auto"/>
          <w:sz w:val="22"/>
          <w:szCs w:val="22"/>
        </w:rPr>
        <w:t xml:space="preserve">were reduced from </w:t>
      </w:r>
      <w:r w:rsidR="00004694">
        <w:rPr>
          <w:rFonts w:cs="Calibri"/>
          <w:color w:val="auto"/>
          <w:sz w:val="22"/>
          <w:szCs w:val="22"/>
        </w:rPr>
        <w:t>3</w:t>
      </w:r>
      <w:r w:rsidRPr="5937A937">
        <w:rPr>
          <w:rFonts w:cs="Calibri"/>
          <w:color w:val="auto"/>
          <w:sz w:val="22"/>
          <w:szCs w:val="22"/>
        </w:rPr>
        <w:t>.5</w:t>
      </w:r>
      <w:r w:rsidR="00D9190A">
        <w:rPr>
          <w:rFonts w:cs="Calibri"/>
          <w:color w:val="auto"/>
          <w:sz w:val="22"/>
          <w:szCs w:val="22"/>
        </w:rPr>
        <w:t xml:space="preserve"> </w:t>
      </w:r>
      <w:r w:rsidRPr="5937A937">
        <w:rPr>
          <w:rFonts w:cs="Calibri"/>
          <w:color w:val="auto"/>
          <w:sz w:val="22"/>
          <w:szCs w:val="22"/>
        </w:rPr>
        <w:t>% to 0.5</w:t>
      </w:r>
      <w:r w:rsidR="00D9190A">
        <w:rPr>
          <w:rFonts w:cs="Calibri"/>
          <w:color w:val="auto"/>
          <w:sz w:val="22"/>
          <w:szCs w:val="22"/>
        </w:rPr>
        <w:t xml:space="preserve"> </w:t>
      </w:r>
      <w:r w:rsidRPr="5937A937">
        <w:rPr>
          <w:rFonts w:cs="Calibri"/>
          <w:color w:val="auto"/>
          <w:sz w:val="22"/>
          <w:szCs w:val="22"/>
        </w:rPr>
        <w:t>%</w:t>
      </w:r>
      <w:r w:rsidR="0051145B">
        <w:rPr>
          <w:rFonts w:cs="Calibri"/>
          <w:color w:val="auto"/>
          <w:sz w:val="22"/>
          <w:szCs w:val="22"/>
        </w:rPr>
        <w:t xml:space="preserve">. </w:t>
      </w:r>
      <w:r w:rsidR="00487622">
        <w:rPr>
          <w:rFonts w:cs="Calibri"/>
          <w:color w:val="auto"/>
          <w:sz w:val="22"/>
          <w:szCs w:val="22"/>
        </w:rPr>
        <w:t xml:space="preserve"> Whitin </w:t>
      </w:r>
      <w:r w:rsidR="009C2AA5">
        <w:rPr>
          <w:rFonts w:cs="Calibri"/>
          <w:color w:val="auto"/>
          <w:sz w:val="22"/>
          <w:szCs w:val="22"/>
        </w:rPr>
        <w:t>specific design</w:t>
      </w:r>
      <w:r w:rsidR="00D9190A">
        <w:rPr>
          <w:rFonts w:cs="Calibri"/>
          <w:color w:val="auto"/>
          <w:sz w:val="22"/>
          <w:szCs w:val="22"/>
        </w:rPr>
        <w:t>ated ECAs the limits were even stricter (0.1 %</w:t>
      </w:r>
      <w:r w:rsidR="00342B64">
        <w:rPr>
          <w:rFonts w:cs="Calibri"/>
          <w:color w:val="auto"/>
          <w:sz w:val="22"/>
          <w:szCs w:val="22"/>
        </w:rPr>
        <w:t xml:space="preserve">) </w:t>
      </w:r>
      <w:r w:rsidR="00D62160">
        <w:rPr>
          <w:rFonts w:cs="Calibri"/>
          <w:color w:val="auto"/>
          <w:sz w:val="22"/>
          <w:szCs w:val="22"/>
        </w:rPr>
        <w:fldChar w:fldCharType="begin" w:fldLock="1"/>
      </w:r>
      <w:r w:rsidR="00E41D89">
        <w:rPr>
          <w:rFonts w:cs="Calibri"/>
          <w:color w:val="auto"/>
          <w:sz w:val="22"/>
          <w:szCs w:val="22"/>
        </w:rPr>
        <w:instrText>ADDIN CSL_CITATION {"citationItems":[{"id":"ITEM-1","itemData":{"ISBN":"9789280117189","URL":"https://www.imo.org/en/MediaCentre/HotTopics/Pages/Sulphur-2020.aspx","abstract":"\"Sales number I666E\"--Title page verso.","accessed":{"date-parts":[["2021","9","19"]]},"author":[{"dropping-particle":"","family":"IMO","given":"","non-dropping-particle":"","parse-names":false,"suffix":""}],"container-title":"International Maritime Organization","id":"ITEM-1","issue":"January","issued":{"date-parts":[["2020"]]},"page":"97","title":"IMO 2020 – cutting sulphur oxide emissions","type":"webpage"},"uris":["http://www.mendeley.com/documents/?uuid=d4ab555b-0f0a-4a76-8a8c-724514ebf1c8"]}],"mendeley":{"formattedCitation":"(IMO, 2020)","plainTextFormattedCitation":"(IMO, 2020)","previouslyFormattedCitation":"(IMO, 2020)"},"properties":{"noteIndex":0},"schema":"https://github.com/citation-style-language/schema/raw/master/csl-citation.json"}</w:instrText>
      </w:r>
      <w:r w:rsidR="00D62160">
        <w:rPr>
          <w:rFonts w:cs="Calibri"/>
          <w:color w:val="auto"/>
          <w:sz w:val="22"/>
          <w:szCs w:val="22"/>
        </w:rPr>
        <w:fldChar w:fldCharType="separate"/>
      </w:r>
      <w:r w:rsidR="00D62160" w:rsidRPr="00D62160">
        <w:rPr>
          <w:rFonts w:cs="Calibri"/>
          <w:noProof/>
          <w:color w:val="auto"/>
          <w:sz w:val="22"/>
          <w:szCs w:val="22"/>
        </w:rPr>
        <w:t>(IMO, 2020)</w:t>
      </w:r>
      <w:r w:rsidR="00D62160">
        <w:rPr>
          <w:rFonts w:cs="Calibri"/>
          <w:color w:val="auto"/>
          <w:sz w:val="22"/>
          <w:szCs w:val="22"/>
        </w:rPr>
        <w:fldChar w:fldCharType="end"/>
      </w:r>
      <w:r w:rsidR="07F02BB6" w:rsidRPr="5937A937">
        <w:rPr>
          <w:rFonts w:cs="Calibri"/>
          <w:color w:val="auto"/>
          <w:sz w:val="22"/>
          <w:szCs w:val="22"/>
        </w:rPr>
        <w:t>.</w:t>
      </w:r>
      <w:r w:rsidR="5814ACF2" w:rsidRPr="5937A937">
        <w:rPr>
          <w:rFonts w:cs="Calibri"/>
          <w:color w:val="auto"/>
          <w:sz w:val="22"/>
          <w:szCs w:val="22"/>
        </w:rPr>
        <w:t xml:space="preserve"> </w:t>
      </w:r>
      <w:r w:rsidRPr="5937A937">
        <w:rPr>
          <w:rFonts w:cs="Calibri"/>
          <w:color w:val="auto"/>
          <w:sz w:val="22"/>
          <w:szCs w:val="22"/>
        </w:rPr>
        <w:t xml:space="preserve"> </w:t>
      </w:r>
      <w:r w:rsidR="7815FEC3" w:rsidRPr="5937A937">
        <w:rPr>
          <w:rFonts w:cs="Calibri"/>
          <w:color w:val="auto"/>
          <w:sz w:val="22"/>
          <w:szCs w:val="22"/>
        </w:rPr>
        <w:t>There are two possible alternatives to reduce SOx emission</w:t>
      </w:r>
      <w:r w:rsidR="00C45FEB">
        <w:rPr>
          <w:rFonts w:cs="Calibri"/>
          <w:color w:val="auto"/>
          <w:sz w:val="22"/>
          <w:szCs w:val="22"/>
        </w:rPr>
        <w:t xml:space="preserve"> namely</w:t>
      </w:r>
      <w:r w:rsidR="7815FEC3" w:rsidRPr="5937A937">
        <w:rPr>
          <w:rFonts w:cs="Calibri"/>
          <w:color w:val="auto"/>
          <w:sz w:val="22"/>
          <w:szCs w:val="22"/>
        </w:rPr>
        <w:t xml:space="preserve">, </w:t>
      </w:r>
      <w:r w:rsidR="48AC88A5" w:rsidRPr="5937A937">
        <w:rPr>
          <w:rFonts w:cs="Calibri"/>
          <w:color w:val="auto"/>
          <w:sz w:val="22"/>
          <w:szCs w:val="22"/>
        </w:rPr>
        <w:t xml:space="preserve">the </w:t>
      </w:r>
      <w:r w:rsidR="7815FEC3" w:rsidRPr="5937A937">
        <w:rPr>
          <w:rFonts w:cs="Calibri"/>
          <w:color w:val="auto"/>
          <w:sz w:val="22"/>
          <w:szCs w:val="22"/>
        </w:rPr>
        <w:t>use</w:t>
      </w:r>
      <w:r w:rsidRPr="5937A937">
        <w:rPr>
          <w:rFonts w:cs="Calibri"/>
          <w:color w:val="auto"/>
          <w:sz w:val="22"/>
          <w:szCs w:val="22"/>
        </w:rPr>
        <w:t xml:space="preserve"> </w:t>
      </w:r>
      <w:r w:rsidR="31FCEFA0" w:rsidRPr="5937A937">
        <w:rPr>
          <w:rFonts w:cs="Calibri"/>
          <w:color w:val="auto"/>
          <w:sz w:val="22"/>
          <w:szCs w:val="22"/>
        </w:rPr>
        <w:t xml:space="preserve">of </w:t>
      </w:r>
      <w:r w:rsidRPr="5937A937">
        <w:rPr>
          <w:rFonts w:cs="Calibri"/>
          <w:color w:val="auto"/>
          <w:sz w:val="22"/>
          <w:szCs w:val="22"/>
        </w:rPr>
        <w:t xml:space="preserve">low </w:t>
      </w:r>
      <w:r w:rsidR="628A71F0" w:rsidRPr="5937A937">
        <w:rPr>
          <w:rFonts w:cs="Calibri"/>
          <w:color w:val="auto"/>
          <w:sz w:val="22"/>
          <w:szCs w:val="22"/>
        </w:rPr>
        <w:t>sulfur fuels</w:t>
      </w:r>
      <w:r w:rsidR="7982692B" w:rsidRPr="5937A937">
        <w:rPr>
          <w:rFonts w:cs="Calibri"/>
          <w:color w:val="auto"/>
          <w:sz w:val="22"/>
          <w:szCs w:val="22"/>
        </w:rPr>
        <w:t xml:space="preserve"> or</w:t>
      </w:r>
      <w:r w:rsidRPr="5937A937">
        <w:rPr>
          <w:rFonts w:cs="Calibri"/>
          <w:color w:val="auto"/>
          <w:sz w:val="22"/>
          <w:szCs w:val="22"/>
        </w:rPr>
        <w:t xml:space="preserve"> scrubbers. </w:t>
      </w:r>
      <w:r w:rsidR="72B49509" w:rsidRPr="5937A937">
        <w:rPr>
          <w:rFonts w:cs="Calibri"/>
          <w:color w:val="auto"/>
          <w:sz w:val="22"/>
          <w:szCs w:val="22"/>
        </w:rPr>
        <w:t xml:space="preserve">This is particularly relevant in the context of IDEALFUEL, since low </w:t>
      </w:r>
      <w:r w:rsidR="00347B73">
        <w:rPr>
          <w:rFonts w:cs="Calibri"/>
          <w:color w:val="auto"/>
          <w:sz w:val="22"/>
          <w:szCs w:val="22"/>
        </w:rPr>
        <w:t>s</w:t>
      </w:r>
      <w:r w:rsidR="72B49509" w:rsidRPr="5937A937">
        <w:rPr>
          <w:rFonts w:cs="Calibri"/>
          <w:color w:val="auto"/>
          <w:sz w:val="22"/>
          <w:szCs w:val="22"/>
        </w:rPr>
        <w:t>ul</w:t>
      </w:r>
      <w:r w:rsidR="00347B73">
        <w:rPr>
          <w:rFonts w:cs="Calibri"/>
          <w:color w:val="auto"/>
          <w:sz w:val="22"/>
          <w:szCs w:val="22"/>
        </w:rPr>
        <w:t>f</w:t>
      </w:r>
      <w:r w:rsidR="72B49509" w:rsidRPr="5937A937">
        <w:rPr>
          <w:rFonts w:cs="Calibri"/>
          <w:color w:val="auto"/>
          <w:sz w:val="22"/>
          <w:szCs w:val="22"/>
        </w:rPr>
        <w:t xml:space="preserve">ur fuels can benefit from a premium price. </w:t>
      </w:r>
    </w:p>
    <w:p w14:paraId="354ECD94" w14:textId="77777777" w:rsidR="00DF3F0E" w:rsidRDefault="00DF3F0E" w:rsidP="00DC3405">
      <w:pPr>
        <w:spacing w:after="120" w:line="360" w:lineRule="auto"/>
        <w:rPr>
          <w:rFonts w:cs="Calibri"/>
          <w:color w:val="auto"/>
          <w:sz w:val="22"/>
          <w:szCs w:val="22"/>
        </w:rPr>
      </w:pPr>
    </w:p>
    <w:p w14:paraId="7D6BF761" w14:textId="3C00BCE6" w:rsidR="00E54BBD" w:rsidRDefault="00E54BBD" w:rsidP="00E54BBD">
      <w:pPr>
        <w:pStyle w:val="Caption"/>
        <w:keepNext/>
      </w:pPr>
      <w:bookmarkStart w:id="13" w:name="_Toc85627887"/>
      <w:bookmarkStart w:id="14" w:name="_Toc85627893"/>
      <w:r>
        <w:t xml:space="preserve">Table </w:t>
      </w:r>
      <w:fldSimple w:instr=" SEQ Table \* ARABIC ">
        <w:r w:rsidR="009C66F7">
          <w:rPr>
            <w:noProof/>
          </w:rPr>
          <w:t>1</w:t>
        </w:r>
      </w:fldSimple>
      <w:r>
        <w:t>. Annex VI NO</w:t>
      </w:r>
      <w:r w:rsidRPr="00E54BBD">
        <w:rPr>
          <w:vertAlign w:val="subscript"/>
        </w:rPr>
        <w:t>x</w:t>
      </w:r>
      <w:r>
        <w:t xml:space="preserve"> emissions limits by Tier</w:t>
      </w:r>
      <w:bookmarkEnd w:id="13"/>
      <w:bookmarkEnd w:id="1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5"/>
        <w:gridCol w:w="1926"/>
        <w:gridCol w:w="1926"/>
        <w:gridCol w:w="1926"/>
      </w:tblGrid>
      <w:tr w:rsidR="00D25B19" w:rsidRPr="00E54BBD" w14:paraId="47925F31" w14:textId="77777777" w:rsidTr="00E54BBD">
        <w:trPr>
          <w:jc w:val="center"/>
        </w:trPr>
        <w:tc>
          <w:tcPr>
            <w:tcW w:w="1925" w:type="dxa"/>
            <w:vMerge w:val="restart"/>
            <w:vAlign w:val="center"/>
          </w:tcPr>
          <w:p w14:paraId="6AD9A03D" w14:textId="08D14DBF"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Tier</w:t>
            </w:r>
          </w:p>
        </w:tc>
        <w:tc>
          <w:tcPr>
            <w:tcW w:w="1925" w:type="dxa"/>
            <w:vMerge w:val="restart"/>
            <w:vAlign w:val="center"/>
          </w:tcPr>
          <w:p w14:paraId="39E5366D" w14:textId="7955B8DA"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Date</w:t>
            </w:r>
          </w:p>
        </w:tc>
        <w:tc>
          <w:tcPr>
            <w:tcW w:w="5778" w:type="dxa"/>
            <w:gridSpan w:val="3"/>
            <w:vAlign w:val="center"/>
          </w:tcPr>
          <w:p w14:paraId="528B5D98" w14:textId="07AEFB20"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NOx Limit [g/kWh]</w:t>
            </w:r>
          </w:p>
        </w:tc>
      </w:tr>
      <w:tr w:rsidR="00D25B19" w:rsidRPr="00E54BBD" w14:paraId="7655BD50" w14:textId="77777777" w:rsidTr="00E54BBD">
        <w:trPr>
          <w:jc w:val="center"/>
        </w:trPr>
        <w:tc>
          <w:tcPr>
            <w:tcW w:w="1925" w:type="dxa"/>
            <w:vMerge/>
            <w:tcBorders>
              <w:bottom w:val="single" w:sz="4" w:space="0" w:color="auto"/>
            </w:tcBorders>
            <w:vAlign w:val="center"/>
          </w:tcPr>
          <w:p w14:paraId="555AC5DF" w14:textId="77777777" w:rsidR="00D25B19" w:rsidRPr="00AD1ED7" w:rsidRDefault="00D25B19" w:rsidP="00E54BBD">
            <w:pPr>
              <w:spacing w:before="120" w:after="120"/>
              <w:jc w:val="center"/>
              <w:rPr>
                <w:rFonts w:cs="Calibri"/>
                <w:b/>
                <w:bCs/>
                <w:color w:val="auto"/>
                <w:sz w:val="18"/>
                <w:szCs w:val="18"/>
              </w:rPr>
            </w:pPr>
          </w:p>
        </w:tc>
        <w:tc>
          <w:tcPr>
            <w:tcW w:w="1925" w:type="dxa"/>
            <w:vMerge/>
            <w:tcBorders>
              <w:bottom w:val="single" w:sz="4" w:space="0" w:color="auto"/>
            </w:tcBorders>
            <w:vAlign w:val="center"/>
          </w:tcPr>
          <w:p w14:paraId="1665EB82" w14:textId="77777777" w:rsidR="00D25B19" w:rsidRPr="00AD1ED7" w:rsidRDefault="00D25B19" w:rsidP="00E54BBD">
            <w:pPr>
              <w:spacing w:before="120" w:after="120"/>
              <w:jc w:val="center"/>
              <w:rPr>
                <w:rFonts w:cs="Calibri"/>
                <w:b/>
                <w:bCs/>
                <w:color w:val="auto"/>
                <w:sz w:val="18"/>
                <w:szCs w:val="18"/>
              </w:rPr>
            </w:pPr>
          </w:p>
        </w:tc>
        <w:tc>
          <w:tcPr>
            <w:tcW w:w="1926" w:type="dxa"/>
            <w:tcBorders>
              <w:bottom w:val="single" w:sz="4" w:space="0" w:color="auto"/>
            </w:tcBorders>
            <w:vAlign w:val="center"/>
          </w:tcPr>
          <w:p w14:paraId="5F08987E" w14:textId="3CC08620"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n &lt; 130</w:t>
            </w:r>
          </w:p>
        </w:tc>
        <w:tc>
          <w:tcPr>
            <w:tcW w:w="1926" w:type="dxa"/>
            <w:tcBorders>
              <w:bottom w:val="single" w:sz="4" w:space="0" w:color="auto"/>
            </w:tcBorders>
            <w:vAlign w:val="center"/>
          </w:tcPr>
          <w:p w14:paraId="67CEF170" w14:textId="33AEA86C"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130 ≤ n &lt; 2000</w:t>
            </w:r>
          </w:p>
        </w:tc>
        <w:tc>
          <w:tcPr>
            <w:tcW w:w="1926" w:type="dxa"/>
            <w:tcBorders>
              <w:bottom w:val="single" w:sz="4" w:space="0" w:color="auto"/>
            </w:tcBorders>
            <w:vAlign w:val="center"/>
          </w:tcPr>
          <w:p w14:paraId="09114376" w14:textId="43C0210B"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n ≥ 2000</w:t>
            </w:r>
          </w:p>
        </w:tc>
      </w:tr>
      <w:tr w:rsidR="00394CCB" w:rsidRPr="00E54BBD" w14:paraId="4D6E4165" w14:textId="77777777" w:rsidTr="00E54BBD">
        <w:trPr>
          <w:jc w:val="center"/>
        </w:trPr>
        <w:tc>
          <w:tcPr>
            <w:tcW w:w="1925" w:type="dxa"/>
            <w:tcBorders>
              <w:top w:val="single" w:sz="4" w:space="0" w:color="auto"/>
            </w:tcBorders>
            <w:vAlign w:val="center"/>
          </w:tcPr>
          <w:p w14:paraId="524C8FC9" w14:textId="650152EA" w:rsidR="00671FF9" w:rsidRPr="00E54BBD" w:rsidRDefault="00D25B19" w:rsidP="00E54BBD">
            <w:pPr>
              <w:spacing w:before="120" w:after="120"/>
              <w:jc w:val="center"/>
              <w:rPr>
                <w:rFonts w:cs="Calibri"/>
                <w:color w:val="auto"/>
                <w:sz w:val="18"/>
                <w:szCs w:val="18"/>
              </w:rPr>
            </w:pPr>
            <w:r w:rsidRPr="00E54BBD">
              <w:rPr>
                <w:rFonts w:cs="Calibri"/>
                <w:color w:val="auto"/>
                <w:sz w:val="18"/>
                <w:szCs w:val="18"/>
              </w:rPr>
              <w:t>Tie</w:t>
            </w:r>
            <w:r w:rsidR="00671FF9" w:rsidRPr="00E54BBD">
              <w:rPr>
                <w:rFonts w:cs="Calibri"/>
                <w:color w:val="auto"/>
                <w:sz w:val="18"/>
                <w:szCs w:val="18"/>
              </w:rPr>
              <w:t>r I</w:t>
            </w:r>
          </w:p>
        </w:tc>
        <w:tc>
          <w:tcPr>
            <w:tcW w:w="1925" w:type="dxa"/>
            <w:tcBorders>
              <w:top w:val="single" w:sz="4" w:space="0" w:color="auto"/>
            </w:tcBorders>
            <w:vAlign w:val="center"/>
          </w:tcPr>
          <w:p w14:paraId="5E34F73F" w14:textId="03214475" w:rsidR="00394CCB" w:rsidRPr="00E54BBD" w:rsidRDefault="00FC7DD1" w:rsidP="00E54BBD">
            <w:pPr>
              <w:spacing w:before="120" w:after="120"/>
              <w:jc w:val="center"/>
              <w:rPr>
                <w:rFonts w:cs="Calibri"/>
                <w:color w:val="auto"/>
                <w:sz w:val="18"/>
                <w:szCs w:val="18"/>
              </w:rPr>
            </w:pPr>
            <w:r w:rsidRPr="00E54BBD">
              <w:rPr>
                <w:rFonts w:cs="Calibri"/>
                <w:color w:val="auto"/>
                <w:sz w:val="18"/>
                <w:szCs w:val="18"/>
              </w:rPr>
              <w:t>2000</w:t>
            </w:r>
          </w:p>
        </w:tc>
        <w:tc>
          <w:tcPr>
            <w:tcW w:w="1926" w:type="dxa"/>
            <w:tcBorders>
              <w:top w:val="single" w:sz="4" w:space="0" w:color="auto"/>
            </w:tcBorders>
            <w:vAlign w:val="center"/>
          </w:tcPr>
          <w:p w14:paraId="30FE14F0" w14:textId="367AC472"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17</w:t>
            </w:r>
          </w:p>
        </w:tc>
        <w:tc>
          <w:tcPr>
            <w:tcW w:w="1926" w:type="dxa"/>
            <w:tcBorders>
              <w:top w:val="single" w:sz="4" w:space="0" w:color="auto"/>
            </w:tcBorders>
            <w:vAlign w:val="center"/>
          </w:tcPr>
          <w:p w14:paraId="1E7607FE" w14:textId="35ACCF95" w:rsidR="00394CCB" w:rsidRPr="00E54BBD" w:rsidRDefault="00F931B6" w:rsidP="00E54BBD">
            <w:pPr>
              <w:spacing w:before="120" w:after="120"/>
              <w:jc w:val="center"/>
              <w:rPr>
                <w:rFonts w:cs="Calibri"/>
                <w:color w:val="auto"/>
                <w:sz w:val="18"/>
                <w:szCs w:val="18"/>
              </w:rPr>
            </w:pPr>
            <w:r w:rsidRPr="00E54BBD">
              <w:rPr>
                <w:rFonts w:cs="Calibri"/>
                <w:color w:val="auto"/>
                <w:sz w:val="18"/>
                <w:szCs w:val="18"/>
              </w:rPr>
              <w:t>45 · n</w:t>
            </w:r>
            <w:r w:rsidRPr="00E54BBD">
              <w:rPr>
                <w:rFonts w:cs="Calibri"/>
                <w:color w:val="auto"/>
                <w:sz w:val="18"/>
                <w:szCs w:val="18"/>
                <w:vertAlign w:val="superscript"/>
              </w:rPr>
              <w:t>-0.2</w:t>
            </w:r>
          </w:p>
        </w:tc>
        <w:tc>
          <w:tcPr>
            <w:tcW w:w="1926" w:type="dxa"/>
            <w:tcBorders>
              <w:top w:val="single" w:sz="4" w:space="0" w:color="auto"/>
            </w:tcBorders>
            <w:vAlign w:val="center"/>
          </w:tcPr>
          <w:p w14:paraId="311D55B8" w14:textId="79FD9E63"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9.8</w:t>
            </w:r>
          </w:p>
        </w:tc>
      </w:tr>
      <w:tr w:rsidR="00394CCB" w:rsidRPr="00E54BBD" w14:paraId="5156B527" w14:textId="77777777" w:rsidTr="00E54BBD">
        <w:trPr>
          <w:jc w:val="center"/>
        </w:trPr>
        <w:tc>
          <w:tcPr>
            <w:tcW w:w="1925" w:type="dxa"/>
            <w:vAlign w:val="center"/>
          </w:tcPr>
          <w:p w14:paraId="19CF9975" w14:textId="6DCB92BC" w:rsidR="00394CCB" w:rsidRPr="00E54BBD" w:rsidRDefault="00671FF9" w:rsidP="00E54BBD">
            <w:pPr>
              <w:spacing w:before="120" w:after="120"/>
              <w:jc w:val="center"/>
              <w:rPr>
                <w:rFonts w:cs="Calibri"/>
                <w:color w:val="auto"/>
                <w:sz w:val="18"/>
                <w:szCs w:val="18"/>
              </w:rPr>
            </w:pPr>
            <w:r w:rsidRPr="00E54BBD">
              <w:rPr>
                <w:rFonts w:cs="Calibri"/>
                <w:color w:val="auto"/>
                <w:sz w:val="18"/>
                <w:szCs w:val="18"/>
              </w:rPr>
              <w:t>Tier II*</w:t>
            </w:r>
          </w:p>
        </w:tc>
        <w:tc>
          <w:tcPr>
            <w:tcW w:w="1925" w:type="dxa"/>
            <w:vAlign w:val="center"/>
          </w:tcPr>
          <w:p w14:paraId="4C3EE835" w14:textId="711C0D6B" w:rsidR="00394CCB" w:rsidRPr="00E54BBD" w:rsidRDefault="00FC7DD1" w:rsidP="00E54BBD">
            <w:pPr>
              <w:spacing w:before="120" w:after="120"/>
              <w:jc w:val="center"/>
              <w:rPr>
                <w:rFonts w:cs="Calibri"/>
                <w:color w:val="auto"/>
                <w:sz w:val="18"/>
                <w:szCs w:val="18"/>
              </w:rPr>
            </w:pPr>
            <w:r w:rsidRPr="00E54BBD">
              <w:rPr>
                <w:rFonts w:cs="Calibri"/>
                <w:color w:val="auto"/>
                <w:sz w:val="18"/>
                <w:szCs w:val="18"/>
              </w:rPr>
              <w:t>2011</w:t>
            </w:r>
          </w:p>
        </w:tc>
        <w:tc>
          <w:tcPr>
            <w:tcW w:w="1926" w:type="dxa"/>
            <w:vAlign w:val="center"/>
          </w:tcPr>
          <w:p w14:paraId="245F16C4" w14:textId="66F0AE1A"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14.4</w:t>
            </w:r>
          </w:p>
        </w:tc>
        <w:tc>
          <w:tcPr>
            <w:tcW w:w="1926" w:type="dxa"/>
            <w:vAlign w:val="center"/>
          </w:tcPr>
          <w:p w14:paraId="6EF92B0D" w14:textId="275AFA5C" w:rsidR="00394CCB" w:rsidRPr="00E54BBD" w:rsidRDefault="00E928C7" w:rsidP="00E54BBD">
            <w:pPr>
              <w:spacing w:before="120" w:after="120"/>
              <w:jc w:val="center"/>
              <w:rPr>
                <w:rFonts w:cs="Calibri"/>
                <w:color w:val="auto"/>
                <w:sz w:val="18"/>
                <w:szCs w:val="18"/>
              </w:rPr>
            </w:pPr>
            <w:r w:rsidRPr="00E54BBD">
              <w:rPr>
                <w:rFonts w:cs="Calibri"/>
                <w:color w:val="auto"/>
                <w:sz w:val="18"/>
                <w:szCs w:val="18"/>
              </w:rPr>
              <w:t>44 · n</w:t>
            </w:r>
            <w:r w:rsidRPr="00E54BBD">
              <w:rPr>
                <w:rFonts w:cs="Calibri"/>
                <w:color w:val="auto"/>
                <w:sz w:val="18"/>
                <w:szCs w:val="18"/>
                <w:vertAlign w:val="superscript"/>
              </w:rPr>
              <w:t>-0.2</w:t>
            </w:r>
          </w:p>
        </w:tc>
        <w:tc>
          <w:tcPr>
            <w:tcW w:w="1926" w:type="dxa"/>
            <w:vAlign w:val="center"/>
          </w:tcPr>
          <w:p w14:paraId="67F5875C" w14:textId="6ABD2159"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7.7</w:t>
            </w:r>
          </w:p>
        </w:tc>
      </w:tr>
      <w:tr w:rsidR="00671FF9" w:rsidRPr="00E54BBD" w14:paraId="5E5FD400" w14:textId="77777777" w:rsidTr="00E54BBD">
        <w:trPr>
          <w:jc w:val="center"/>
        </w:trPr>
        <w:tc>
          <w:tcPr>
            <w:tcW w:w="1925" w:type="dxa"/>
            <w:tcBorders>
              <w:bottom w:val="single" w:sz="4" w:space="0" w:color="auto"/>
            </w:tcBorders>
            <w:vAlign w:val="center"/>
          </w:tcPr>
          <w:p w14:paraId="27FC0D67" w14:textId="017ABD54" w:rsidR="00671FF9" w:rsidRPr="00E54BBD" w:rsidRDefault="00671FF9" w:rsidP="00E54BBD">
            <w:pPr>
              <w:spacing w:before="120" w:after="120"/>
              <w:jc w:val="center"/>
              <w:rPr>
                <w:rFonts w:cs="Calibri"/>
                <w:color w:val="auto"/>
                <w:sz w:val="18"/>
                <w:szCs w:val="18"/>
              </w:rPr>
            </w:pPr>
            <w:r w:rsidRPr="00E54BBD">
              <w:rPr>
                <w:rFonts w:cs="Calibri"/>
                <w:color w:val="auto"/>
                <w:sz w:val="18"/>
                <w:szCs w:val="18"/>
              </w:rPr>
              <w:t>Tier III</w:t>
            </w:r>
            <w:r w:rsidR="00DA728D" w:rsidRPr="00E54BBD">
              <w:rPr>
                <w:rFonts w:cs="Calibri"/>
                <w:color w:val="auto"/>
                <w:sz w:val="18"/>
                <w:szCs w:val="18"/>
              </w:rPr>
              <w:t>**</w:t>
            </w:r>
          </w:p>
        </w:tc>
        <w:tc>
          <w:tcPr>
            <w:tcW w:w="1925" w:type="dxa"/>
            <w:tcBorders>
              <w:bottom w:val="single" w:sz="4" w:space="0" w:color="auto"/>
            </w:tcBorders>
            <w:vAlign w:val="center"/>
          </w:tcPr>
          <w:p w14:paraId="0B9AED6E" w14:textId="0E9E1C66" w:rsidR="00671FF9" w:rsidRPr="00E54BBD" w:rsidRDefault="00182601" w:rsidP="00E54BBD">
            <w:pPr>
              <w:spacing w:before="120" w:after="120"/>
              <w:jc w:val="center"/>
              <w:rPr>
                <w:rFonts w:cs="Calibri"/>
                <w:color w:val="auto"/>
                <w:sz w:val="18"/>
                <w:szCs w:val="18"/>
              </w:rPr>
            </w:pPr>
            <w:r w:rsidRPr="00E54BBD">
              <w:rPr>
                <w:rFonts w:cs="Calibri"/>
                <w:color w:val="auto"/>
                <w:sz w:val="18"/>
                <w:szCs w:val="18"/>
              </w:rPr>
              <w:t>2016</w:t>
            </w:r>
          </w:p>
        </w:tc>
        <w:tc>
          <w:tcPr>
            <w:tcW w:w="1926" w:type="dxa"/>
            <w:tcBorders>
              <w:bottom w:val="single" w:sz="4" w:space="0" w:color="auto"/>
            </w:tcBorders>
            <w:vAlign w:val="center"/>
          </w:tcPr>
          <w:p w14:paraId="5193539A" w14:textId="6FDADAB1" w:rsidR="00671FF9" w:rsidRPr="00E54BBD" w:rsidRDefault="00182601" w:rsidP="00E54BBD">
            <w:pPr>
              <w:spacing w:before="120" w:after="120"/>
              <w:jc w:val="center"/>
              <w:rPr>
                <w:rFonts w:cs="Calibri"/>
                <w:color w:val="auto"/>
                <w:sz w:val="18"/>
                <w:szCs w:val="18"/>
              </w:rPr>
            </w:pPr>
            <w:r w:rsidRPr="00E54BBD">
              <w:rPr>
                <w:rFonts w:cs="Calibri"/>
                <w:color w:val="auto"/>
                <w:sz w:val="18"/>
                <w:szCs w:val="18"/>
              </w:rPr>
              <w:t>3.4</w:t>
            </w:r>
          </w:p>
        </w:tc>
        <w:tc>
          <w:tcPr>
            <w:tcW w:w="1926" w:type="dxa"/>
            <w:tcBorders>
              <w:bottom w:val="single" w:sz="4" w:space="0" w:color="auto"/>
            </w:tcBorders>
            <w:vAlign w:val="center"/>
          </w:tcPr>
          <w:p w14:paraId="1BFB0F18" w14:textId="7BB40E81" w:rsidR="00671FF9" w:rsidRPr="00E54BBD" w:rsidRDefault="00E928C7" w:rsidP="00E54BBD">
            <w:pPr>
              <w:spacing w:before="120" w:after="120"/>
              <w:jc w:val="center"/>
              <w:rPr>
                <w:rFonts w:cs="Calibri"/>
                <w:color w:val="auto"/>
                <w:sz w:val="18"/>
                <w:szCs w:val="18"/>
              </w:rPr>
            </w:pPr>
            <w:r w:rsidRPr="00E54BBD">
              <w:rPr>
                <w:rFonts w:cs="Calibri"/>
                <w:color w:val="auto"/>
                <w:sz w:val="18"/>
                <w:szCs w:val="18"/>
              </w:rPr>
              <w:t>9 · n</w:t>
            </w:r>
            <w:r w:rsidRPr="00E54BBD">
              <w:rPr>
                <w:rFonts w:cs="Calibri"/>
                <w:color w:val="auto"/>
                <w:sz w:val="18"/>
                <w:szCs w:val="18"/>
                <w:vertAlign w:val="superscript"/>
              </w:rPr>
              <w:t>-0.2</w:t>
            </w:r>
          </w:p>
        </w:tc>
        <w:tc>
          <w:tcPr>
            <w:tcW w:w="1926" w:type="dxa"/>
            <w:tcBorders>
              <w:bottom w:val="single" w:sz="4" w:space="0" w:color="auto"/>
            </w:tcBorders>
            <w:vAlign w:val="center"/>
          </w:tcPr>
          <w:p w14:paraId="097EBE86" w14:textId="4AF56109" w:rsidR="00671FF9" w:rsidRPr="00E54BBD" w:rsidRDefault="00182601" w:rsidP="00E54BBD">
            <w:pPr>
              <w:spacing w:before="120" w:after="120"/>
              <w:jc w:val="center"/>
              <w:rPr>
                <w:rFonts w:cs="Calibri"/>
                <w:color w:val="auto"/>
                <w:sz w:val="18"/>
                <w:szCs w:val="18"/>
              </w:rPr>
            </w:pPr>
            <w:r w:rsidRPr="00E54BBD">
              <w:rPr>
                <w:rFonts w:cs="Calibri"/>
                <w:color w:val="auto"/>
                <w:sz w:val="18"/>
                <w:szCs w:val="18"/>
              </w:rPr>
              <w:t>1.96</w:t>
            </w:r>
          </w:p>
        </w:tc>
      </w:tr>
    </w:tbl>
    <w:p w14:paraId="2B3053CE" w14:textId="3B0214D7" w:rsidR="00037B04" w:rsidRDefault="00FC7DD1" w:rsidP="00FC7DD1">
      <w:pPr>
        <w:spacing w:after="120" w:line="360" w:lineRule="auto"/>
        <w:rPr>
          <w:rFonts w:cs="Calibri"/>
          <w:color w:val="auto"/>
          <w:sz w:val="18"/>
          <w:szCs w:val="18"/>
        </w:rPr>
      </w:pPr>
      <w:r w:rsidRPr="00E54BBD">
        <w:rPr>
          <w:rFonts w:cs="Calibri"/>
          <w:color w:val="auto"/>
          <w:sz w:val="18"/>
          <w:szCs w:val="18"/>
        </w:rPr>
        <w:t>*Apply for areas outside ECAs.</w:t>
      </w:r>
      <w:r w:rsidR="00DA728D" w:rsidRPr="00E54BBD">
        <w:rPr>
          <w:rFonts w:cs="Calibri"/>
          <w:color w:val="auto"/>
          <w:sz w:val="18"/>
          <w:szCs w:val="18"/>
        </w:rPr>
        <w:t xml:space="preserve"> **</w:t>
      </w:r>
      <w:r w:rsidR="00F931B6" w:rsidRPr="00E54BBD">
        <w:rPr>
          <w:rFonts w:cs="Calibri"/>
          <w:color w:val="auto"/>
          <w:sz w:val="18"/>
          <w:szCs w:val="18"/>
        </w:rPr>
        <w:t>Apply in ECAs</w:t>
      </w:r>
    </w:p>
    <w:p w14:paraId="59E65844" w14:textId="77777777" w:rsidR="007B4B4D" w:rsidRPr="00E54BBD" w:rsidRDefault="007B4B4D" w:rsidP="00FC7DD1">
      <w:pPr>
        <w:spacing w:after="120" w:line="360" w:lineRule="auto"/>
        <w:rPr>
          <w:rFonts w:cs="Calibri"/>
          <w:color w:val="auto"/>
          <w:sz w:val="18"/>
          <w:szCs w:val="18"/>
        </w:rPr>
      </w:pPr>
    </w:p>
    <w:p w14:paraId="47CB6118" w14:textId="77777777" w:rsidR="00D16A2F" w:rsidRDefault="0006573F" w:rsidP="009E3D26">
      <w:pPr>
        <w:keepNext/>
        <w:spacing w:after="120" w:line="360" w:lineRule="auto"/>
      </w:pPr>
      <w:r>
        <w:rPr>
          <w:noProof/>
        </w:rPr>
        <w:lastRenderedPageBreak/>
        <w:drawing>
          <wp:inline distT="0" distB="0" distL="0" distR="0" wp14:anchorId="31BF776E" wp14:editId="59ACACCD">
            <wp:extent cx="6120130" cy="2909570"/>
            <wp:effectExtent l="0" t="0" r="0" b="5080"/>
            <wp:docPr id="6" name="Picture 6" descr="T1_Ind_284_current_seca_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_Ind_284_current_seca_zo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909570"/>
                    </a:xfrm>
                    <a:prstGeom prst="rect">
                      <a:avLst/>
                    </a:prstGeom>
                    <a:noFill/>
                    <a:ln>
                      <a:noFill/>
                    </a:ln>
                  </pic:spPr>
                </pic:pic>
              </a:graphicData>
            </a:graphic>
          </wp:inline>
        </w:drawing>
      </w:r>
    </w:p>
    <w:p w14:paraId="28940B59" w14:textId="74E52F67" w:rsidR="0006573F" w:rsidRDefault="00D16A2F" w:rsidP="009E3D26">
      <w:pPr>
        <w:pStyle w:val="Caption"/>
        <w:spacing w:before="0" w:line="360" w:lineRule="auto"/>
        <w:rPr>
          <w:rFonts w:cs="Calibri"/>
          <w:color w:val="auto"/>
          <w:sz w:val="22"/>
        </w:rPr>
      </w:pPr>
      <w:bookmarkStart w:id="15" w:name="_Toc85627879"/>
      <w:r>
        <w:t xml:space="preserve">Figure </w:t>
      </w:r>
      <w:fldSimple w:instr=" SEQ Figure \* ARABIC ">
        <w:r w:rsidR="009C66F7">
          <w:rPr>
            <w:noProof/>
          </w:rPr>
          <w:t>1</w:t>
        </w:r>
      </w:fldSimple>
      <w:r>
        <w:t xml:space="preserve">. </w:t>
      </w:r>
      <w:r w:rsidRPr="0057124F">
        <w:t>Emission control areas (ECA)</w:t>
      </w:r>
      <w:r w:rsidR="00954F40">
        <w:t xml:space="preserve"> (</w:t>
      </w:r>
      <w:r w:rsidRPr="0057124F">
        <w:t xml:space="preserve"> Source: DND GL</w:t>
      </w:r>
      <w:r w:rsidR="00954F40">
        <w:t>).</w:t>
      </w:r>
      <w:bookmarkEnd w:id="15"/>
    </w:p>
    <w:p w14:paraId="46625C01" w14:textId="1EE499CD" w:rsidR="005A7A2C" w:rsidRDefault="5EA34800" w:rsidP="5937A937">
      <w:pPr>
        <w:spacing w:after="120" w:line="360" w:lineRule="auto"/>
        <w:ind w:firstLine="709"/>
        <w:rPr>
          <w:rFonts w:cs="Calibri"/>
          <w:color w:val="auto"/>
          <w:sz w:val="24"/>
          <w:szCs w:val="24"/>
        </w:rPr>
      </w:pPr>
      <w:r w:rsidRPr="59587566">
        <w:rPr>
          <w:rFonts w:cs="Calibri"/>
          <w:color w:val="auto"/>
          <w:sz w:val="22"/>
          <w:szCs w:val="22"/>
        </w:rPr>
        <w:t xml:space="preserve">In </w:t>
      </w:r>
      <w:r w:rsidR="5801EBDA" w:rsidRPr="59587566">
        <w:rPr>
          <w:rFonts w:cs="Calibri"/>
          <w:color w:val="auto"/>
          <w:sz w:val="22"/>
          <w:szCs w:val="22"/>
        </w:rPr>
        <w:t>2018, IMO</w:t>
      </w:r>
      <w:r w:rsidRPr="59587566">
        <w:rPr>
          <w:rFonts w:cs="Calibri"/>
          <w:color w:val="auto"/>
          <w:sz w:val="22"/>
          <w:szCs w:val="22"/>
        </w:rPr>
        <w:t xml:space="preserve"> adopted </w:t>
      </w:r>
      <w:r w:rsidR="399470AE" w:rsidRPr="59587566">
        <w:rPr>
          <w:rFonts w:cs="Calibri"/>
          <w:color w:val="auto"/>
          <w:sz w:val="22"/>
          <w:szCs w:val="22"/>
        </w:rPr>
        <w:t>the</w:t>
      </w:r>
      <w:r w:rsidRPr="59587566">
        <w:rPr>
          <w:rFonts w:cs="Calibri"/>
          <w:color w:val="auto"/>
          <w:sz w:val="22"/>
          <w:szCs w:val="22"/>
        </w:rPr>
        <w:t xml:space="preserve"> strategy to reduce the GHG emission by 40% in 2030 and 50% in 2050, with respect to 2008 baseline </w:t>
      </w:r>
      <w:r w:rsidR="005A7A2C" w:rsidRPr="59587566">
        <w:rPr>
          <w:rFonts w:cs="Calibri"/>
          <w:color w:val="auto"/>
          <w:sz w:val="22"/>
          <w:szCs w:val="22"/>
        </w:rPr>
        <w:fldChar w:fldCharType="begin" w:fldLock="1"/>
      </w:r>
      <w:r w:rsidR="005A7A2C" w:rsidRPr="59587566">
        <w:rPr>
          <w:rFonts w:cs="Calibri"/>
          <w:color w:val="auto"/>
          <w:sz w:val="22"/>
          <w:szCs w:val="22"/>
        </w:rPr>
        <w:instrText>ADDIN CSL_CITATION {"citationItems":[{"id":"ITEM-1","itemData":{"author":[{"dropping-particle":"","family":"Yuanrong Zhou","given":"Nikita Pavlenko","non-dropping-particle":"","parse-names":false,"suffix":""}],"container-title":"International Council on Clean Transportation","id":"ITEM-1","issue":"September","issued":{"date-parts":[["2020"]]},"title":"The potential of liquid biofuels in reducing ship emissions | International Council on Clean Transportation","type":"article-journal"},"uris":["http://www.mendeley.com/documents/?uuid=b068b5b9-4ddb-42c8-b9fb-6ed4f5b5341f"]},{"id":"ITEM-2","itemData":{"DOI":"10.1007/s12027-020-00637-3","ISSN":"18639038","abstract":"The European Green Deal announced by the European Commission in December 2019 is a roadmap meant to foster the transition of the European Union towards the climate-neutral economy by reducing carbon emissions towards 55% by 2030 and achieving carbon neutrality by 2050. By putting the EGD in a boarder perspective of evolving, constitutional rationale of environmental protection in the EU legal order, this contribution examines horizontal, legal dimension and financial implications of the green transition. The challenge ahead of the Union is now how to transform the ambitious climate agenda into efficient legal and economic instruments ‘in a fair way, leaving no one behind’. This paper argues that EGD is a great opportunity, but in order to turn it into a success, it must be strongly anchored in the concepts pertaining to the constitutional framework of the EU legal order, in particular, the concepts of solidarity, sustainable development and high level of environmental protection.","author":[{"dropping-particle":"","family":"Sikora","given":"Alicja","non-dropping-particle":"","parse-names":false,"suffix":""}],"container-title":"ERA Forum","id":"ITEM-2","issued":{"date-parts":[["2020"]]},"page":"681-697","publisher":"The Author(s)","title":"European Green Deal – legal and financial challenges of the climate change","type":"article-journal"},"uris":["http://www.mendeley.com/documents/?uuid=28a71f4b-3341-4579-a677-8efa15a33d7a"]}],"mendeley":{"formattedCitation":"(Sikora, 2020; Yuanrong Zhou, 2020)","plainTextFormattedCitation":"(Sikora, 2020; Yuanrong Zhou, 2020)","previouslyFormattedCitation":"(Sikora, 2020; Yuanrong Zhou, 2020)"},"properties":{"noteIndex":0},"schema":"https://github.com/citation-style-language/schema/raw/master/csl-citation.json"}</w:instrText>
      </w:r>
      <w:r w:rsidR="005A7A2C" w:rsidRPr="59587566">
        <w:rPr>
          <w:rFonts w:cs="Calibri"/>
          <w:color w:val="auto"/>
          <w:sz w:val="22"/>
          <w:szCs w:val="22"/>
        </w:rPr>
        <w:fldChar w:fldCharType="separate"/>
      </w:r>
      <w:r w:rsidRPr="59587566">
        <w:rPr>
          <w:rFonts w:cs="Calibri"/>
          <w:noProof/>
          <w:color w:val="auto"/>
          <w:sz w:val="22"/>
          <w:szCs w:val="22"/>
        </w:rPr>
        <w:t>(Sikora, 2020; Yuanrong Zhou, 2020)</w:t>
      </w:r>
      <w:r w:rsidR="005A7A2C" w:rsidRPr="59587566">
        <w:rPr>
          <w:rFonts w:cs="Calibri"/>
          <w:color w:val="auto"/>
          <w:sz w:val="22"/>
          <w:szCs w:val="22"/>
        </w:rPr>
        <w:fldChar w:fldCharType="end"/>
      </w:r>
      <w:r w:rsidRPr="59587566">
        <w:rPr>
          <w:rFonts w:cs="Calibri"/>
          <w:color w:val="auto"/>
          <w:sz w:val="22"/>
          <w:szCs w:val="22"/>
        </w:rPr>
        <w:t xml:space="preserve">. </w:t>
      </w:r>
      <w:r w:rsidR="7C3C4467" w:rsidRPr="59587566">
        <w:rPr>
          <w:rFonts w:cs="Calibri"/>
          <w:color w:val="auto"/>
          <w:sz w:val="22"/>
          <w:szCs w:val="22"/>
        </w:rPr>
        <w:t>Consequently, i</w:t>
      </w:r>
      <w:r w:rsidRPr="59587566">
        <w:rPr>
          <w:rFonts w:cs="Calibri"/>
          <w:color w:val="auto"/>
          <w:sz w:val="22"/>
          <w:szCs w:val="22"/>
        </w:rPr>
        <w:t xml:space="preserve">t is expected </w:t>
      </w:r>
      <w:r w:rsidR="53981A66" w:rsidRPr="59587566">
        <w:rPr>
          <w:rFonts w:cs="Calibri"/>
          <w:color w:val="auto"/>
          <w:sz w:val="22"/>
          <w:szCs w:val="22"/>
        </w:rPr>
        <w:t xml:space="preserve">a </w:t>
      </w:r>
      <w:r w:rsidRPr="59587566">
        <w:rPr>
          <w:rFonts w:cs="Calibri"/>
          <w:color w:val="auto"/>
          <w:sz w:val="22"/>
          <w:szCs w:val="22"/>
        </w:rPr>
        <w:t>high investment in R&amp;D, infrastructure and trials to support the development of new technologies and fuels</w:t>
      </w:r>
      <w:r w:rsidR="63520FA2" w:rsidRPr="59587566">
        <w:rPr>
          <w:rFonts w:cs="Calibri"/>
          <w:color w:val="auto"/>
          <w:sz w:val="22"/>
          <w:szCs w:val="22"/>
        </w:rPr>
        <w:t xml:space="preserve"> to</w:t>
      </w:r>
      <w:r w:rsidRPr="59587566">
        <w:rPr>
          <w:rFonts w:cs="Calibri"/>
          <w:color w:val="auto"/>
          <w:sz w:val="22"/>
          <w:szCs w:val="22"/>
        </w:rPr>
        <w:t xml:space="preserve"> </w:t>
      </w:r>
      <w:r w:rsidR="36B70121" w:rsidRPr="59587566">
        <w:rPr>
          <w:rFonts w:cs="Calibri"/>
          <w:color w:val="auto"/>
          <w:sz w:val="22"/>
          <w:szCs w:val="22"/>
        </w:rPr>
        <w:t>meet</w:t>
      </w:r>
      <w:r w:rsidRPr="59587566">
        <w:rPr>
          <w:rFonts w:cs="Calibri"/>
          <w:color w:val="auto"/>
          <w:sz w:val="22"/>
          <w:szCs w:val="22"/>
        </w:rPr>
        <w:t xml:space="preserve"> </w:t>
      </w:r>
      <w:r w:rsidR="60129367" w:rsidRPr="59587566">
        <w:rPr>
          <w:rFonts w:cs="Calibri"/>
          <w:color w:val="auto"/>
          <w:sz w:val="22"/>
          <w:szCs w:val="22"/>
        </w:rPr>
        <w:t>such</w:t>
      </w:r>
      <w:r w:rsidRPr="59587566">
        <w:rPr>
          <w:rFonts w:cs="Calibri"/>
          <w:color w:val="auto"/>
          <w:sz w:val="22"/>
          <w:szCs w:val="22"/>
        </w:rPr>
        <w:t xml:space="preserve"> targets </w:t>
      </w:r>
      <w:r w:rsidR="005A7A2C" w:rsidRPr="59587566">
        <w:rPr>
          <w:rFonts w:cs="Calibri"/>
          <w:color w:val="auto"/>
          <w:sz w:val="22"/>
          <w:szCs w:val="22"/>
        </w:rPr>
        <w:fldChar w:fldCharType="begin" w:fldLock="1"/>
      </w:r>
      <w:r w:rsidR="005A7A2C" w:rsidRPr="59587566">
        <w:rPr>
          <w:rFonts w:cs="Calibri"/>
          <w:color w:val="auto"/>
          <w:sz w:val="22"/>
          <w:szCs w:val="22"/>
        </w:rPr>
        <w:instrText>ADDIN CSL_CITATION {"citationItems":[{"id":"ITEM-1","itemData":{"URL":"https://www.imo.org/en/MediaCentre/PressBriefings/Pages/06GHGinitialstrategy.aspx","author":[{"dropping-particle":"","family":"International Maritime Organization","given":"","non-dropping-particle":"","parse-names":false,"suffix":""}],"id":"ITEM-1","issued":{"date-parts":[["2019"]]},"title":"UN body adopts climate change strategy for shipping","type":"webpage"},"uris":["http://www.mendeley.com/documents/?uuid=b7448477-ab54-4ab8-9e03-f999bf59beda"]}],"mendeley":{"formattedCitation":"(International Maritime Organization, 2019)","plainTextFormattedCitation":"(International Maritime Organization, 2019)","previouslyFormattedCitation":"(International Maritime Organization, 2019)"},"properties":{"noteIndex":0},"schema":"https://github.com/citation-style-language/schema/raw/master/csl-citation.json"}</w:instrText>
      </w:r>
      <w:r w:rsidR="005A7A2C" w:rsidRPr="59587566">
        <w:rPr>
          <w:rFonts w:cs="Calibri"/>
          <w:color w:val="auto"/>
          <w:sz w:val="22"/>
          <w:szCs w:val="22"/>
        </w:rPr>
        <w:fldChar w:fldCharType="separate"/>
      </w:r>
      <w:r w:rsidRPr="59587566">
        <w:rPr>
          <w:rFonts w:cs="Calibri"/>
          <w:noProof/>
          <w:color w:val="auto"/>
          <w:sz w:val="22"/>
          <w:szCs w:val="22"/>
        </w:rPr>
        <w:t>(International Maritime Organization, 2019)</w:t>
      </w:r>
      <w:r w:rsidR="005A7A2C" w:rsidRPr="59587566">
        <w:rPr>
          <w:rFonts w:cs="Calibri"/>
          <w:color w:val="auto"/>
          <w:sz w:val="22"/>
          <w:szCs w:val="22"/>
        </w:rPr>
        <w:fldChar w:fldCharType="end"/>
      </w:r>
      <w:r w:rsidRPr="59587566">
        <w:rPr>
          <w:rFonts w:cs="Calibri"/>
          <w:color w:val="auto"/>
          <w:sz w:val="22"/>
          <w:szCs w:val="22"/>
        </w:rPr>
        <w:t xml:space="preserve">. </w:t>
      </w:r>
      <w:r w:rsidR="00D72716">
        <w:rPr>
          <w:rFonts w:cs="Calibri"/>
          <w:color w:val="auto"/>
          <w:sz w:val="22"/>
          <w:szCs w:val="22"/>
        </w:rPr>
        <w:t>R</w:t>
      </w:r>
      <w:r w:rsidRPr="59587566">
        <w:rPr>
          <w:rFonts w:cs="Calibri"/>
          <w:color w:val="auto"/>
          <w:sz w:val="22"/>
          <w:szCs w:val="22"/>
        </w:rPr>
        <w:t>evision o</w:t>
      </w:r>
      <w:r w:rsidR="75C817D3" w:rsidRPr="59587566">
        <w:rPr>
          <w:rFonts w:cs="Calibri"/>
          <w:color w:val="auto"/>
          <w:sz w:val="22"/>
          <w:szCs w:val="22"/>
        </w:rPr>
        <w:t>n the strategy adopted for</w:t>
      </w:r>
      <w:r w:rsidRPr="59587566">
        <w:rPr>
          <w:rFonts w:cs="Calibri"/>
          <w:color w:val="auto"/>
          <w:sz w:val="22"/>
          <w:szCs w:val="22"/>
        </w:rPr>
        <w:t xml:space="preserve"> GHG </w:t>
      </w:r>
      <w:r w:rsidR="317C1B7B" w:rsidRPr="59587566">
        <w:rPr>
          <w:rFonts w:cs="Calibri"/>
          <w:color w:val="auto"/>
          <w:sz w:val="22"/>
          <w:szCs w:val="22"/>
        </w:rPr>
        <w:t>mitigation</w:t>
      </w:r>
      <w:r w:rsidRPr="59587566">
        <w:rPr>
          <w:rFonts w:cs="Calibri"/>
          <w:color w:val="auto"/>
          <w:sz w:val="22"/>
          <w:szCs w:val="22"/>
        </w:rPr>
        <w:t xml:space="preserve"> is expected </w:t>
      </w:r>
      <w:r w:rsidR="54B34AD4" w:rsidRPr="59587566">
        <w:rPr>
          <w:rFonts w:cs="Calibri"/>
          <w:color w:val="auto"/>
          <w:sz w:val="22"/>
          <w:szCs w:val="22"/>
        </w:rPr>
        <w:t>by</w:t>
      </w:r>
      <w:r w:rsidRPr="59587566">
        <w:rPr>
          <w:rFonts w:cs="Calibri"/>
          <w:color w:val="auto"/>
          <w:sz w:val="22"/>
          <w:szCs w:val="22"/>
        </w:rPr>
        <w:t xml:space="preserve"> 2023</w:t>
      </w:r>
      <w:r w:rsidR="6428AC3D" w:rsidRPr="59587566">
        <w:rPr>
          <w:rFonts w:cs="Calibri"/>
          <w:color w:val="auto"/>
          <w:sz w:val="22"/>
          <w:szCs w:val="22"/>
        </w:rPr>
        <w:t>,</w:t>
      </w:r>
      <w:r w:rsidRPr="59587566">
        <w:rPr>
          <w:rFonts w:cs="Calibri"/>
          <w:color w:val="auto"/>
          <w:sz w:val="22"/>
          <w:szCs w:val="22"/>
        </w:rPr>
        <w:t xml:space="preserve"> whe</w:t>
      </w:r>
      <w:r w:rsidR="142230B5" w:rsidRPr="59587566">
        <w:rPr>
          <w:rFonts w:cs="Calibri"/>
          <w:color w:val="auto"/>
          <w:sz w:val="22"/>
          <w:szCs w:val="22"/>
        </w:rPr>
        <w:t>n</w:t>
      </w:r>
      <w:r w:rsidRPr="59587566">
        <w:rPr>
          <w:rFonts w:cs="Calibri"/>
          <w:color w:val="auto"/>
          <w:sz w:val="22"/>
          <w:szCs w:val="22"/>
        </w:rPr>
        <w:t xml:space="preserve"> </w:t>
      </w:r>
      <w:r w:rsidR="069BA89B" w:rsidRPr="59587566">
        <w:rPr>
          <w:rFonts w:cs="Calibri"/>
          <w:color w:val="auto"/>
          <w:sz w:val="22"/>
          <w:szCs w:val="22"/>
        </w:rPr>
        <w:t xml:space="preserve">updated directives </w:t>
      </w:r>
      <w:r w:rsidR="524BE03C" w:rsidRPr="59587566">
        <w:rPr>
          <w:rFonts w:cs="Calibri"/>
          <w:color w:val="auto"/>
          <w:sz w:val="22"/>
          <w:szCs w:val="22"/>
        </w:rPr>
        <w:t>will be considered in global scale by IMO</w:t>
      </w:r>
      <w:r w:rsidR="003A6712">
        <w:rPr>
          <w:rFonts w:cs="Calibri"/>
          <w:color w:val="auto"/>
          <w:sz w:val="22"/>
          <w:szCs w:val="22"/>
        </w:rPr>
        <w:t xml:space="preserve"> </w:t>
      </w:r>
      <w:r w:rsidR="005A7A2C" w:rsidRPr="59587566">
        <w:rPr>
          <w:rFonts w:cs="Calibri"/>
          <w:color w:val="auto"/>
          <w:sz w:val="22"/>
          <w:szCs w:val="22"/>
        </w:rPr>
        <w:fldChar w:fldCharType="begin" w:fldLock="1"/>
      </w:r>
      <w:r w:rsidR="005A7A2C" w:rsidRPr="59587566">
        <w:rPr>
          <w:rFonts w:cs="Calibri"/>
          <w:color w:val="auto"/>
          <w:sz w:val="22"/>
          <w:szCs w:val="22"/>
        </w:rPr>
        <w:instrText>ADDIN CSL_CITATION {"citationItems":[{"id":"ITEM-1","itemData":{"author":[{"dropping-particle":"","family":"Yuanrong Zhou","given":"Nikita Pavlenko","non-dropping-particle":"","parse-names":false,"suffix":""}],"container-title":"International Council on Clean Transportation","id":"ITEM-1","issue":"September","issued":{"date-parts":[["2020"]]},"title":"The potential of liquid biofuels in reducing ship emissions | International Council on Clean Transportation","type":"article-journal"},"uris":["http://www.mendeley.com/documents/?uuid=b068b5b9-4ddb-42c8-b9fb-6ed4f5b5341f"]}],"mendeley":{"formattedCitation":"(Yuanrong Zhou, 2020)","plainTextFormattedCitation":"(Yuanrong Zhou, 2020)","previouslyFormattedCitation":"(Yuanrong Zhou, 2020)"},"properties":{"noteIndex":0},"schema":"https://github.com/citation-style-language/schema/raw/master/csl-citation.json"}</w:instrText>
      </w:r>
      <w:r w:rsidR="005A7A2C" w:rsidRPr="59587566">
        <w:rPr>
          <w:rFonts w:cs="Calibri"/>
          <w:color w:val="auto"/>
          <w:sz w:val="22"/>
          <w:szCs w:val="22"/>
        </w:rPr>
        <w:fldChar w:fldCharType="separate"/>
      </w:r>
      <w:r w:rsidR="5D4AE8D4" w:rsidRPr="59587566">
        <w:rPr>
          <w:rFonts w:cs="Calibri"/>
          <w:noProof/>
          <w:color w:val="auto"/>
          <w:sz w:val="22"/>
          <w:szCs w:val="22"/>
        </w:rPr>
        <w:t>(Yuanrong Zhou, 2020)</w:t>
      </w:r>
      <w:r w:rsidR="005A7A2C" w:rsidRPr="59587566">
        <w:rPr>
          <w:rFonts w:cs="Calibri"/>
          <w:color w:val="auto"/>
          <w:sz w:val="22"/>
          <w:szCs w:val="22"/>
        </w:rPr>
        <w:fldChar w:fldCharType="end"/>
      </w:r>
      <w:r w:rsidRPr="59587566">
        <w:rPr>
          <w:rFonts w:cs="Calibri"/>
          <w:color w:val="auto"/>
          <w:sz w:val="22"/>
          <w:szCs w:val="22"/>
        </w:rPr>
        <w:t>.</w:t>
      </w:r>
      <w:r w:rsidRPr="59587566">
        <w:rPr>
          <w:rFonts w:cs="Calibri"/>
          <w:color w:val="auto"/>
          <w:sz w:val="24"/>
          <w:szCs w:val="24"/>
        </w:rPr>
        <w:t xml:space="preserve"> </w:t>
      </w:r>
    </w:p>
    <w:p w14:paraId="7D0B3316" w14:textId="66AEEBB4" w:rsidR="2180D552" w:rsidRDefault="2180D552" w:rsidP="59587566">
      <w:pPr>
        <w:spacing w:after="120" w:line="360" w:lineRule="auto"/>
        <w:ind w:firstLine="709"/>
        <w:rPr>
          <w:rFonts w:cs="Calibri"/>
          <w:color w:val="FF0000"/>
          <w:sz w:val="22"/>
          <w:szCs w:val="22"/>
          <w:lang w:val="en-GB"/>
        </w:rPr>
      </w:pPr>
      <w:r w:rsidRPr="00BF4637">
        <w:rPr>
          <w:rFonts w:cs="Calibri"/>
          <w:color w:val="auto"/>
          <w:sz w:val="22"/>
          <w:szCs w:val="22"/>
          <w:lang w:val="en-GB"/>
        </w:rPr>
        <w:t xml:space="preserve">With these regulations in </w:t>
      </w:r>
      <w:r w:rsidR="62CAFB44" w:rsidRPr="00BF4637">
        <w:rPr>
          <w:rFonts w:cs="Calibri"/>
          <w:color w:val="auto"/>
          <w:sz w:val="22"/>
          <w:szCs w:val="22"/>
          <w:lang w:val="en-GB"/>
        </w:rPr>
        <w:t>place,</w:t>
      </w:r>
      <w:r w:rsidRPr="00BF4637">
        <w:rPr>
          <w:rFonts w:cs="Calibri"/>
          <w:color w:val="auto"/>
          <w:sz w:val="22"/>
          <w:szCs w:val="22"/>
          <w:lang w:val="en-GB"/>
        </w:rPr>
        <w:t xml:space="preserve"> it is </w:t>
      </w:r>
      <w:r w:rsidR="11A02D70" w:rsidRPr="00BF4637">
        <w:rPr>
          <w:rFonts w:cs="Calibri"/>
          <w:color w:val="auto"/>
          <w:sz w:val="22"/>
          <w:szCs w:val="22"/>
          <w:lang w:val="en-GB"/>
        </w:rPr>
        <w:t>estimat</w:t>
      </w:r>
      <w:r w:rsidRPr="00BF4637">
        <w:rPr>
          <w:rFonts w:cs="Calibri"/>
          <w:color w:val="auto"/>
          <w:sz w:val="22"/>
          <w:szCs w:val="22"/>
          <w:lang w:val="en-GB"/>
        </w:rPr>
        <w:t xml:space="preserve">ed that </w:t>
      </w:r>
      <w:r w:rsidR="28788233" w:rsidRPr="00BF4637">
        <w:rPr>
          <w:rFonts w:cs="Calibri"/>
          <w:color w:val="auto"/>
          <w:sz w:val="22"/>
          <w:szCs w:val="22"/>
          <w:lang w:val="en-GB"/>
        </w:rPr>
        <w:t>approximatively</w:t>
      </w:r>
      <w:r w:rsidRPr="00BF4637">
        <w:rPr>
          <w:rFonts w:cs="Calibri"/>
          <w:color w:val="auto"/>
          <w:sz w:val="22"/>
          <w:szCs w:val="22"/>
          <w:lang w:val="en-GB"/>
        </w:rPr>
        <w:t xml:space="preserve"> 70% of </w:t>
      </w:r>
      <w:r w:rsidR="7D3B9AAE" w:rsidRPr="00BF4637">
        <w:rPr>
          <w:rFonts w:cs="Calibri"/>
          <w:color w:val="auto"/>
          <w:sz w:val="22"/>
          <w:szCs w:val="22"/>
          <w:lang w:val="en-GB"/>
        </w:rPr>
        <w:t>the current f</w:t>
      </w:r>
      <w:r w:rsidRPr="00BF4637">
        <w:rPr>
          <w:rFonts w:cs="Calibri"/>
          <w:color w:val="auto"/>
          <w:sz w:val="22"/>
          <w:szCs w:val="22"/>
          <w:lang w:val="en-GB"/>
        </w:rPr>
        <w:t xml:space="preserve">uels </w:t>
      </w:r>
      <w:r w:rsidR="00727034" w:rsidRPr="00BF4637">
        <w:rPr>
          <w:rFonts w:cs="Calibri"/>
          <w:color w:val="auto"/>
          <w:sz w:val="22"/>
          <w:szCs w:val="22"/>
          <w:lang w:val="en-GB"/>
        </w:rPr>
        <w:t xml:space="preserve">in the market </w:t>
      </w:r>
      <w:r w:rsidRPr="00BF4637">
        <w:rPr>
          <w:rFonts w:cs="Calibri"/>
          <w:color w:val="auto"/>
          <w:sz w:val="22"/>
          <w:szCs w:val="22"/>
          <w:lang w:val="en-GB"/>
        </w:rPr>
        <w:t>will need to be</w:t>
      </w:r>
      <w:r w:rsidR="00602387">
        <w:rPr>
          <w:rFonts w:cs="Calibri"/>
          <w:color w:val="auto"/>
          <w:sz w:val="22"/>
          <w:szCs w:val="22"/>
          <w:lang w:val="en-GB"/>
        </w:rPr>
        <w:t xml:space="preserve"> </w:t>
      </w:r>
      <w:r w:rsidRPr="00BF4637">
        <w:rPr>
          <w:rFonts w:cs="Calibri"/>
          <w:color w:val="auto"/>
          <w:sz w:val="22"/>
          <w:szCs w:val="22"/>
          <w:lang w:val="en-GB"/>
        </w:rPr>
        <w:t xml:space="preserve">changed </w:t>
      </w:r>
      <w:r w:rsidR="00FE37AF">
        <w:rPr>
          <w:rFonts w:cs="Calibri"/>
          <w:color w:val="auto"/>
          <w:sz w:val="22"/>
          <w:szCs w:val="22"/>
          <w:lang w:val="en-GB"/>
        </w:rPr>
        <w:t>to</w:t>
      </w:r>
      <w:r w:rsidR="00A661E9">
        <w:rPr>
          <w:rFonts w:cs="Calibri"/>
          <w:color w:val="auto"/>
          <w:sz w:val="22"/>
          <w:szCs w:val="22"/>
          <w:lang w:val="en-GB"/>
        </w:rPr>
        <w:t xml:space="preserve"> sustainable fuels to</w:t>
      </w:r>
      <w:r w:rsidR="00FE37AF">
        <w:rPr>
          <w:rFonts w:cs="Calibri"/>
          <w:color w:val="auto"/>
          <w:sz w:val="22"/>
          <w:szCs w:val="22"/>
          <w:lang w:val="en-GB"/>
        </w:rPr>
        <w:t xml:space="preserve"> cope with</w:t>
      </w:r>
      <w:r w:rsidRPr="00BF4637">
        <w:rPr>
          <w:rFonts w:cs="Calibri"/>
          <w:color w:val="auto"/>
          <w:sz w:val="22"/>
          <w:szCs w:val="22"/>
          <w:lang w:val="en-GB"/>
        </w:rPr>
        <w:t xml:space="preserve"> </w:t>
      </w:r>
      <w:r w:rsidR="00FE37AF">
        <w:rPr>
          <w:rFonts w:cs="Calibri"/>
          <w:color w:val="auto"/>
          <w:sz w:val="22"/>
          <w:szCs w:val="22"/>
          <w:lang w:val="en-GB"/>
        </w:rPr>
        <w:t xml:space="preserve">the targets </w:t>
      </w:r>
      <w:r w:rsidRPr="00BF4637">
        <w:rPr>
          <w:rFonts w:cs="Calibri"/>
          <w:color w:val="auto"/>
          <w:sz w:val="22"/>
          <w:szCs w:val="22"/>
          <w:lang w:val="en-GB"/>
        </w:rPr>
        <w:fldChar w:fldCharType="begin" w:fldLock="1"/>
      </w:r>
      <w:r w:rsidRPr="00BF4637">
        <w:rPr>
          <w:rFonts w:cs="Calibri"/>
          <w:color w:val="auto"/>
          <w:sz w:val="22"/>
          <w:szCs w:val="22"/>
          <w:lang w:val="en-GB"/>
        </w:rPr>
        <w:instrText>ADDIN CSL_CITATION {"citationItems":[{"id":"ITEM-1","itemData":{"author":[{"dropping-particle":"","family":"Uslu","given":"Ayla","non-dropping-particle":"","parse-names":false,"suffix":""}],"id":"ITEM-1","issued":{"date-parts":[["2019"]]},"title":"Market analysis","type":"report"},"uris":["http://www.mendeley.com/documents/?uuid=f0487272-4a66-4a0e-b49d-ac94b47a56ec"]}],"mendeley":{"formattedCitation":"(Uslu, 2019)","plainTextFormattedCitation":"(Uslu, 2019)","previouslyFormattedCitation":"(Uslu, 2019)"},"properties":{"noteIndex":0},"schema":"https://github.com/citation-style-language/schema/raw/master/csl-citation.json"}</w:instrText>
      </w:r>
      <w:r w:rsidRPr="00BF4637">
        <w:rPr>
          <w:rFonts w:cs="Calibri"/>
          <w:color w:val="auto"/>
          <w:sz w:val="22"/>
          <w:szCs w:val="22"/>
          <w:lang w:val="en-GB"/>
        </w:rPr>
        <w:fldChar w:fldCharType="separate"/>
      </w:r>
      <w:r w:rsidRPr="00BF4637">
        <w:rPr>
          <w:rFonts w:cs="Calibri"/>
          <w:noProof/>
          <w:color w:val="auto"/>
          <w:sz w:val="22"/>
          <w:szCs w:val="22"/>
          <w:lang w:val="en-GB"/>
        </w:rPr>
        <w:t>(Uslu, 2019)</w:t>
      </w:r>
      <w:r w:rsidRPr="00BF4637">
        <w:rPr>
          <w:rFonts w:cs="Calibri"/>
          <w:color w:val="auto"/>
          <w:sz w:val="22"/>
          <w:szCs w:val="22"/>
          <w:lang w:val="en-GB"/>
        </w:rPr>
        <w:fldChar w:fldCharType="end"/>
      </w:r>
      <w:r w:rsidRPr="59587566">
        <w:rPr>
          <w:rFonts w:cs="Calibri"/>
          <w:color w:val="FF0000"/>
          <w:sz w:val="22"/>
          <w:szCs w:val="22"/>
          <w:lang w:val="en-GB"/>
        </w:rPr>
        <w:t xml:space="preserve">. </w:t>
      </w:r>
    </w:p>
    <w:p w14:paraId="50EC0C60" w14:textId="3BDD3129" w:rsidR="59587566" w:rsidRDefault="004E3CED" w:rsidP="59587566">
      <w:pPr>
        <w:spacing w:after="120" w:line="360" w:lineRule="auto"/>
        <w:ind w:firstLine="709"/>
        <w:rPr>
          <w:sz w:val="22"/>
          <w:szCs w:val="22"/>
          <w:lang w:val="en-GB"/>
        </w:rPr>
      </w:pPr>
      <w:r>
        <w:rPr>
          <w:sz w:val="22"/>
          <w:szCs w:val="22"/>
          <w:lang w:val="en-GB"/>
        </w:rPr>
        <w:t>At European level</w:t>
      </w:r>
      <w:r w:rsidR="000D1B57">
        <w:rPr>
          <w:sz w:val="22"/>
          <w:szCs w:val="22"/>
          <w:lang w:val="en-GB"/>
        </w:rPr>
        <w:t>,</w:t>
      </w:r>
      <w:r>
        <w:rPr>
          <w:sz w:val="22"/>
          <w:szCs w:val="22"/>
          <w:lang w:val="en-GB"/>
        </w:rPr>
        <w:t xml:space="preserve"> the targets and goals for the maritime sector are still under definition. </w:t>
      </w:r>
      <w:r w:rsidR="00BF40CA">
        <w:rPr>
          <w:sz w:val="22"/>
          <w:szCs w:val="22"/>
          <w:lang w:val="en-GB"/>
        </w:rPr>
        <w:t xml:space="preserve">Below are described the current and future </w:t>
      </w:r>
      <w:r w:rsidR="00C342FD">
        <w:rPr>
          <w:sz w:val="22"/>
          <w:szCs w:val="22"/>
          <w:lang w:val="en-GB"/>
        </w:rPr>
        <w:t xml:space="preserve">legislatives instruments </w:t>
      </w:r>
      <w:r w:rsidR="00832D38">
        <w:rPr>
          <w:sz w:val="22"/>
          <w:szCs w:val="22"/>
          <w:lang w:val="en-GB"/>
        </w:rPr>
        <w:t xml:space="preserve">that </w:t>
      </w:r>
      <w:r w:rsidR="007E0A3E">
        <w:rPr>
          <w:sz w:val="22"/>
          <w:szCs w:val="22"/>
          <w:lang w:val="en-GB"/>
        </w:rPr>
        <w:t>might</w:t>
      </w:r>
      <w:r w:rsidR="00832D38">
        <w:rPr>
          <w:sz w:val="22"/>
          <w:szCs w:val="22"/>
          <w:lang w:val="en-GB"/>
        </w:rPr>
        <w:t xml:space="preserve"> have influence on renewable fuels in the maritime sector.</w:t>
      </w:r>
    </w:p>
    <w:p w14:paraId="1EB4F039" w14:textId="77777777" w:rsidR="00FE37AF" w:rsidRDefault="00FE37AF" w:rsidP="59587566">
      <w:pPr>
        <w:spacing w:after="120" w:line="360" w:lineRule="auto"/>
        <w:ind w:firstLine="709"/>
        <w:rPr>
          <w:szCs w:val="21"/>
          <w:lang w:val="en-GB"/>
        </w:rPr>
      </w:pPr>
    </w:p>
    <w:p w14:paraId="1F8C21BE" w14:textId="77777777" w:rsidR="00C5314B" w:rsidRDefault="1290CD4C" w:rsidP="00DC3405">
      <w:pPr>
        <w:pStyle w:val="Heading3"/>
      </w:pPr>
      <w:bookmarkStart w:id="16" w:name="_Toc85627860"/>
      <w:r>
        <w:t>Renewable Energy Directive (RED)</w:t>
      </w:r>
      <w:bookmarkEnd w:id="16"/>
    </w:p>
    <w:p w14:paraId="3FA713DA" w14:textId="737E9566" w:rsidR="5937A937" w:rsidRDefault="5937A937" w:rsidP="5937A937">
      <w:pPr>
        <w:rPr>
          <w:szCs w:val="21"/>
        </w:rPr>
      </w:pPr>
    </w:p>
    <w:p w14:paraId="71A05B66" w14:textId="6A9C627F" w:rsidR="00C5314B" w:rsidRDefault="1290CD4C" w:rsidP="0011532E">
      <w:pPr>
        <w:spacing w:after="120" w:line="360" w:lineRule="auto"/>
        <w:ind w:firstLine="709"/>
        <w:rPr>
          <w:sz w:val="22"/>
          <w:szCs w:val="22"/>
          <w:lang w:val="en-GB"/>
        </w:rPr>
      </w:pPr>
      <w:r w:rsidRPr="59587566">
        <w:rPr>
          <w:sz w:val="22"/>
          <w:szCs w:val="22"/>
          <w:lang w:val="en-GB"/>
        </w:rPr>
        <w:t>The R</w:t>
      </w:r>
      <w:r w:rsidR="007352F9">
        <w:rPr>
          <w:sz w:val="22"/>
          <w:szCs w:val="22"/>
          <w:lang w:val="en-GB"/>
        </w:rPr>
        <w:t>enewable Energy Directive (RED)</w:t>
      </w:r>
      <w:r w:rsidRPr="59587566">
        <w:rPr>
          <w:sz w:val="22"/>
          <w:szCs w:val="22"/>
          <w:lang w:val="en-GB"/>
        </w:rPr>
        <w:t xml:space="preserve"> was introduced in 2009, with the aim of promoting renewable energies in the EU. </w:t>
      </w:r>
      <w:r w:rsidR="5277925B" w:rsidRPr="59587566">
        <w:rPr>
          <w:sz w:val="22"/>
          <w:szCs w:val="22"/>
          <w:lang w:val="en-GB"/>
        </w:rPr>
        <w:t>At</w:t>
      </w:r>
      <w:r w:rsidRPr="59587566">
        <w:rPr>
          <w:sz w:val="22"/>
          <w:szCs w:val="22"/>
          <w:lang w:val="en-GB"/>
        </w:rPr>
        <w:t xml:space="preserve"> first</w:t>
      </w:r>
      <w:r w:rsidR="2FEDB9A8" w:rsidRPr="59587566">
        <w:rPr>
          <w:sz w:val="22"/>
          <w:szCs w:val="22"/>
          <w:lang w:val="en-GB"/>
        </w:rPr>
        <w:t>,</w:t>
      </w:r>
      <w:r w:rsidRPr="59587566">
        <w:rPr>
          <w:sz w:val="22"/>
          <w:szCs w:val="22"/>
          <w:lang w:val="en-GB"/>
        </w:rPr>
        <w:t xml:space="preserve"> </w:t>
      </w:r>
      <w:r w:rsidR="34F9A78F" w:rsidRPr="59587566">
        <w:rPr>
          <w:sz w:val="22"/>
          <w:szCs w:val="22"/>
          <w:lang w:val="en-GB"/>
        </w:rPr>
        <w:t>it</w:t>
      </w:r>
      <w:r w:rsidRPr="59587566">
        <w:rPr>
          <w:sz w:val="22"/>
          <w:szCs w:val="22"/>
          <w:lang w:val="en-GB"/>
        </w:rPr>
        <w:t xml:space="preserve"> establishe</w:t>
      </w:r>
      <w:r w:rsidR="33AD4B15" w:rsidRPr="59587566">
        <w:rPr>
          <w:sz w:val="22"/>
          <w:szCs w:val="22"/>
          <w:lang w:val="en-GB"/>
        </w:rPr>
        <w:t>d</w:t>
      </w:r>
      <w:r w:rsidRPr="59587566">
        <w:rPr>
          <w:sz w:val="22"/>
          <w:szCs w:val="22"/>
          <w:lang w:val="en-GB"/>
        </w:rPr>
        <w:t xml:space="preserve"> that 10</w:t>
      </w:r>
      <w:r w:rsidR="005D0FC1">
        <w:rPr>
          <w:sz w:val="22"/>
          <w:szCs w:val="22"/>
          <w:lang w:val="en-GB"/>
        </w:rPr>
        <w:t xml:space="preserve"> </w:t>
      </w:r>
      <w:r w:rsidRPr="59587566">
        <w:rPr>
          <w:sz w:val="22"/>
          <w:szCs w:val="22"/>
          <w:lang w:val="en-GB"/>
        </w:rPr>
        <w:t>% of the energy in the transport sector should be obtained from renewable resources. In 2015</w:t>
      </w:r>
      <w:r w:rsidR="0D033B8F" w:rsidRPr="59587566">
        <w:rPr>
          <w:sz w:val="22"/>
          <w:szCs w:val="22"/>
          <w:lang w:val="en-GB"/>
        </w:rPr>
        <w:t>,</w:t>
      </w:r>
      <w:r w:rsidRPr="59587566">
        <w:rPr>
          <w:sz w:val="22"/>
          <w:szCs w:val="22"/>
          <w:lang w:val="en-GB"/>
        </w:rPr>
        <w:t xml:space="preserve"> it was modified by the EU Indirect Land Use Change Directive, </w:t>
      </w:r>
      <w:r w:rsidR="26E1FB6E" w:rsidRPr="59587566">
        <w:rPr>
          <w:sz w:val="22"/>
          <w:szCs w:val="22"/>
          <w:lang w:val="en-GB"/>
        </w:rPr>
        <w:t>imposing</w:t>
      </w:r>
      <w:r w:rsidRPr="59587566">
        <w:rPr>
          <w:sz w:val="22"/>
          <w:szCs w:val="22"/>
          <w:lang w:val="en-GB"/>
        </w:rPr>
        <w:t xml:space="preserve"> a limit of 7</w:t>
      </w:r>
      <w:r w:rsidR="005D0FC1">
        <w:rPr>
          <w:sz w:val="22"/>
          <w:szCs w:val="22"/>
          <w:lang w:val="en-GB"/>
        </w:rPr>
        <w:t xml:space="preserve"> </w:t>
      </w:r>
      <w:r w:rsidRPr="59587566">
        <w:rPr>
          <w:sz w:val="22"/>
          <w:szCs w:val="22"/>
          <w:lang w:val="en-GB"/>
        </w:rPr>
        <w:t xml:space="preserve">% over those fuels coming from resources that </w:t>
      </w:r>
      <w:r w:rsidR="6683354A" w:rsidRPr="59587566">
        <w:rPr>
          <w:sz w:val="22"/>
          <w:szCs w:val="22"/>
          <w:lang w:val="en-GB"/>
        </w:rPr>
        <w:t xml:space="preserve">could potentially </w:t>
      </w:r>
      <w:r w:rsidRPr="59587566">
        <w:rPr>
          <w:sz w:val="22"/>
          <w:szCs w:val="22"/>
          <w:lang w:val="en-GB"/>
        </w:rPr>
        <w:t>compete with food production</w:t>
      </w:r>
      <w:r w:rsidR="4E5BBB07" w:rsidRPr="59587566">
        <w:rPr>
          <w:sz w:val="22"/>
          <w:szCs w:val="22"/>
          <w:lang w:val="en-GB"/>
        </w:rPr>
        <w:t xml:space="preserve">, </w:t>
      </w:r>
      <w:r w:rsidRPr="59587566">
        <w:rPr>
          <w:sz w:val="22"/>
          <w:szCs w:val="22"/>
          <w:lang w:val="en-GB"/>
        </w:rPr>
        <w:t xml:space="preserve">e.g. </w:t>
      </w:r>
      <w:r w:rsidR="3F066BC5" w:rsidRPr="59587566">
        <w:rPr>
          <w:sz w:val="22"/>
          <w:szCs w:val="22"/>
          <w:lang w:val="en-GB"/>
        </w:rPr>
        <w:t>soy</w:t>
      </w:r>
      <w:r w:rsidRPr="59587566">
        <w:rPr>
          <w:sz w:val="22"/>
          <w:szCs w:val="22"/>
          <w:lang w:val="en-GB"/>
        </w:rPr>
        <w:t xml:space="preserve">. </w:t>
      </w:r>
      <w:r w:rsidR="7FE3411A" w:rsidRPr="59587566">
        <w:rPr>
          <w:sz w:val="22"/>
          <w:szCs w:val="22"/>
          <w:lang w:val="en-GB"/>
        </w:rPr>
        <w:t>Later</w:t>
      </w:r>
      <w:r w:rsidRPr="59587566">
        <w:rPr>
          <w:sz w:val="22"/>
          <w:szCs w:val="22"/>
          <w:lang w:val="en-GB"/>
        </w:rPr>
        <w:t xml:space="preserve"> </w:t>
      </w:r>
      <w:r w:rsidR="00E14108">
        <w:rPr>
          <w:sz w:val="22"/>
          <w:szCs w:val="22"/>
          <w:lang w:val="en-GB"/>
        </w:rPr>
        <w:t>a</w:t>
      </w:r>
      <w:r w:rsidRPr="59587566">
        <w:rPr>
          <w:sz w:val="22"/>
          <w:szCs w:val="22"/>
          <w:lang w:val="en-GB"/>
        </w:rPr>
        <w:t xml:space="preserve"> target </w:t>
      </w:r>
      <w:r w:rsidR="74C29D4F" w:rsidRPr="59587566">
        <w:rPr>
          <w:sz w:val="22"/>
          <w:szCs w:val="22"/>
          <w:lang w:val="en-GB"/>
        </w:rPr>
        <w:t xml:space="preserve">of </w:t>
      </w:r>
      <w:r w:rsidRPr="59587566">
        <w:rPr>
          <w:sz w:val="22"/>
          <w:szCs w:val="22"/>
          <w:lang w:val="en-GB"/>
        </w:rPr>
        <w:t>0.5</w:t>
      </w:r>
      <w:r w:rsidR="005D0FC1">
        <w:rPr>
          <w:sz w:val="22"/>
          <w:szCs w:val="22"/>
          <w:lang w:val="en-GB"/>
        </w:rPr>
        <w:t xml:space="preserve"> </w:t>
      </w:r>
      <w:r w:rsidRPr="59587566">
        <w:rPr>
          <w:sz w:val="22"/>
          <w:szCs w:val="22"/>
          <w:lang w:val="en-GB"/>
        </w:rPr>
        <w:t>% for advanced biofuels was introduced</w:t>
      </w:r>
      <w:r w:rsidR="00E41D89">
        <w:rPr>
          <w:sz w:val="22"/>
          <w:szCs w:val="22"/>
          <w:lang w:val="en-GB"/>
        </w:rPr>
        <w:t xml:space="preserve"> </w:t>
      </w:r>
      <w:r w:rsidR="00E41D89">
        <w:rPr>
          <w:sz w:val="22"/>
          <w:szCs w:val="22"/>
          <w:lang w:val="en-GB"/>
        </w:rPr>
        <w:fldChar w:fldCharType="begin" w:fldLock="1"/>
      </w:r>
      <w:r w:rsidR="00F82B1E">
        <w:rPr>
          <w:sz w:val="22"/>
          <w:szCs w:val="22"/>
          <w:lang w:val="en-GB"/>
        </w:rPr>
        <w:instrText>ADDIN CSL_CITATION {"citationItems":[{"id":"ITEM-1","itemData":{"DOI":"10.1016/j.esr.2021.100633","ISSN":"2211467X","abstract":"Advanced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Reviews","id":"ITEM-1","issue":"March","issued":{"date-parts":[["2021"]]},"page":"100633","publisher":"Elsevier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uptake","type":"article-journal","volume":"34"},"uris":["http://www.mendeley.com/documents/?uuid=e0b8486c-e671-49c6-b25c-f2ad745dcfe0"]}],"mendeley":{"formattedCitation":"(Panoutsou et al., 2021)","plainTextFormattedCitation":"(Panoutsou et al., 2021)","previouslyFormattedCitation":"(Panoutsou et al., 2021)"},"properties":{"noteIndex":0},"schema":"https://github.com/citation-style-language/schema/raw/master/csl-citation.json"}</w:instrText>
      </w:r>
      <w:r w:rsidR="00E41D89">
        <w:rPr>
          <w:sz w:val="22"/>
          <w:szCs w:val="22"/>
          <w:lang w:val="en-GB"/>
        </w:rPr>
        <w:fldChar w:fldCharType="separate"/>
      </w:r>
      <w:r w:rsidR="00E41D89" w:rsidRPr="00E41D89">
        <w:rPr>
          <w:noProof/>
          <w:sz w:val="22"/>
          <w:szCs w:val="22"/>
          <w:lang w:val="en-GB"/>
        </w:rPr>
        <w:t>(Panoutsou et al., 2021)</w:t>
      </w:r>
      <w:r w:rsidR="00E41D89">
        <w:rPr>
          <w:sz w:val="22"/>
          <w:szCs w:val="22"/>
          <w:lang w:val="en-GB"/>
        </w:rPr>
        <w:fldChar w:fldCharType="end"/>
      </w:r>
      <w:r w:rsidRPr="59587566">
        <w:rPr>
          <w:sz w:val="22"/>
          <w:szCs w:val="22"/>
          <w:lang w:val="en-GB"/>
        </w:rPr>
        <w:t xml:space="preserve">. </w:t>
      </w:r>
    </w:p>
    <w:p w14:paraId="079A0587" w14:textId="7BDD8084" w:rsidR="00AB34CC" w:rsidRDefault="415EFDA2" w:rsidP="00BA4A18">
      <w:pPr>
        <w:spacing w:after="120" w:line="360" w:lineRule="auto"/>
        <w:ind w:firstLine="709"/>
        <w:rPr>
          <w:sz w:val="22"/>
          <w:szCs w:val="22"/>
          <w:lang w:val="en-GB"/>
        </w:rPr>
      </w:pPr>
      <w:r w:rsidRPr="59587566">
        <w:rPr>
          <w:sz w:val="22"/>
          <w:szCs w:val="22"/>
          <w:lang w:val="en-GB"/>
        </w:rPr>
        <w:t>In</w:t>
      </w:r>
      <w:r w:rsidR="2A28DF93" w:rsidRPr="59587566">
        <w:rPr>
          <w:sz w:val="22"/>
          <w:szCs w:val="22"/>
          <w:lang w:val="en-GB"/>
        </w:rPr>
        <w:t xml:space="preserve"> 2018, RED was revised and RED II came into effect. The RED II provided</w:t>
      </w:r>
      <w:r w:rsidR="3C34D7CC" w:rsidRPr="59587566">
        <w:rPr>
          <w:sz w:val="22"/>
          <w:szCs w:val="22"/>
          <w:lang w:val="en-GB"/>
        </w:rPr>
        <w:t>,</w:t>
      </w:r>
      <w:r w:rsidR="2A28DF93" w:rsidRPr="59587566">
        <w:rPr>
          <w:sz w:val="22"/>
          <w:szCs w:val="22"/>
          <w:lang w:val="en-GB"/>
        </w:rPr>
        <w:t xml:space="preserve"> for the first time</w:t>
      </w:r>
      <w:r w:rsidR="310E5675" w:rsidRPr="59587566">
        <w:rPr>
          <w:sz w:val="22"/>
          <w:szCs w:val="22"/>
          <w:lang w:val="en-GB"/>
        </w:rPr>
        <w:t>,</w:t>
      </w:r>
      <w:r w:rsidR="2A28DF93" w:rsidRPr="59587566">
        <w:rPr>
          <w:sz w:val="22"/>
          <w:szCs w:val="22"/>
          <w:lang w:val="en-GB"/>
        </w:rPr>
        <w:t xml:space="preserve"> a roadmap with specific sustainability criteria and targets for biofuels. Th</w:t>
      </w:r>
      <w:r w:rsidR="24CF1E57" w:rsidRPr="59587566">
        <w:rPr>
          <w:sz w:val="22"/>
          <w:szCs w:val="22"/>
          <w:lang w:val="en-GB"/>
        </w:rPr>
        <w:t>e</w:t>
      </w:r>
      <w:r w:rsidR="2A28DF93" w:rsidRPr="59587566">
        <w:rPr>
          <w:sz w:val="22"/>
          <w:szCs w:val="22"/>
          <w:lang w:val="en-GB"/>
        </w:rPr>
        <w:t xml:space="preserve"> revised version increased the target </w:t>
      </w:r>
      <w:r w:rsidR="2A28DF93" w:rsidRPr="59587566">
        <w:rPr>
          <w:sz w:val="22"/>
          <w:szCs w:val="22"/>
          <w:lang w:val="en-GB"/>
        </w:rPr>
        <w:lastRenderedPageBreak/>
        <w:t xml:space="preserve">for </w:t>
      </w:r>
      <w:r w:rsidR="50B38534" w:rsidRPr="59587566">
        <w:rPr>
          <w:sz w:val="22"/>
          <w:szCs w:val="22"/>
          <w:lang w:val="en-GB"/>
        </w:rPr>
        <w:t xml:space="preserve">total </w:t>
      </w:r>
      <w:r w:rsidR="2A28DF93" w:rsidRPr="59587566">
        <w:rPr>
          <w:sz w:val="22"/>
          <w:szCs w:val="22"/>
          <w:lang w:val="en-GB"/>
        </w:rPr>
        <w:t>renewable</w:t>
      </w:r>
      <w:r w:rsidR="0E8BE8CC" w:rsidRPr="59587566">
        <w:rPr>
          <w:sz w:val="22"/>
          <w:szCs w:val="22"/>
          <w:lang w:val="en-GB"/>
        </w:rPr>
        <w:t>s</w:t>
      </w:r>
      <w:r w:rsidR="2A28DF93" w:rsidRPr="59587566">
        <w:rPr>
          <w:sz w:val="22"/>
          <w:szCs w:val="22"/>
          <w:lang w:val="en-GB"/>
        </w:rPr>
        <w:t xml:space="preserve"> to 14</w:t>
      </w:r>
      <w:r w:rsidR="005D0FC1">
        <w:rPr>
          <w:sz w:val="22"/>
          <w:szCs w:val="22"/>
          <w:lang w:val="en-GB"/>
        </w:rPr>
        <w:t xml:space="preserve"> </w:t>
      </w:r>
      <w:r w:rsidR="2A28DF93" w:rsidRPr="59587566">
        <w:rPr>
          <w:sz w:val="22"/>
          <w:szCs w:val="22"/>
          <w:lang w:val="en-GB"/>
        </w:rPr>
        <w:t>%, and to 3.</w:t>
      </w:r>
      <w:r w:rsidR="00C1103C">
        <w:rPr>
          <w:sz w:val="22"/>
          <w:szCs w:val="22"/>
          <w:lang w:val="en-GB"/>
        </w:rPr>
        <w:t>5</w:t>
      </w:r>
      <w:r w:rsidR="005D0FC1">
        <w:rPr>
          <w:sz w:val="22"/>
          <w:szCs w:val="22"/>
          <w:lang w:val="en-GB"/>
        </w:rPr>
        <w:t xml:space="preserve"> </w:t>
      </w:r>
      <w:r w:rsidR="2A28DF93" w:rsidRPr="59587566">
        <w:rPr>
          <w:sz w:val="22"/>
          <w:szCs w:val="22"/>
          <w:lang w:val="en-GB"/>
        </w:rPr>
        <w:t>% for advanced biofuels</w:t>
      </w:r>
      <w:r w:rsidR="00C1103C">
        <w:rPr>
          <w:sz w:val="22"/>
          <w:szCs w:val="22"/>
          <w:lang w:val="en-GB"/>
        </w:rPr>
        <w:t xml:space="preserve"> in 2030</w:t>
      </w:r>
      <w:r w:rsidR="7DDBC449" w:rsidRPr="59587566">
        <w:rPr>
          <w:sz w:val="22"/>
          <w:szCs w:val="22"/>
          <w:lang w:val="en-GB"/>
        </w:rPr>
        <w:t>,</w:t>
      </w:r>
      <w:r w:rsidR="3E88264C" w:rsidRPr="59587566">
        <w:rPr>
          <w:sz w:val="22"/>
          <w:szCs w:val="22"/>
          <w:lang w:val="en-GB"/>
        </w:rPr>
        <w:t xml:space="preserve"> also</w:t>
      </w:r>
      <w:r w:rsidR="7DDBC449" w:rsidRPr="59587566">
        <w:rPr>
          <w:sz w:val="22"/>
          <w:szCs w:val="22"/>
          <w:lang w:val="en-GB"/>
        </w:rPr>
        <w:t xml:space="preserve"> introducing the </w:t>
      </w:r>
      <w:r w:rsidR="2A28DF93" w:rsidRPr="59587566">
        <w:rPr>
          <w:sz w:val="22"/>
          <w:szCs w:val="22"/>
          <w:lang w:val="en-GB"/>
        </w:rPr>
        <w:t>double counting</w:t>
      </w:r>
      <w:r w:rsidR="65525757" w:rsidRPr="59587566">
        <w:rPr>
          <w:sz w:val="22"/>
          <w:szCs w:val="22"/>
          <w:lang w:val="en-GB"/>
        </w:rPr>
        <w:t xml:space="preserve"> approach</w:t>
      </w:r>
      <w:r w:rsidR="3951C37D" w:rsidRPr="59587566">
        <w:rPr>
          <w:sz w:val="22"/>
          <w:szCs w:val="22"/>
          <w:lang w:val="en-GB"/>
        </w:rPr>
        <w:t xml:space="preserve">. </w:t>
      </w:r>
      <w:r w:rsidR="3874DDCE" w:rsidRPr="59587566">
        <w:rPr>
          <w:sz w:val="22"/>
          <w:szCs w:val="22"/>
          <w:lang w:val="en-GB"/>
        </w:rPr>
        <w:t xml:space="preserve">The </w:t>
      </w:r>
      <w:r w:rsidR="2A28DF93" w:rsidRPr="59587566">
        <w:rPr>
          <w:sz w:val="22"/>
          <w:szCs w:val="22"/>
          <w:lang w:val="en-GB"/>
        </w:rPr>
        <w:t>double counting</w:t>
      </w:r>
      <w:r w:rsidR="4A369244" w:rsidRPr="59587566">
        <w:rPr>
          <w:sz w:val="22"/>
          <w:szCs w:val="22"/>
          <w:lang w:val="en-GB"/>
        </w:rPr>
        <w:t xml:space="preserve"> approach states that </w:t>
      </w:r>
      <w:r w:rsidR="2A28DF93" w:rsidRPr="59587566">
        <w:rPr>
          <w:sz w:val="22"/>
          <w:szCs w:val="22"/>
          <w:lang w:val="en-GB"/>
        </w:rPr>
        <w:t xml:space="preserve">advanced biofuels </w:t>
      </w:r>
      <w:r w:rsidR="1D24BEB5" w:rsidRPr="59587566">
        <w:rPr>
          <w:sz w:val="22"/>
          <w:szCs w:val="22"/>
          <w:lang w:val="en-GB"/>
        </w:rPr>
        <w:t xml:space="preserve">have their </w:t>
      </w:r>
      <w:r w:rsidR="00FE37AF">
        <w:rPr>
          <w:sz w:val="22"/>
          <w:szCs w:val="22"/>
          <w:lang w:val="en-GB"/>
        </w:rPr>
        <w:t>contribution</w:t>
      </w:r>
      <w:r w:rsidR="2A28DF93" w:rsidRPr="59587566">
        <w:rPr>
          <w:sz w:val="22"/>
          <w:szCs w:val="22"/>
          <w:lang w:val="en-GB"/>
        </w:rPr>
        <w:t xml:space="preserve"> </w:t>
      </w:r>
      <w:r w:rsidR="6B3CEA29" w:rsidRPr="59587566">
        <w:rPr>
          <w:sz w:val="22"/>
          <w:szCs w:val="22"/>
          <w:lang w:val="en-GB"/>
        </w:rPr>
        <w:t>accounted twice in</w:t>
      </w:r>
      <w:r w:rsidR="2A28DF93" w:rsidRPr="59587566">
        <w:rPr>
          <w:sz w:val="22"/>
          <w:szCs w:val="22"/>
          <w:lang w:val="en-GB"/>
        </w:rPr>
        <w:t xml:space="preserve"> the </w:t>
      </w:r>
      <w:r w:rsidR="00FE37AF">
        <w:rPr>
          <w:sz w:val="22"/>
          <w:szCs w:val="22"/>
          <w:lang w:val="en-GB"/>
        </w:rPr>
        <w:t xml:space="preserve">GHG </w:t>
      </w:r>
      <w:r w:rsidR="2A28DF93" w:rsidRPr="59587566">
        <w:rPr>
          <w:sz w:val="22"/>
          <w:szCs w:val="22"/>
          <w:lang w:val="en-GB"/>
        </w:rPr>
        <w:t xml:space="preserve">balance. </w:t>
      </w:r>
      <w:r w:rsidR="2C04BC36" w:rsidRPr="59587566">
        <w:rPr>
          <w:sz w:val="22"/>
          <w:szCs w:val="22"/>
          <w:lang w:val="en-GB"/>
        </w:rPr>
        <w:t>The use of fuels produced from feedstock</w:t>
      </w:r>
      <w:r w:rsidR="1E379522" w:rsidRPr="59587566">
        <w:rPr>
          <w:sz w:val="22"/>
          <w:szCs w:val="22"/>
          <w:lang w:val="en-GB"/>
        </w:rPr>
        <w:t>s</w:t>
      </w:r>
      <w:r w:rsidR="2C04BC36" w:rsidRPr="59587566">
        <w:rPr>
          <w:sz w:val="22"/>
          <w:szCs w:val="22"/>
          <w:lang w:val="en-GB"/>
        </w:rPr>
        <w:t xml:space="preserve"> that do not cope with food security </w:t>
      </w:r>
      <w:r w:rsidR="638C999E" w:rsidRPr="59587566">
        <w:rPr>
          <w:sz w:val="22"/>
          <w:szCs w:val="22"/>
          <w:lang w:val="en-GB"/>
        </w:rPr>
        <w:t>and</w:t>
      </w:r>
      <w:r w:rsidR="007D4A4F">
        <w:rPr>
          <w:sz w:val="22"/>
          <w:szCs w:val="22"/>
          <w:lang w:val="en-GB"/>
        </w:rPr>
        <w:t>/or</w:t>
      </w:r>
      <w:r w:rsidR="638C999E" w:rsidRPr="59587566">
        <w:rPr>
          <w:sz w:val="22"/>
          <w:szCs w:val="22"/>
          <w:lang w:val="en-GB"/>
        </w:rPr>
        <w:t xml:space="preserve"> represent a potential risk for land use change</w:t>
      </w:r>
      <w:r w:rsidR="022669FE" w:rsidRPr="59587566">
        <w:rPr>
          <w:sz w:val="22"/>
          <w:szCs w:val="22"/>
          <w:lang w:val="en-GB"/>
        </w:rPr>
        <w:t>,</w:t>
      </w:r>
      <w:r w:rsidR="2C04BC36" w:rsidRPr="59587566">
        <w:rPr>
          <w:sz w:val="22"/>
          <w:szCs w:val="22"/>
          <w:lang w:val="en-GB"/>
        </w:rPr>
        <w:t xml:space="preserve"> </w:t>
      </w:r>
      <w:r w:rsidR="2A28DF93" w:rsidRPr="59587566">
        <w:rPr>
          <w:sz w:val="22"/>
          <w:szCs w:val="22"/>
          <w:lang w:val="en-GB"/>
        </w:rPr>
        <w:t xml:space="preserve">will be gradually dismissed by 2030. </w:t>
      </w:r>
      <w:r w:rsidR="007D4A4F">
        <w:rPr>
          <w:sz w:val="22"/>
          <w:szCs w:val="22"/>
          <w:lang w:val="en-GB"/>
        </w:rPr>
        <w:t>Some Eu member states</w:t>
      </w:r>
      <w:r w:rsidR="003C20A0">
        <w:rPr>
          <w:sz w:val="22"/>
          <w:szCs w:val="22"/>
          <w:lang w:val="en-GB"/>
        </w:rPr>
        <w:t>, however,</w:t>
      </w:r>
      <w:r w:rsidR="007D4A4F">
        <w:rPr>
          <w:sz w:val="22"/>
          <w:szCs w:val="22"/>
          <w:lang w:val="en-GB"/>
        </w:rPr>
        <w:t xml:space="preserve"> </w:t>
      </w:r>
      <w:r w:rsidR="003C20A0">
        <w:rPr>
          <w:sz w:val="22"/>
          <w:szCs w:val="22"/>
          <w:lang w:val="en-GB"/>
        </w:rPr>
        <w:t>pledge the non-use of traditional feedstocks before 2030</w:t>
      </w:r>
      <w:r w:rsidR="007D4A4F">
        <w:rPr>
          <w:sz w:val="22"/>
          <w:szCs w:val="22"/>
          <w:lang w:val="en-GB"/>
        </w:rPr>
        <w:t xml:space="preserve">. </w:t>
      </w:r>
      <w:r w:rsidR="2A28DF93" w:rsidRPr="59587566">
        <w:rPr>
          <w:sz w:val="22"/>
          <w:szCs w:val="22"/>
          <w:lang w:val="en-GB"/>
        </w:rPr>
        <w:t>The Delegated Regulation (EU) 2019/807</w:t>
      </w:r>
      <w:r w:rsidR="536E58B7" w:rsidRPr="59587566">
        <w:rPr>
          <w:sz w:val="22"/>
          <w:szCs w:val="22"/>
          <w:lang w:val="en-GB"/>
        </w:rPr>
        <w:t>,</w:t>
      </w:r>
      <w:r w:rsidR="2A28DF93" w:rsidRPr="59587566">
        <w:rPr>
          <w:sz w:val="22"/>
          <w:szCs w:val="22"/>
          <w:lang w:val="en-GB"/>
        </w:rPr>
        <w:t xml:space="preserve"> supplementing the RED II</w:t>
      </w:r>
      <w:r w:rsidR="27D80ED2" w:rsidRPr="59587566">
        <w:rPr>
          <w:sz w:val="22"/>
          <w:szCs w:val="22"/>
          <w:lang w:val="en-GB"/>
        </w:rPr>
        <w:t>,</w:t>
      </w:r>
      <w:r w:rsidR="2A28DF93" w:rsidRPr="59587566">
        <w:rPr>
          <w:sz w:val="22"/>
          <w:szCs w:val="22"/>
          <w:lang w:val="en-GB"/>
        </w:rPr>
        <w:t xml:space="preserve"> </w:t>
      </w:r>
      <w:r w:rsidR="00FE37AF">
        <w:rPr>
          <w:sz w:val="22"/>
          <w:szCs w:val="22"/>
          <w:lang w:val="en-GB"/>
        </w:rPr>
        <w:t>fosters</w:t>
      </w:r>
      <w:r w:rsidR="2A28DF93" w:rsidRPr="59587566">
        <w:rPr>
          <w:sz w:val="22"/>
          <w:szCs w:val="22"/>
          <w:lang w:val="en-GB"/>
        </w:rPr>
        <w:t xml:space="preserve"> the use of resources </w:t>
      </w:r>
      <w:r w:rsidR="42B5A1A0" w:rsidRPr="59587566">
        <w:rPr>
          <w:sz w:val="22"/>
          <w:szCs w:val="22"/>
          <w:lang w:val="en-GB"/>
        </w:rPr>
        <w:t>with low risk for</w:t>
      </w:r>
      <w:r w:rsidR="2A28DF93" w:rsidRPr="59587566">
        <w:rPr>
          <w:sz w:val="22"/>
          <w:szCs w:val="22"/>
          <w:lang w:val="en-GB"/>
        </w:rPr>
        <w:t xml:space="preserve"> Indirect Land Use</w:t>
      </w:r>
      <w:r w:rsidR="00FE37AF">
        <w:rPr>
          <w:sz w:val="22"/>
          <w:szCs w:val="22"/>
          <w:lang w:val="en-GB"/>
        </w:rPr>
        <w:t xml:space="preserve"> Change</w:t>
      </w:r>
      <w:r w:rsidR="2A28DF93" w:rsidRPr="59587566">
        <w:rPr>
          <w:sz w:val="22"/>
          <w:szCs w:val="22"/>
          <w:lang w:val="en-GB"/>
        </w:rPr>
        <w:t xml:space="preserve"> (ILUC) and </w:t>
      </w:r>
      <w:r w:rsidR="00FE37AF">
        <w:rPr>
          <w:sz w:val="22"/>
          <w:szCs w:val="22"/>
          <w:lang w:val="en-GB"/>
        </w:rPr>
        <w:t xml:space="preserve">which </w:t>
      </w:r>
      <w:r w:rsidR="002001F7" w:rsidRPr="59587566">
        <w:rPr>
          <w:sz w:val="22"/>
          <w:szCs w:val="22"/>
          <w:lang w:val="en-GB"/>
        </w:rPr>
        <w:t xml:space="preserve">promote </w:t>
      </w:r>
      <w:r w:rsidR="2A28DF93" w:rsidRPr="59587566">
        <w:rPr>
          <w:sz w:val="22"/>
          <w:szCs w:val="22"/>
          <w:lang w:val="en-GB"/>
        </w:rPr>
        <w:t>improve</w:t>
      </w:r>
      <w:r w:rsidR="0BF2DBC6" w:rsidRPr="59587566">
        <w:rPr>
          <w:sz w:val="22"/>
          <w:szCs w:val="22"/>
          <w:lang w:val="en-GB"/>
        </w:rPr>
        <w:t>d</w:t>
      </w:r>
      <w:r w:rsidR="2A28DF93" w:rsidRPr="59587566">
        <w:rPr>
          <w:sz w:val="22"/>
          <w:szCs w:val="22"/>
          <w:lang w:val="en-GB"/>
        </w:rPr>
        <w:t xml:space="preserve"> agricultural practices (Panoutsou et al., 2021).</w:t>
      </w:r>
    </w:p>
    <w:p w14:paraId="30147E97" w14:textId="1D540A00" w:rsidR="00BA4A18" w:rsidRDefault="00BA4A18" w:rsidP="00BA4A18">
      <w:pPr>
        <w:spacing w:after="120" w:line="360" w:lineRule="auto"/>
        <w:ind w:firstLine="709"/>
        <w:rPr>
          <w:sz w:val="22"/>
          <w:szCs w:val="22"/>
          <w:lang w:val="en-GB"/>
        </w:rPr>
      </w:pPr>
      <w:r w:rsidRPr="00BA4A18">
        <w:rPr>
          <w:sz w:val="22"/>
          <w:szCs w:val="22"/>
          <w:lang w:val="en-GB"/>
        </w:rPr>
        <w:t xml:space="preserve"> </w:t>
      </w:r>
      <w:r>
        <w:rPr>
          <w:sz w:val="22"/>
          <w:szCs w:val="22"/>
          <w:lang w:val="en-GB"/>
        </w:rPr>
        <w:t>A</w:t>
      </w:r>
      <w:r w:rsidRPr="00F22544">
        <w:rPr>
          <w:sz w:val="22"/>
          <w:szCs w:val="22"/>
          <w:lang w:val="en-GB"/>
        </w:rPr>
        <w:t>nnex IX of RED II conveys to edible feedstock for advanced fuel production. As for annex IX, advanced biofuels are mostly produced from residual streams.</w:t>
      </w:r>
      <w:r w:rsidRPr="000E166E">
        <w:rPr>
          <w:sz w:val="22"/>
          <w:szCs w:val="22"/>
          <w:lang w:val="en-GB"/>
        </w:rPr>
        <w:t xml:space="preserve"> </w:t>
      </w:r>
      <w:r w:rsidRPr="00F22544">
        <w:rPr>
          <w:sz w:val="22"/>
          <w:szCs w:val="22"/>
          <w:lang w:val="en-GB"/>
        </w:rPr>
        <w:t xml:space="preserve">Much attention is given to this topic since it is a sensible step towards sustainable biofuels production. The sustainable use of lignocellulosic material for energy application is dependent on how and where such material is derived. The direct or indirect land use change (LUC) refers to potential impact that commercial cultivation might have on the availability of productive land, suitable for food production, and the displacement of natural vegetation towards the commercial application. While the first debates on food vs fuel matter, the second leads to GHG emissions prevenient from natural carbon stocks and the loss of biodiversity </w:t>
      </w:r>
      <w:r w:rsidR="00B0696A">
        <w:rPr>
          <w:sz w:val="22"/>
          <w:szCs w:val="22"/>
          <w:lang w:val="en-GB"/>
        </w:rPr>
        <w:t xml:space="preserve"> </w:t>
      </w:r>
      <w:r w:rsidR="00B0696A">
        <w:rPr>
          <w:sz w:val="22"/>
          <w:szCs w:val="22"/>
          <w:lang w:val="en-GB"/>
        </w:rPr>
        <w:fldChar w:fldCharType="begin" w:fldLock="1"/>
      </w:r>
      <w:r w:rsidR="00B0696A">
        <w:rPr>
          <w:sz w:val="22"/>
          <w:szCs w:val="22"/>
          <w:lang w:val="en-GB"/>
        </w:rPr>
        <w:instrText>ADDIN CSL_CITATION {"citationItems":[{"id":"ITEM-1","itemData":{"DOI":"10.1016/j.biombioe.2011.07.015","ISSN":"0961-9534","author":[{"dropping-particle":"Van","family":"Stappen","given":"Florence","non-dropping-particle":"","parse-names":false,"suffix":""},{"dropping-particle":"","family":"Brose","given":"Isabelle","non-dropping-particle":"","parse-names":false,"suffix":""},{"dropping-particle":"","family":"Schenkel","given":"Yves","non-dropping-particle":"","parse-names":false,"suffix":""}],"container-title":"Biomass and Bioenergy","id":"ITEM-1","issue":"12","issued":{"date-parts":[["2011"]]},"page":"4824-4834","publisher":"Elsevier Ltd","title":"Direct and indirect land use changes issues in European sustainability initiatives : State-of-the-art , open issues and future developments","type":"article-journal","volume":"35"},"uris":["http://www.mendeley.com/documents/?uuid=4603b30b-5dfb-4731-a2f0-7954227e62f2"]}],"mendeley":{"formattedCitation":"(Stappen et al., 2011)","plainTextFormattedCitation":"(Stappen et al., 2011)","previouslyFormattedCitation":"(Stappen et al., 2011)"},"properties":{"noteIndex":0},"schema":"https://github.com/citation-style-language/schema/raw/master/csl-citation.json"}</w:instrText>
      </w:r>
      <w:r w:rsidR="00B0696A">
        <w:rPr>
          <w:sz w:val="22"/>
          <w:szCs w:val="22"/>
          <w:lang w:val="en-GB"/>
        </w:rPr>
        <w:fldChar w:fldCharType="separate"/>
      </w:r>
      <w:r w:rsidR="00B0696A" w:rsidRPr="00B0696A">
        <w:rPr>
          <w:noProof/>
          <w:sz w:val="22"/>
          <w:szCs w:val="22"/>
          <w:lang w:val="en-GB"/>
        </w:rPr>
        <w:t>(Stappen et al., 2011)</w:t>
      </w:r>
      <w:r w:rsidR="00B0696A">
        <w:rPr>
          <w:sz w:val="22"/>
          <w:szCs w:val="22"/>
          <w:lang w:val="en-GB"/>
        </w:rPr>
        <w:fldChar w:fldCharType="end"/>
      </w:r>
      <w:r w:rsidRPr="00F22544">
        <w:rPr>
          <w:sz w:val="22"/>
          <w:szCs w:val="22"/>
          <w:lang w:val="en-GB"/>
        </w:rPr>
        <w:t xml:space="preserve">. Moreover, the management of any agricultural crop must deal with the depletion of soil nutrients and, consequently, the use of fertilizers increasing its carbon intensity. </w:t>
      </w:r>
      <w:r w:rsidR="00EC6938">
        <w:rPr>
          <w:sz w:val="22"/>
          <w:szCs w:val="22"/>
          <w:lang w:val="en-GB"/>
        </w:rPr>
        <w:t xml:space="preserve">This </w:t>
      </w:r>
      <w:r w:rsidRPr="00F22544">
        <w:rPr>
          <w:sz w:val="22"/>
          <w:szCs w:val="22"/>
          <w:lang w:val="en-GB"/>
        </w:rPr>
        <w:t xml:space="preserve"> </w:t>
      </w:r>
      <w:r w:rsidR="00EC6938" w:rsidRPr="00F22544">
        <w:rPr>
          <w:sz w:val="22"/>
          <w:szCs w:val="22"/>
          <w:lang w:val="en-GB"/>
        </w:rPr>
        <w:t xml:space="preserve">must be considered under critical assessment </w:t>
      </w:r>
      <w:r w:rsidRPr="00F22544">
        <w:rPr>
          <w:sz w:val="22"/>
          <w:szCs w:val="22"/>
          <w:lang w:val="en-GB"/>
        </w:rPr>
        <w:t>together</w:t>
      </w:r>
      <w:r w:rsidR="00EC6938">
        <w:rPr>
          <w:sz w:val="22"/>
          <w:szCs w:val="22"/>
          <w:lang w:val="en-GB"/>
        </w:rPr>
        <w:t xml:space="preserve"> with</w:t>
      </w:r>
      <w:r w:rsidRPr="00F22544">
        <w:rPr>
          <w:sz w:val="22"/>
          <w:szCs w:val="22"/>
          <w:lang w:val="en-GB"/>
        </w:rPr>
        <w:t xml:space="preserve"> the expansion of agricultural areas.</w:t>
      </w:r>
      <w:r w:rsidRPr="00BA4A18">
        <w:rPr>
          <w:sz w:val="22"/>
          <w:szCs w:val="22"/>
          <w:lang w:val="en-GB"/>
        </w:rPr>
        <w:t xml:space="preserve"> </w:t>
      </w:r>
      <w:r w:rsidR="00AB34CC">
        <w:rPr>
          <w:sz w:val="22"/>
          <w:szCs w:val="22"/>
          <w:lang w:val="en-GB"/>
        </w:rPr>
        <w:t>On the other hand, t</w:t>
      </w:r>
      <w:r w:rsidRPr="00F22544">
        <w:rPr>
          <w:sz w:val="22"/>
          <w:szCs w:val="22"/>
          <w:lang w:val="en-GB"/>
        </w:rPr>
        <w:t xml:space="preserve">he use of dedicated energy crops on degraded and marginal lands can contribute to improve soil </w:t>
      </w:r>
      <w:r w:rsidR="00AB34CC">
        <w:rPr>
          <w:sz w:val="22"/>
          <w:szCs w:val="22"/>
          <w:lang w:val="en-GB"/>
        </w:rPr>
        <w:t>fertility</w:t>
      </w:r>
      <w:r w:rsidRPr="00F22544">
        <w:rPr>
          <w:sz w:val="22"/>
          <w:szCs w:val="22"/>
          <w:lang w:val="en-GB"/>
        </w:rPr>
        <w:t xml:space="preserve">, and could be an strategy to increase feedstock availability, as suggested by the Delegated Regulation (EU) 2019/807. Nevertheless, the definition and classification of degraded lands </w:t>
      </w:r>
      <w:r w:rsidR="00EC6938">
        <w:rPr>
          <w:sz w:val="22"/>
          <w:szCs w:val="22"/>
          <w:lang w:val="en-GB"/>
        </w:rPr>
        <w:t xml:space="preserve">still </w:t>
      </w:r>
      <w:r w:rsidRPr="00F22544">
        <w:rPr>
          <w:sz w:val="22"/>
          <w:szCs w:val="22"/>
          <w:lang w:val="en-GB"/>
        </w:rPr>
        <w:t>lack</w:t>
      </w:r>
      <w:r w:rsidR="00EC6938">
        <w:rPr>
          <w:sz w:val="22"/>
          <w:szCs w:val="22"/>
          <w:lang w:val="en-GB"/>
        </w:rPr>
        <w:t>s</w:t>
      </w:r>
      <w:r w:rsidRPr="00F22544">
        <w:rPr>
          <w:sz w:val="22"/>
          <w:szCs w:val="22"/>
          <w:lang w:val="en-GB"/>
        </w:rPr>
        <w:t xml:space="preserve"> clarity </w:t>
      </w:r>
      <w:r w:rsidR="00B0696A">
        <w:rPr>
          <w:sz w:val="22"/>
          <w:szCs w:val="22"/>
          <w:lang w:val="en-GB"/>
        </w:rPr>
        <w:fldChar w:fldCharType="begin" w:fldLock="1"/>
      </w:r>
      <w:r w:rsidR="00B0696A">
        <w:rPr>
          <w:sz w:val="22"/>
          <w:szCs w:val="22"/>
          <w:lang w:val="en-GB"/>
        </w:rPr>
        <w:instrText>ADDIN CSL_CITATION {"citationItems":[{"id":"ITEM-1","itemData":{"DOI":"10.1016/j.rser.2020.110220","author":[{"dropping-particle":"","family":"Thomas","given":"R","non-dropping-particle":"","parse-names":false,"suffix":""},{"dropping-particle":"","family":"Hursthouse","given":"A","non-dropping-particle":"","parse-names":false,"suffix":""},{"dropping-particle":"","family":"Mellor","given":"P","non-dropping-particle":"","parse-names":false,"suffix":""},{"dropping-particle":"","family":"Lord","given":"R A","non-dropping-particle":"","parse-names":false,"suffix":""},{"dropping-particle":"","family":"Jo","given":"E","non-dropping-particle":"","parse-names":false,"suffix":""}],"id":"ITEM-1","issue":"August 2020","issued":{"date-parts":[["2021"]]},"title":"Identifying non-agricultural marginal lands as a route to sustainable bioenergy provision - A review and holistic definition","type":"article-journal","volume":"135"},"uris":["http://www.mendeley.com/documents/?uuid=354f418e-c815-4306-b1c0-11c1267a5ca8"]}],"mendeley":{"formattedCitation":"(Thomas et al., 2021)","plainTextFormattedCitation":"(Thomas et al., 2021)"},"properties":{"noteIndex":0},"schema":"https://github.com/citation-style-language/schema/raw/master/csl-citation.json"}</w:instrText>
      </w:r>
      <w:r w:rsidR="00B0696A">
        <w:rPr>
          <w:sz w:val="22"/>
          <w:szCs w:val="22"/>
          <w:lang w:val="en-GB"/>
        </w:rPr>
        <w:fldChar w:fldCharType="separate"/>
      </w:r>
      <w:r w:rsidR="00B0696A" w:rsidRPr="00B0696A">
        <w:rPr>
          <w:noProof/>
          <w:sz w:val="22"/>
          <w:szCs w:val="22"/>
          <w:lang w:val="en-GB"/>
        </w:rPr>
        <w:t>(Thomas et al., 2021)</w:t>
      </w:r>
      <w:r w:rsidR="00B0696A">
        <w:rPr>
          <w:sz w:val="22"/>
          <w:szCs w:val="22"/>
          <w:lang w:val="en-GB"/>
        </w:rPr>
        <w:fldChar w:fldCharType="end"/>
      </w:r>
      <w:r w:rsidRPr="00F22544">
        <w:rPr>
          <w:sz w:val="22"/>
          <w:szCs w:val="22"/>
          <w:lang w:val="en-GB"/>
        </w:rPr>
        <w:t>.</w:t>
      </w:r>
    </w:p>
    <w:p w14:paraId="42096AD3" w14:textId="096E2DD5" w:rsidR="00AB34CC" w:rsidRPr="00F22544" w:rsidRDefault="00AB34CC" w:rsidP="00BA4A18">
      <w:pPr>
        <w:spacing w:after="120" w:line="360" w:lineRule="auto"/>
        <w:ind w:firstLine="709"/>
        <w:rPr>
          <w:sz w:val="22"/>
          <w:szCs w:val="22"/>
          <w:lang w:val="en-GB"/>
        </w:rPr>
      </w:pPr>
      <w:r w:rsidRPr="00AB34CC">
        <w:rPr>
          <w:sz w:val="22"/>
          <w:szCs w:val="22"/>
          <w:lang w:val="en-GB"/>
        </w:rPr>
        <w:t xml:space="preserve">It is </w:t>
      </w:r>
      <w:r>
        <w:rPr>
          <w:sz w:val="22"/>
          <w:szCs w:val="22"/>
          <w:lang w:val="en-GB"/>
        </w:rPr>
        <w:t>vital</w:t>
      </w:r>
      <w:r w:rsidRPr="00AB34CC">
        <w:rPr>
          <w:sz w:val="22"/>
          <w:szCs w:val="22"/>
          <w:lang w:val="en-GB"/>
        </w:rPr>
        <w:t xml:space="preserve">, therefore, to consider the use of agricultural residues when discussing the use of lignocellulosic material for energy purposes. The valorisation of agricultural and forestry residues is fundamental to increase bioenergy capacity and </w:t>
      </w:r>
      <w:r>
        <w:rPr>
          <w:sz w:val="22"/>
          <w:szCs w:val="22"/>
          <w:lang w:val="en-GB"/>
        </w:rPr>
        <w:t>boost</w:t>
      </w:r>
      <w:r w:rsidRPr="00AB34CC">
        <w:rPr>
          <w:sz w:val="22"/>
          <w:szCs w:val="22"/>
          <w:lang w:val="en-GB"/>
        </w:rPr>
        <w:t xml:space="preserve"> the value added to the feedstock without land area expansion. Therefore, mitigating the matters related to agricultural practices and land use change</w:t>
      </w:r>
      <w:r>
        <w:rPr>
          <w:sz w:val="22"/>
          <w:szCs w:val="22"/>
          <w:lang w:val="en-GB"/>
        </w:rPr>
        <w:t>.</w:t>
      </w:r>
    </w:p>
    <w:p w14:paraId="76365923" w14:textId="1B4FF449" w:rsidR="00BA4A18" w:rsidRDefault="23508578" w:rsidP="00BA4A18">
      <w:pPr>
        <w:spacing w:after="120" w:line="360" w:lineRule="auto"/>
        <w:ind w:firstLine="709"/>
        <w:rPr>
          <w:sz w:val="22"/>
          <w:szCs w:val="22"/>
          <w:lang w:val="en-GB"/>
        </w:rPr>
      </w:pPr>
      <w:r w:rsidRPr="59587566">
        <w:rPr>
          <w:sz w:val="22"/>
          <w:szCs w:val="22"/>
          <w:lang w:val="en-GB"/>
        </w:rPr>
        <w:t xml:space="preserve"> </w:t>
      </w:r>
      <w:r w:rsidR="00EC6938">
        <w:rPr>
          <w:sz w:val="22"/>
          <w:szCs w:val="22"/>
          <w:lang w:val="en-GB"/>
        </w:rPr>
        <w:t>I</w:t>
      </w:r>
      <w:r w:rsidR="2A28DF93" w:rsidRPr="59587566">
        <w:rPr>
          <w:sz w:val="22"/>
          <w:szCs w:val="22"/>
          <w:lang w:val="en-GB"/>
        </w:rPr>
        <w:t xml:space="preserve">n </w:t>
      </w:r>
      <w:r w:rsidR="00EC6938">
        <w:rPr>
          <w:sz w:val="22"/>
          <w:szCs w:val="22"/>
          <w:lang w:val="en-GB"/>
        </w:rPr>
        <w:t>A</w:t>
      </w:r>
      <w:r w:rsidR="00EC6938" w:rsidRPr="59587566">
        <w:rPr>
          <w:sz w:val="22"/>
          <w:szCs w:val="22"/>
          <w:lang w:val="en-GB"/>
        </w:rPr>
        <w:t>nnex IX of RED II</w:t>
      </w:r>
      <w:r w:rsidR="00EC6938">
        <w:rPr>
          <w:sz w:val="22"/>
          <w:szCs w:val="22"/>
          <w:lang w:val="en-GB"/>
        </w:rPr>
        <w:t>,</w:t>
      </w:r>
      <w:r w:rsidR="00EC6938" w:rsidRPr="59587566">
        <w:rPr>
          <w:sz w:val="22"/>
          <w:szCs w:val="22"/>
          <w:lang w:val="en-GB"/>
        </w:rPr>
        <w:t xml:space="preserve"> </w:t>
      </w:r>
      <w:r w:rsidR="2A28DF93" w:rsidRPr="59587566">
        <w:rPr>
          <w:sz w:val="22"/>
          <w:szCs w:val="22"/>
          <w:lang w:val="en-GB"/>
        </w:rPr>
        <w:t>Part A</w:t>
      </w:r>
      <w:r w:rsidR="1FB9A345" w:rsidRPr="59587566">
        <w:rPr>
          <w:sz w:val="22"/>
          <w:szCs w:val="22"/>
          <w:lang w:val="en-GB"/>
        </w:rPr>
        <w:t>,</w:t>
      </w:r>
      <w:r w:rsidR="00EC6938">
        <w:rPr>
          <w:sz w:val="22"/>
          <w:szCs w:val="22"/>
          <w:lang w:val="en-GB"/>
        </w:rPr>
        <w:t xml:space="preserve"> </w:t>
      </w:r>
      <w:r w:rsidR="071EF526" w:rsidRPr="59587566">
        <w:rPr>
          <w:sz w:val="22"/>
          <w:szCs w:val="22"/>
          <w:lang w:val="en-GB"/>
        </w:rPr>
        <w:t xml:space="preserve"> are </w:t>
      </w:r>
      <w:r w:rsidR="00AB3894">
        <w:rPr>
          <w:sz w:val="22"/>
          <w:szCs w:val="22"/>
          <w:lang w:val="en-GB"/>
        </w:rPr>
        <w:t xml:space="preserve">listed </w:t>
      </w:r>
      <w:r w:rsidR="071EF526" w:rsidRPr="59587566">
        <w:rPr>
          <w:sz w:val="22"/>
          <w:szCs w:val="22"/>
          <w:lang w:val="en-GB"/>
        </w:rPr>
        <w:t>some l</w:t>
      </w:r>
      <w:r w:rsidR="2A28DF93" w:rsidRPr="59587566">
        <w:rPr>
          <w:sz w:val="22"/>
          <w:szCs w:val="22"/>
          <w:lang w:val="en-GB"/>
        </w:rPr>
        <w:t>ignocellulosic feedstock</w:t>
      </w:r>
      <w:r w:rsidR="49E8309A" w:rsidRPr="59587566">
        <w:rPr>
          <w:sz w:val="22"/>
          <w:szCs w:val="22"/>
          <w:lang w:val="en-GB"/>
        </w:rPr>
        <w:t>s</w:t>
      </w:r>
      <w:r w:rsidR="008F6319">
        <w:rPr>
          <w:sz w:val="22"/>
          <w:szCs w:val="22"/>
          <w:lang w:val="en-GB"/>
        </w:rPr>
        <w:t>, available for advanced biofuels production</w:t>
      </w:r>
      <w:r w:rsidR="00AB3894">
        <w:rPr>
          <w:sz w:val="22"/>
          <w:szCs w:val="22"/>
          <w:lang w:val="en-GB"/>
        </w:rPr>
        <w:t>:</w:t>
      </w:r>
      <w:r w:rsidR="2A28DF93" w:rsidRPr="59587566">
        <w:rPr>
          <w:sz w:val="22"/>
          <w:szCs w:val="22"/>
          <w:lang w:val="en-GB"/>
        </w:rPr>
        <w:t xml:space="preserve"> </w:t>
      </w:r>
      <w:r w:rsidR="0EEF2DCD" w:rsidRPr="59587566">
        <w:rPr>
          <w:sz w:val="22"/>
          <w:szCs w:val="22"/>
          <w:lang w:val="en-GB"/>
        </w:rPr>
        <w:t>such as</w:t>
      </w:r>
      <w:r w:rsidR="2A28DF93" w:rsidRPr="59587566">
        <w:rPr>
          <w:sz w:val="22"/>
          <w:szCs w:val="22"/>
          <w:lang w:val="en-GB"/>
        </w:rPr>
        <w:t xml:space="preserve"> straw, bagasse, husk, </w:t>
      </w:r>
      <w:r w:rsidR="05FA1695" w:rsidRPr="59587566">
        <w:rPr>
          <w:sz w:val="22"/>
          <w:szCs w:val="22"/>
          <w:lang w:val="en-GB"/>
        </w:rPr>
        <w:t>nutshells, cobs</w:t>
      </w:r>
      <w:r w:rsidR="2A28DF93" w:rsidRPr="59587566">
        <w:rPr>
          <w:sz w:val="22"/>
          <w:szCs w:val="22"/>
          <w:lang w:val="en-GB"/>
        </w:rPr>
        <w:t xml:space="preserve">, </w:t>
      </w:r>
      <w:r w:rsidR="27474826" w:rsidRPr="59587566">
        <w:rPr>
          <w:sz w:val="22"/>
          <w:szCs w:val="22"/>
          <w:lang w:val="en-GB"/>
        </w:rPr>
        <w:t xml:space="preserve">forestry </w:t>
      </w:r>
      <w:r w:rsidR="2A28DF93" w:rsidRPr="59587566">
        <w:rPr>
          <w:sz w:val="22"/>
          <w:szCs w:val="22"/>
          <w:lang w:val="en-GB"/>
        </w:rPr>
        <w:t>residues</w:t>
      </w:r>
      <w:r w:rsidR="6E085DF4" w:rsidRPr="59587566">
        <w:rPr>
          <w:sz w:val="22"/>
          <w:szCs w:val="22"/>
          <w:lang w:val="en-GB"/>
        </w:rPr>
        <w:t xml:space="preserve"> and</w:t>
      </w:r>
      <w:r w:rsidR="2A28DF93" w:rsidRPr="59587566">
        <w:rPr>
          <w:sz w:val="22"/>
          <w:szCs w:val="22"/>
          <w:lang w:val="en-GB"/>
        </w:rPr>
        <w:t xml:space="preserve"> non-food cellulosic material</w:t>
      </w:r>
      <w:r w:rsidR="008F6319">
        <w:rPr>
          <w:sz w:val="22"/>
          <w:szCs w:val="22"/>
          <w:lang w:val="en-GB"/>
        </w:rPr>
        <w:t xml:space="preserve">. Those outside of this list </w:t>
      </w:r>
      <w:r w:rsidR="00577F13">
        <w:rPr>
          <w:sz w:val="22"/>
          <w:szCs w:val="22"/>
          <w:lang w:val="en-GB"/>
        </w:rPr>
        <w:t xml:space="preserve">are not considered for advanced </w:t>
      </w:r>
      <w:r w:rsidR="00CF6B10">
        <w:rPr>
          <w:sz w:val="22"/>
          <w:szCs w:val="22"/>
          <w:lang w:val="en-GB"/>
        </w:rPr>
        <w:t xml:space="preserve">fuel production; therefore, the </w:t>
      </w:r>
      <w:r w:rsidR="00C67C39">
        <w:rPr>
          <w:sz w:val="22"/>
          <w:szCs w:val="22"/>
          <w:lang w:val="en-GB"/>
        </w:rPr>
        <w:t xml:space="preserve">emissions </w:t>
      </w:r>
      <w:r w:rsidR="00FE37AF">
        <w:rPr>
          <w:sz w:val="22"/>
          <w:szCs w:val="22"/>
          <w:lang w:val="en-GB"/>
        </w:rPr>
        <w:t>attributed to</w:t>
      </w:r>
      <w:r w:rsidR="00C67C39">
        <w:rPr>
          <w:sz w:val="22"/>
          <w:szCs w:val="22"/>
          <w:lang w:val="en-GB"/>
        </w:rPr>
        <w:t xml:space="preserve"> production </w:t>
      </w:r>
      <w:r w:rsidR="00FE37AF">
        <w:rPr>
          <w:sz w:val="22"/>
          <w:szCs w:val="22"/>
          <w:lang w:val="en-GB"/>
        </w:rPr>
        <w:t>phase are</w:t>
      </w:r>
      <w:r w:rsidR="00C67C39">
        <w:rPr>
          <w:sz w:val="22"/>
          <w:szCs w:val="22"/>
          <w:lang w:val="en-GB"/>
        </w:rPr>
        <w:t xml:space="preserve"> accounted</w:t>
      </w:r>
      <w:r w:rsidR="17A10EC5" w:rsidRPr="59587566">
        <w:rPr>
          <w:sz w:val="22"/>
          <w:szCs w:val="22"/>
          <w:lang w:val="en-GB"/>
        </w:rPr>
        <w:t xml:space="preserve"> </w:t>
      </w:r>
      <w:r w:rsidR="008D1746" w:rsidRPr="59587566">
        <w:rPr>
          <w:sz w:val="22"/>
          <w:szCs w:val="22"/>
          <w:lang w:val="en-GB"/>
        </w:rPr>
        <w:fldChar w:fldCharType="begin" w:fldLock="1"/>
      </w:r>
      <w:r w:rsidR="008D1746" w:rsidRPr="59587566">
        <w:rPr>
          <w:sz w:val="22"/>
          <w:szCs w:val="22"/>
          <w:lang w:val="en-GB"/>
        </w:rPr>
        <w:instrText>ADDIN CSL_CITATION {"citationItems":[{"id":"ITEM-1","itemData":{"author":[{"dropping-particle":"","family":"European Parliament","given":"","non-dropping-particle":"","parse-names":false,"suffix":""}],"container-title":"Official Journal of the European Union","id":"ITEM-1","issue":"December","issued":{"date-parts":[["2018"]]},"title":"DIRECTIVE (EU) 2018/2001","type":"report","volume":"2018"},"uris":["http://www.mendeley.com/documents/?uuid=5e84ff70-a0d5-4039-ae00-26f830b3dfd5"]}],"mendeley":{"formattedCitation":"(European Parliament, 2018)","plainTextFormattedCitation":"(European Parliament, 2018)","previouslyFormattedCitation":"(European Parliament, 2018)"},"properties":{"noteIndex":0},"schema":"https://github.com/citation-style-language/schema/raw/master/csl-citation.json"}</w:instrText>
      </w:r>
      <w:r w:rsidR="008D1746" w:rsidRPr="59587566">
        <w:rPr>
          <w:sz w:val="22"/>
          <w:szCs w:val="22"/>
          <w:lang w:val="en-GB"/>
        </w:rPr>
        <w:fldChar w:fldCharType="separate"/>
      </w:r>
      <w:r w:rsidR="2A28DF93" w:rsidRPr="59587566">
        <w:rPr>
          <w:noProof/>
          <w:sz w:val="22"/>
          <w:szCs w:val="22"/>
          <w:lang w:val="en-GB"/>
        </w:rPr>
        <w:t>(European Parliament, 2018)</w:t>
      </w:r>
      <w:r w:rsidR="008D1746" w:rsidRPr="59587566">
        <w:rPr>
          <w:sz w:val="22"/>
          <w:szCs w:val="22"/>
          <w:lang w:val="en-GB"/>
        </w:rPr>
        <w:fldChar w:fldCharType="end"/>
      </w:r>
      <w:r w:rsidR="2A28DF93" w:rsidRPr="59587566">
        <w:rPr>
          <w:sz w:val="22"/>
          <w:szCs w:val="22"/>
          <w:lang w:val="en-GB"/>
        </w:rPr>
        <w:t>.</w:t>
      </w:r>
      <w:r w:rsidR="003C20A0">
        <w:rPr>
          <w:sz w:val="22"/>
          <w:szCs w:val="22"/>
          <w:lang w:val="en-GB"/>
        </w:rPr>
        <w:t xml:space="preserve"> It is valid to mention that annex IX is currently under revision and discussion. The addition of feedstocks is expected but not certain. Furthermore, it is likely that </w:t>
      </w:r>
      <w:r w:rsidR="00037058">
        <w:rPr>
          <w:sz w:val="22"/>
          <w:szCs w:val="22"/>
          <w:lang w:val="en-GB"/>
        </w:rPr>
        <w:t xml:space="preserve">additional </w:t>
      </w:r>
      <w:r w:rsidR="003C20A0">
        <w:rPr>
          <w:sz w:val="22"/>
          <w:szCs w:val="22"/>
          <w:lang w:val="en-GB"/>
        </w:rPr>
        <w:t>criteria</w:t>
      </w:r>
      <w:r w:rsidR="00037058">
        <w:rPr>
          <w:sz w:val="22"/>
          <w:szCs w:val="22"/>
          <w:lang w:val="en-GB"/>
        </w:rPr>
        <w:t xml:space="preserve"> might be</w:t>
      </w:r>
      <w:r w:rsidR="003C20A0">
        <w:rPr>
          <w:sz w:val="22"/>
          <w:szCs w:val="22"/>
          <w:lang w:val="en-GB"/>
        </w:rPr>
        <w:t xml:space="preserve"> used while defining </w:t>
      </w:r>
      <w:r w:rsidR="00037058">
        <w:rPr>
          <w:sz w:val="22"/>
          <w:szCs w:val="22"/>
          <w:lang w:val="en-GB"/>
        </w:rPr>
        <w:t xml:space="preserve">the eligibility of </w:t>
      </w:r>
      <w:r w:rsidR="003C20A0">
        <w:rPr>
          <w:sz w:val="22"/>
          <w:szCs w:val="22"/>
          <w:lang w:val="en-GB"/>
        </w:rPr>
        <w:t>feedstock</w:t>
      </w:r>
      <w:r w:rsidR="00037058">
        <w:rPr>
          <w:sz w:val="22"/>
          <w:szCs w:val="22"/>
          <w:lang w:val="en-GB"/>
        </w:rPr>
        <w:t>s</w:t>
      </w:r>
      <w:r w:rsidR="003C20A0">
        <w:rPr>
          <w:sz w:val="22"/>
          <w:szCs w:val="22"/>
          <w:lang w:val="en-GB"/>
        </w:rPr>
        <w:t xml:space="preserve"> for advanced fuel production</w:t>
      </w:r>
      <w:r w:rsidR="00037058">
        <w:rPr>
          <w:sz w:val="22"/>
          <w:szCs w:val="22"/>
          <w:lang w:val="en-GB"/>
        </w:rPr>
        <w:t>.</w:t>
      </w:r>
    </w:p>
    <w:p w14:paraId="7A8F87D8" w14:textId="033DB935" w:rsidR="006C24DC" w:rsidRDefault="00352F47" w:rsidP="00D411B8">
      <w:pPr>
        <w:spacing w:after="120" w:line="360" w:lineRule="auto"/>
        <w:ind w:firstLine="709"/>
        <w:rPr>
          <w:rFonts w:ascii="Segoe UI" w:hAnsi="Segoe UI" w:cs="Segoe UI"/>
          <w:color w:val="242424"/>
          <w:szCs w:val="21"/>
          <w:shd w:val="clear" w:color="auto" w:fill="FFFFFF"/>
        </w:rPr>
      </w:pPr>
      <w:r>
        <w:rPr>
          <w:rFonts w:ascii="Segoe UI" w:hAnsi="Segoe UI" w:cs="Segoe UI"/>
          <w:color w:val="242424"/>
          <w:szCs w:val="21"/>
          <w:shd w:val="clear" w:color="auto" w:fill="FFFFFF"/>
        </w:rPr>
        <w:lastRenderedPageBreak/>
        <w:t>It is expected that Member States will transpose EU directives into their national framework, in order to account</w:t>
      </w:r>
      <w:r w:rsidR="00F809CB">
        <w:rPr>
          <w:rFonts w:ascii="Segoe UI" w:hAnsi="Segoe UI" w:cs="Segoe UI"/>
          <w:color w:val="242424"/>
          <w:szCs w:val="21"/>
          <w:shd w:val="clear" w:color="auto" w:fill="FFFFFF"/>
        </w:rPr>
        <w:t xml:space="preserve"> for the</w:t>
      </w:r>
      <w:r>
        <w:rPr>
          <w:rFonts w:ascii="Segoe UI" w:hAnsi="Segoe UI" w:cs="Segoe UI"/>
          <w:color w:val="242424"/>
          <w:szCs w:val="21"/>
          <w:shd w:val="clear" w:color="auto" w:fill="FFFFFF"/>
        </w:rPr>
        <w:t xml:space="preserve"> relevant </w:t>
      </w:r>
      <w:r w:rsidR="00962E46">
        <w:rPr>
          <w:rFonts w:ascii="Segoe UI" w:hAnsi="Segoe UI" w:cs="Segoe UI"/>
          <w:color w:val="242424"/>
          <w:szCs w:val="21"/>
          <w:shd w:val="clear" w:color="auto" w:fill="FFFFFF"/>
        </w:rPr>
        <w:t xml:space="preserve">national </w:t>
      </w:r>
      <w:r>
        <w:rPr>
          <w:rFonts w:ascii="Segoe UI" w:hAnsi="Segoe UI" w:cs="Segoe UI"/>
          <w:color w:val="242424"/>
          <w:szCs w:val="21"/>
          <w:shd w:val="clear" w:color="auto" w:fill="FFFFFF"/>
        </w:rPr>
        <w:t xml:space="preserve">particularities. In the </w:t>
      </w:r>
      <w:r w:rsidR="00F809CB">
        <w:rPr>
          <w:rFonts w:ascii="Segoe UI" w:hAnsi="Segoe UI" w:cs="Segoe UI"/>
          <w:color w:val="242424"/>
          <w:szCs w:val="21"/>
          <w:shd w:val="clear" w:color="auto" w:fill="FFFFFF"/>
        </w:rPr>
        <w:t xml:space="preserve">incorporation </w:t>
      </w:r>
      <w:r>
        <w:rPr>
          <w:rFonts w:ascii="Segoe UI" w:hAnsi="Segoe UI" w:cs="Segoe UI"/>
          <w:color w:val="242424"/>
          <w:szCs w:val="21"/>
          <w:shd w:val="clear" w:color="auto" w:fill="FFFFFF"/>
        </w:rPr>
        <w:t xml:space="preserve">process </w:t>
      </w:r>
      <w:r w:rsidR="006C24DC" w:rsidRPr="006C24DC">
        <w:rPr>
          <w:rFonts w:ascii="Segoe UI" w:hAnsi="Segoe UI" w:cs="Segoe UI"/>
          <w:color w:val="242424"/>
          <w:szCs w:val="21"/>
          <w:shd w:val="clear" w:color="auto" w:fill="FFFFFF"/>
        </w:rPr>
        <w:t xml:space="preserve">differences might </w:t>
      </w:r>
      <w:r w:rsidR="006C24DC">
        <w:rPr>
          <w:rFonts w:ascii="Segoe UI" w:hAnsi="Segoe UI" w:cs="Segoe UI"/>
          <w:color w:val="242424"/>
          <w:szCs w:val="21"/>
          <w:shd w:val="clear" w:color="auto" w:fill="FFFFFF"/>
        </w:rPr>
        <w:t>take place between</w:t>
      </w:r>
      <w:r w:rsidR="006C24DC" w:rsidRPr="006C24DC">
        <w:rPr>
          <w:rFonts w:ascii="Segoe UI" w:hAnsi="Segoe UI" w:cs="Segoe UI"/>
          <w:color w:val="242424"/>
          <w:szCs w:val="21"/>
          <w:shd w:val="clear" w:color="auto" w:fill="FFFFFF"/>
        </w:rPr>
        <w:t xml:space="preserve"> Me</w:t>
      </w:r>
      <w:r w:rsidR="006C24DC">
        <w:rPr>
          <w:rFonts w:ascii="Segoe UI" w:hAnsi="Segoe UI" w:cs="Segoe UI"/>
          <w:color w:val="242424"/>
          <w:szCs w:val="21"/>
          <w:shd w:val="clear" w:color="auto" w:fill="FFFFFF"/>
        </w:rPr>
        <w:t>m</w:t>
      </w:r>
      <w:r w:rsidR="006C24DC" w:rsidRPr="006C24DC">
        <w:rPr>
          <w:rFonts w:ascii="Segoe UI" w:hAnsi="Segoe UI" w:cs="Segoe UI"/>
          <w:color w:val="242424"/>
          <w:szCs w:val="21"/>
          <w:shd w:val="clear" w:color="auto" w:fill="FFFFFF"/>
        </w:rPr>
        <w:t>ber states, for instance</w:t>
      </w:r>
      <w:r w:rsidR="006C24DC">
        <w:rPr>
          <w:rFonts w:ascii="Segoe UI" w:hAnsi="Segoe UI" w:cs="Segoe UI"/>
          <w:color w:val="242424"/>
          <w:szCs w:val="21"/>
          <w:shd w:val="clear" w:color="auto" w:fill="FFFFFF"/>
        </w:rPr>
        <w:t xml:space="preserve"> </w:t>
      </w:r>
      <w:r w:rsidR="006C24DC" w:rsidRPr="006C24DC">
        <w:rPr>
          <w:rFonts w:ascii="Segoe UI" w:hAnsi="Segoe UI" w:cs="Segoe UI"/>
          <w:color w:val="242424"/>
          <w:szCs w:val="21"/>
          <w:shd w:val="clear" w:color="auto" w:fill="FFFFFF"/>
        </w:rPr>
        <w:t>defining the oblige groups.</w:t>
      </w:r>
    </w:p>
    <w:p w14:paraId="5296262D" w14:textId="6FABA7B9" w:rsidR="0027596C" w:rsidRDefault="2A28DF93" w:rsidP="5937A937">
      <w:pPr>
        <w:spacing w:after="120" w:line="360" w:lineRule="auto"/>
        <w:ind w:firstLine="709"/>
        <w:rPr>
          <w:sz w:val="22"/>
          <w:szCs w:val="22"/>
          <w:lang w:val="en-GB"/>
        </w:rPr>
      </w:pPr>
      <w:r w:rsidRPr="59587566">
        <w:rPr>
          <w:sz w:val="22"/>
          <w:szCs w:val="22"/>
          <w:lang w:val="en-GB"/>
        </w:rPr>
        <w:t>RED sets important criteria that</w:t>
      </w:r>
      <w:r w:rsidR="007C44F9">
        <w:rPr>
          <w:sz w:val="22"/>
          <w:szCs w:val="22"/>
          <w:lang w:val="en-GB"/>
        </w:rPr>
        <w:t xml:space="preserve"> the</w:t>
      </w:r>
      <w:r w:rsidRPr="59587566">
        <w:rPr>
          <w:sz w:val="22"/>
          <w:szCs w:val="22"/>
          <w:lang w:val="en-GB"/>
        </w:rPr>
        <w:t xml:space="preserve"> Bio-HFO should comply </w:t>
      </w:r>
      <w:r w:rsidR="50D739F1" w:rsidRPr="59587566">
        <w:rPr>
          <w:sz w:val="22"/>
          <w:szCs w:val="22"/>
          <w:lang w:val="en-GB"/>
        </w:rPr>
        <w:t>with</w:t>
      </w:r>
      <w:r w:rsidR="008B66AF">
        <w:rPr>
          <w:sz w:val="22"/>
          <w:szCs w:val="22"/>
          <w:lang w:val="en-GB"/>
        </w:rPr>
        <w:t xml:space="preserve"> in order to be considered</w:t>
      </w:r>
      <w:r w:rsidR="006B5B33">
        <w:rPr>
          <w:sz w:val="22"/>
          <w:szCs w:val="22"/>
          <w:lang w:val="en-GB"/>
        </w:rPr>
        <w:t xml:space="preserve"> an</w:t>
      </w:r>
      <w:r w:rsidR="008B66AF">
        <w:rPr>
          <w:sz w:val="22"/>
          <w:szCs w:val="22"/>
          <w:lang w:val="en-GB"/>
        </w:rPr>
        <w:t xml:space="preserve"> advanced biofuel</w:t>
      </w:r>
      <w:r w:rsidRPr="59587566">
        <w:rPr>
          <w:sz w:val="22"/>
          <w:szCs w:val="22"/>
          <w:lang w:val="en-GB"/>
        </w:rPr>
        <w:t xml:space="preserve">. The recognition by the EU and a certification scheme </w:t>
      </w:r>
      <w:r w:rsidR="24CD2B67" w:rsidRPr="59587566">
        <w:rPr>
          <w:sz w:val="22"/>
          <w:szCs w:val="22"/>
          <w:lang w:val="en-GB"/>
        </w:rPr>
        <w:t>are,</w:t>
      </w:r>
      <w:r w:rsidRPr="59587566">
        <w:rPr>
          <w:sz w:val="22"/>
          <w:szCs w:val="22"/>
          <w:lang w:val="en-GB"/>
        </w:rPr>
        <w:t xml:space="preserve"> </w:t>
      </w:r>
      <w:r w:rsidR="4156F99F" w:rsidRPr="59587566">
        <w:rPr>
          <w:sz w:val="22"/>
          <w:szCs w:val="22"/>
          <w:lang w:val="en-GB"/>
        </w:rPr>
        <w:t xml:space="preserve">therefore, </w:t>
      </w:r>
      <w:r w:rsidRPr="59587566">
        <w:rPr>
          <w:sz w:val="22"/>
          <w:szCs w:val="22"/>
          <w:lang w:val="en-GB"/>
        </w:rPr>
        <w:t xml:space="preserve">necessary in order to </w:t>
      </w:r>
      <w:r w:rsidR="45D84CC9" w:rsidRPr="59587566">
        <w:rPr>
          <w:sz w:val="22"/>
          <w:szCs w:val="22"/>
          <w:lang w:val="en-GB"/>
        </w:rPr>
        <w:t>benefit</w:t>
      </w:r>
      <w:r w:rsidR="4805061D" w:rsidRPr="59587566">
        <w:rPr>
          <w:sz w:val="22"/>
          <w:szCs w:val="22"/>
          <w:lang w:val="en-GB"/>
        </w:rPr>
        <w:t xml:space="preserve"> </w:t>
      </w:r>
      <w:r w:rsidR="45D84CC9" w:rsidRPr="59587566">
        <w:rPr>
          <w:sz w:val="22"/>
          <w:szCs w:val="22"/>
          <w:lang w:val="en-GB"/>
        </w:rPr>
        <w:t>from market incentives related to sustainability performance.</w:t>
      </w:r>
    </w:p>
    <w:p w14:paraId="41969C85" w14:textId="77777777" w:rsidR="005D6854" w:rsidRPr="002E0EBC" w:rsidRDefault="005D6854" w:rsidP="002F7E75">
      <w:pPr>
        <w:pStyle w:val="Heading4"/>
      </w:pPr>
      <w:r w:rsidRPr="002E0EBC">
        <w:t>Hernieuwbare brandstofeenheden (HBEs)</w:t>
      </w:r>
    </w:p>
    <w:p w14:paraId="49FF6F23" w14:textId="77777777" w:rsidR="005D6854" w:rsidRDefault="005D6854" w:rsidP="005D6854">
      <w:pPr>
        <w:rPr>
          <w:lang w:val="en-GB"/>
        </w:rPr>
      </w:pPr>
    </w:p>
    <w:p w14:paraId="67575CDE" w14:textId="77777777" w:rsidR="005D6854" w:rsidRPr="0040379B" w:rsidRDefault="005D6854" w:rsidP="005D6854">
      <w:pPr>
        <w:spacing w:after="120" w:line="360" w:lineRule="auto"/>
        <w:ind w:firstLine="296"/>
        <w:rPr>
          <w:rFonts w:asciiTheme="majorHAnsi" w:hAnsiTheme="majorHAnsi" w:cstheme="majorBidi"/>
          <w:color w:val="auto"/>
          <w:sz w:val="22"/>
          <w:szCs w:val="22"/>
        </w:rPr>
      </w:pPr>
      <w:r>
        <w:rPr>
          <w:rFonts w:asciiTheme="majorHAnsi" w:hAnsiTheme="majorHAnsi" w:cstheme="majorBidi"/>
          <w:color w:val="auto"/>
          <w:sz w:val="22"/>
          <w:szCs w:val="22"/>
          <w:lang w:val="en-GB"/>
        </w:rPr>
        <w:t xml:space="preserve">As directive, the RED had to be transposed into national law. </w:t>
      </w:r>
      <w:r w:rsidRPr="5937A937">
        <w:rPr>
          <w:rFonts w:asciiTheme="majorHAnsi" w:hAnsiTheme="majorHAnsi" w:cstheme="majorBidi"/>
          <w:color w:val="auto"/>
          <w:sz w:val="22"/>
          <w:szCs w:val="22"/>
          <w:lang w:val="en-GB"/>
        </w:rPr>
        <w:t xml:space="preserve">In the Netherlands, a system of renewable energy units (HBEs: hernieuwbare brandstofeenheden) </w:t>
      </w:r>
      <w:r>
        <w:rPr>
          <w:rFonts w:asciiTheme="majorHAnsi" w:hAnsiTheme="majorHAnsi" w:cstheme="majorBidi"/>
          <w:color w:val="auto"/>
          <w:sz w:val="22"/>
          <w:szCs w:val="22"/>
          <w:lang w:val="en-GB"/>
        </w:rPr>
        <w:t>was established</w:t>
      </w:r>
      <w:r w:rsidRPr="5937A937">
        <w:rPr>
          <w:rFonts w:asciiTheme="majorHAnsi" w:hAnsiTheme="majorHAnsi" w:cstheme="majorBidi"/>
          <w:color w:val="auto"/>
          <w:sz w:val="22"/>
          <w:szCs w:val="22"/>
          <w:lang w:val="en-GB"/>
        </w:rPr>
        <w:t xml:space="preserve"> to ensure compliance with the annual obligation </w:t>
      </w:r>
      <w:r>
        <w:rPr>
          <w:rFonts w:asciiTheme="majorHAnsi" w:hAnsiTheme="majorHAnsi" w:cstheme="majorBidi"/>
          <w:color w:val="auto"/>
          <w:sz w:val="22"/>
          <w:szCs w:val="22"/>
          <w:lang w:val="en-GB"/>
        </w:rPr>
        <w:t xml:space="preserve">renewable energy obligation and </w:t>
      </w:r>
      <w:r w:rsidRPr="5937A937">
        <w:rPr>
          <w:rFonts w:asciiTheme="majorHAnsi" w:hAnsiTheme="majorHAnsi" w:cstheme="majorBidi"/>
          <w:color w:val="auto"/>
          <w:sz w:val="22"/>
          <w:szCs w:val="22"/>
          <w:lang w:val="en-GB"/>
        </w:rPr>
        <w:t>GHG emissions reductions in transportation. One HBE represents 1 gigajoule (GJ) of renewable energy that is delivered to the Dutch transport market. HBEs are created by claiming deliveries of renewable energy. Under the Energy for Transport compliance system, the Dutch government uses a trading system where participants can cooperatively deliver their mandatory share of renewable energy in the most cost-effective way.  There are different types of HBEs depending of the raw material used for fuel production. The mandatory use of advanced HBE over conventional and the preference of high value applications (over heat), are beneficial for the production of advanced biofuels</w:t>
      </w:r>
      <w:r w:rsidRPr="003471DC">
        <w:rPr>
          <w:rFonts w:asciiTheme="majorHAnsi" w:hAnsiTheme="majorHAnsi" w:cstheme="majorBidi"/>
          <w:color w:val="auto"/>
          <w:sz w:val="22"/>
          <w:szCs w:val="22"/>
        </w:rPr>
        <w:t xml:space="preserve"> </w:t>
      </w:r>
      <w:r w:rsidRPr="0040379B">
        <w:rPr>
          <w:rFonts w:asciiTheme="majorHAnsi" w:hAnsiTheme="majorHAnsi" w:cstheme="majorBidi"/>
          <w:color w:val="auto"/>
          <w:sz w:val="22"/>
          <w:szCs w:val="22"/>
        </w:rPr>
        <w:t>(Rijksdienst voor Ondernemend Nederland, n.d.).</w:t>
      </w:r>
    </w:p>
    <w:p w14:paraId="1D92919C" w14:textId="69FD03DD" w:rsidR="005D6854" w:rsidRDefault="005D6854" w:rsidP="005D6854">
      <w:pPr>
        <w:spacing w:after="120" w:line="360" w:lineRule="auto"/>
        <w:ind w:firstLine="296"/>
        <w:rPr>
          <w:rFonts w:asciiTheme="majorHAnsi" w:hAnsiTheme="majorHAnsi" w:cstheme="majorBidi"/>
          <w:color w:val="auto"/>
          <w:sz w:val="22"/>
          <w:szCs w:val="22"/>
          <w:lang w:val="en-GB"/>
        </w:rPr>
      </w:pPr>
      <w:r>
        <w:rPr>
          <w:rFonts w:asciiTheme="majorHAnsi" w:hAnsiTheme="majorHAnsi" w:cstheme="majorBidi"/>
          <w:color w:val="auto"/>
          <w:sz w:val="22"/>
          <w:szCs w:val="22"/>
          <w:lang w:val="en-GB"/>
        </w:rPr>
        <w:t xml:space="preserve">Even though shipping was not subject to the GHG emissions reduction obligation, the shipping sector was included into the system via creation of voluntary HBEs (so-called “opt-in”). The intention behind was to foster the development of sustainable solutions in the shipping sector. In 2020, around 19 million HBEs were created in the shipping sector. Since </w:t>
      </w:r>
      <w:r w:rsidR="007D4A4F">
        <w:rPr>
          <w:rFonts w:asciiTheme="majorHAnsi" w:hAnsiTheme="majorHAnsi" w:cstheme="majorBidi"/>
          <w:color w:val="auto"/>
          <w:sz w:val="22"/>
          <w:szCs w:val="22"/>
          <w:lang w:val="en-GB"/>
        </w:rPr>
        <w:t xml:space="preserve">the start of </w:t>
      </w:r>
      <w:r>
        <w:rPr>
          <w:rFonts w:asciiTheme="majorHAnsi" w:hAnsiTheme="majorHAnsi" w:cstheme="majorBidi"/>
          <w:color w:val="auto"/>
          <w:sz w:val="22"/>
          <w:szCs w:val="22"/>
          <w:lang w:val="en-GB"/>
        </w:rPr>
        <w:t xml:space="preserve">2021, only advanced biofuels (produced from feedstocks of Annex IX Part A RED II ) </w:t>
      </w:r>
      <w:r w:rsidR="007D4A4F">
        <w:rPr>
          <w:rFonts w:asciiTheme="majorHAnsi" w:hAnsiTheme="majorHAnsi" w:cstheme="majorBidi"/>
          <w:color w:val="auto"/>
          <w:sz w:val="22"/>
          <w:szCs w:val="22"/>
          <w:lang w:val="en-GB"/>
        </w:rPr>
        <w:t xml:space="preserve">are eligible to </w:t>
      </w:r>
      <w:r>
        <w:rPr>
          <w:rFonts w:asciiTheme="majorHAnsi" w:hAnsiTheme="majorHAnsi" w:cstheme="majorBidi"/>
          <w:color w:val="auto"/>
          <w:sz w:val="22"/>
          <w:szCs w:val="22"/>
          <w:lang w:val="en-GB"/>
        </w:rPr>
        <w:t xml:space="preserve"> create HBEs. </w:t>
      </w:r>
      <w:r w:rsidR="007D4A4F">
        <w:rPr>
          <w:rFonts w:asciiTheme="majorHAnsi" w:hAnsiTheme="majorHAnsi" w:cstheme="majorBidi"/>
          <w:color w:val="auto"/>
          <w:sz w:val="22"/>
          <w:szCs w:val="22"/>
          <w:lang w:val="en-GB"/>
        </w:rPr>
        <w:t xml:space="preserve">In the </w:t>
      </w:r>
      <w:r w:rsidR="00894099">
        <w:rPr>
          <w:rFonts w:asciiTheme="majorHAnsi" w:hAnsiTheme="majorHAnsi" w:cstheme="majorBidi"/>
          <w:color w:val="auto"/>
          <w:sz w:val="22"/>
          <w:szCs w:val="22"/>
          <w:lang w:val="en-GB"/>
        </w:rPr>
        <w:t>Netherlands,</w:t>
      </w:r>
      <w:r w:rsidR="009C1FC8">
        <w:rPr>
          <w:rFonts w:asciiTheme="majorHAnsi" w:hAnsiTheme="majorHAnsi" w:cstheme="majorBidi"/>
          <w:color w:val="auto"/>
          <w:sz w:val="22"/>
          <w:szCs w:val="22"/>
          <w:lang w:val="en-GB"/>
        </w:rPr>
        <w:t xml:space="preserve"> </w:t>
      </w:r>
      <w:r w:rsidR="007D4A4F">
        <w:rPr>
          <w:rFonts w:asciiTheme="majorHAnsi" w:hAnsiTheme="majorHAnsi" w:cstheme="majorBidi"/>
          <w:color w:val="auto"/>
          <w:sz w:val="22"/>
          <w:szCs w:val="22"/>
          <w:lang w:val="en-GB"/>
        </w:rPr>
        <w:t xml:space="preserve">double counting is applied to </w:t>
      </w:r>
      <w:r w:rsidR="0031380E">
        <w:rPr>
          <w:rFonts w:asciiTheme="majorHAnsi" w:hAnsiTheme="majorHAnsi" w:cstheme="majorBidi"/>
          <w:color w:val="auto"/>
          <w:sz w:val="22"/>
          <w:szCs w:val="22"/>
          <w:lang w:val="en-GB"/>
        </w:rPr>
        <w:t>a</w:t>
      </w:r>
      <w:r w:rsidR="007D4A4F">
        <w:rPr>
          <w:rFonts w:asciiTheme="majorHAnsi" w:hAnsiTheme="majorHAnsi" w:cstheme="majorBidi"/>
          <w:color w:val="auto"/>
          <w:sz w:val="22"/>
          <w:szCs w:val="22"/>
          <w:lang w:val="en-GB"/>
        </w:rPr>
        <w:t>dvance biofuels</w:t>
      </w:r>
      <w:r w:rsidR="0032316F">
        <w:rPr>
          <w:rFonts w:asciiTheme="majorHAnsi" w:hAnsiTheme="majorHAnsi" w:cstheme="majorBidi"/>
          <w:color w:val="auto"/>
          <w:sz w:val="22"/>
          <w:szCs w:val="22"/>
          <w:lang w:val="en-GB"/>
        </w:rPr>
        <w:t xml:space="preserve"> to</w:t>
      </w:r>
      <w:r w:rsidR="007D4A4F">
        <w:rPr>
          <w:rFonts w:asciiTheme="majorHAnsi" w:hAnsiTheme="majorHAnsi" w:cstheme="majorBidi"/>
          <w:color w:val="auto"/>
          <w:sz w:val="22"/>
          <w:szCs w:val="22"/>
          <w:lang w:val="en-GB"/>
        </w:rPr>
        <w:t xml:space="preserve"> further </w:t>
      </w:r>
      <w:r w:rsidR="00894099">
        <w:rPr>
          <w:rFonts w:asciiTheme="majorHAnsi" w:hAnsiTheme="majorHAnsi" w:cstheme="majorBidi"/>
          <w:color w:val="auto"/>
          <w:sz w:val="22"/>
          <w:szCs w:val="22"/>
          <w:lang w:val="en-GB"/>
        </w:rPr>
        <w:t>incentivi</w:t>
      </w:r>
      <w:r w:rsidR="0032316F">
        <w:rPr>
          <w:rFonts w:asciiTheme="majorHAnsi" w:hAnsiTheme="majorHAnsi" w:cstheme="majorBidi"/>
          <w:color w:val="auto"/>
          <w:sz w:val="22"/>
          <w:szCs w:val="22"/>
          <w:lang w:val="en-GB"/>
        </w:rPr>
        <w:t xml:space="preserve">ze </w:t>
      </w:r>
      <w:r w:rsidR="00894099">
        <w:rPr>
          <w:rFonts w:asciiTheme="majorHAnsi" w:hAnsiTheme="majorHAnsi" w:cstheme="majorBidi"/>
          <w:color w:val="auto"/>
          <w:sz w:val="22"/>
          <w:szCs w:val="22"/>
          <w:lang w:val="en-GB"/>
        </w:rPr>
        <w:t>g</w:t>
      </w:r>
      <w:r w:rsidR="007D4A4F">
        <w:rPr>
          <w:rFonts w:asciiTheme="majorHAnsi" w:hAnsiTheme="majorHAnsi" w:cstheme="majorBidi"/>
          <w:color w:val="auto"/>
          <w:sz w:val="22"/>
          <w:szCs w:val="22"/>
          <w:lang w:val="en-GB"/>
        </w:rPr>
        <w:t xml:space="preserve"> the use of these types of </w:t>
      </w:r>
      <w:r w:rsidR="0032316F">
        <w:rPr>
          <w:rFonts w:asciiTheme="majorHAnsi" w:hAnsiTheme="majorHAnsi" w:cstheme="majorBidi"/>
          <w:color w:val="auto"/>
          <w:sz w:val="22"/>
          <w:szCs w:val="22"/>
          <w:lang w:val="en-GB"/>
        </w:rPr>
        <w:t>b</w:t>
      </w:r>
      <w:r w:rsidR="007D4A4F">
        <w:rPr>
          <w:rFonts w:asciiTheme="majorHAnsi" w:hAnsiTheme="majorHAnsi" w:cstheme="majorBidi"/>
          <w:color w:val="auto"/>
          <w:sz w:val="22"/>
          <w:szCs w:val="22"/>
          <w:lang w:val="en-GB"/>
        </w:rPr>
        <w:t xml:space="preserve">iofuels. </w:t>
      </w:r>
    </w:p>
    <w:p w14:paraId="4D7C3C23" w14:textId="42D9CA98" w:rsidR="000505E6" w:rsidRPr="002445F6" w:rsidRDefault="007279A1" w:rsidP="005D6854">
      <w:pPr>
        <w:spacing w:after="120" w:line="360" w:lineRule="auto"/>
        <w:ind w:firstLine="296"/>
        <w:rPr>
          <w:rFonts w:asciiTheme="majorHAnsi" w:hAnsiTheme="majorHAnsi" w:cstheme="majorBidi"/>
          <w:color w:val="auto"/>
          <w:sz w:val="22"/>
          <w:szCs w:val="22"/>
          <w:lang w:val="en-GB"/>
        </w:rPr>
      </w:pPr>
      <w:r>
        <w:rPr>
          <w:rFonts w:asciiTheme="majorHAnsi" w:hAnsiTheme="majorHAnsi" w:cstheme="majorBidi"/>
          <w:color w:val="auto"/>
          <w:sz w:val="22"/>
          <w:szCs w:val="22"/>
          <w:lang w:val="en-GB"/>
        </w:rPr>
        <w:t xml:space="preserve">This </w:t>
      </w:r>
      <w:r w:rsidR="004C0AD6">
        <w:rPr>
          <w:rFonts w:asciiTheme="majorHAnsi" w:hAnsiTheme="majorHAnsi" w:cstheme="majorBidi"/>
          <w:color w:val="auto"/>
          <w:sz w:val="22"/>
          <w:szCs w:val="22"/>
          <w:lang w:val="en-GB"/>
        </w:rPr>
        <w:t>trading</w:t>
      </w:r>
      <w:r w:rsidR="000505E6">
        <w:rPr>
          <w:rFonts w:asciiTheme="majorHAnsi" w:hAnsiTheme="majorHAnsi" w:cstheme="majorBidi"/>
          <w:color w:val="auto"/>
          <w:sz w:val="22"/>
          <w:szCs w:val="22"/>
          <w:lang w:val="en-GB"/>
        </w:rPr>
        <w:t xml:space="preserve"> system </w:t>
      </w:r>
      <w:r>
        <w:rPr>
          <w:rFonts w:asciiTheme="majorHAnsi" w:hAnsiTheme="majorHAnsi" w:cstheme="majorBidi"/>
          <w:color w:val="auto"/>
          <w:sz w:val="22"/>
          <w:szCs w:val="22"/>
          <w:lang w:val="en-GB"/>
        </w:rPr>
        <w:t xml:space="preserve">is currently only implemented in the Netherlands. </w:t>
      </w:r>
      <w:r w:rsidR="00007050">
        <w:rPr>
          <w:rFonts w:asciiTheme="majorHAnsi" w:hAnsiTheme="majorHAnsi" w:cstheme="majorBidi"/>
          <w:color w:val="auto"/>
          <w:sz w:val="22"/>
          <w:szCs w:val="22"/>
          <w:lang w:val="en-GB"/>
        </w:rPr>
        <w:t xml:space="preserve">Other EU countries have no such system or mandatory legislation for </w:t>
      </w:r>
      <w:r w:rsidR="000505E6">
        <w:rPr>
          <w:rFonts w:asciiTheme="majorHAnsi" w:hAnsiTheme="majorHAnsi" w:cstheme="majorBidi"/>
          <w:color w:val="auto"/>
          <w:sz w:val="22"/>
          <w:szCs w:val="22"/>
          <w:lang w:val="en-GB"/>
        </w:rPr>
        <w:t>the use of advanced biofuels in the maritime sector</w:t>
      </w:r>
    </w:p>
    <w:p w14:paraId="744E5BA0" w14:textId="11469A7A" w:rsidR="00F616D7" w:rsidRDefault="176C8EFC" w:rsidP="00DC3405">
      <w:pPr>
        <w:pStyle w:val="Heading3"/>
      </w:pPr>
      <w:bookmarkStart w:id="17" w:name="_Toc85627861"/>
      <w:r>
        <w:t>European Green Deal</w:t>
      </w:r>
      <w:r w:rsidR="3B4A16AA">
        <w:t xml:space="preserve"> (EGD) </w:t>
      </w:r>
      <w:r w:rsidR="7D453BAC">
        <w:t>and</w:t>
      </w:r>
      <w:r w:rsidR="3B4A16AA">
        <w:t xml:space="preserve"> </w:t>
      </w:r>
      <w:r w:rsidR="5A1BEF7D">
        <w:t>Fit for 55</w:t>
      </w:r>
      <w:bookmarkEnd w:id="17"/>
    </w:p>
    <w:p w14:paraId="57131D8E" w14:textId="282333A9" w:rsidR="5937A937" w:rsidRDefault="5937A937" w:rsidP="5937A937">
      <w:pPr>
        <w:rPr>
          <w:szCs w:val="21"/>
        </w:rPr>
      </w:pPr>
    </w:p>
    <w:p w14:paraId="4F2E7C12" w14:textId="61DA2DE6" w:rsidR="0011416A" w:rsidRPr="00E4320B" w:rsidRDefault="08410017" w:rsidP="791B8135">
      <w:pPr>
        <w:spacing w:after="120" w:line="360" w:lineRule="auto"/>
        <w:ind w:firstLine="709"/>
        <w:rPr>
          <w:rFonts w:asciiTheme="majorHAnsi" w:hAnsiTheme="majorHAnsi" w:cstheme="majorBidi"/>
          <w:color w:val="auto"/>
          <w:sz w:val="22"/>
          <w:szCs w:val="22"/>
          <w:lang w:val="en-GB"/>
        </w:rPr>
      </w:pPr>
      <w:r w:rsidRPr="5937A937">
        <w:rPr>
          <w:rFonts w:asciiTheme="majorHAnsi" w:hAnsiTheme="majorHAnsi" w:cstheme="majorBidi"/>
          <w:color w:val="auto"/>
          <w:sz w:val="22"/>
          <w:szCs w:val="22"/>
          <w:lang w:val="en-GB"/>
        </w:rPr>
        <w:t>In December 2019, the European Commission announced the European Green Deal (</w:t>
      </w:r>
      <w:r w:rsidR="12C8FAF3" w:rsidRPr="5937A937">
        <w:rPr>
          <w:rFonts w:asciiTheme="majorHAnsi" w:hAnsiTheme="majorHAnsi" w:cstheme="majorBidi"/>
          <w:color w:val="auto"/>
          <w:sz w:val="22"/>
          <w:szCs w:val="22"/>
          <w:lang w:val="en-GB"/>
        </w:rPr>
        <w:t>EGD) which</w:t>
      </w:r>
      <w:r w:rsidRPr="5937A937">
        <w:rPr>
          <w:rFonts w:asciiTheme="majorHAnsi" w:hAnsiTheme="majorHAnsi" w:cstheme="majorBidi"/>
          <w:color w:val="auto"/>
          <w:sz w:val="22"/>
          <w:szCs w:val="22"/>
          <w:lang w:val="en-GB"/>
        </w:rPr>
        <w:t xml:space="preserve"> set the blueprint for a transformational change. All 27 EU Member States </w:t>
      </w:r>
      <w:r w:rsidR="49BCBD65" w:rsidRPr="5937A937">
        <w:rPr>
          <w:rFonts w:asciiTheme="majorHAnsi" w:hAnsiTheme="majorHAnsi" w:cstheme="majorBidi"/>
          <w:color w:val="auto"/>
          <w:sz w:val="22"/>
          <w:szCs w:val="22"/>
          <w:lang w:val="en-GB"/>
        </w:rPr>
        <w:t>signed</w:t>
      </w:r>
      <w:r w:rsidRPr="5937A937">
        <w:rPr>
          <w:rFonts w:asciiTheme="majorHAnsi" w:hAnsiTheme="majorHAnsi" w:cstheme="majorBidi"/>
          <w:color w:val="auto"/>
          <w:sz w:val="22"/>
          <w:szCs w:val="22"/>
          <w:lang w:val="en-GB"/>
        </w:rPr>
        <w:t xml:space="preserve"> to th</w:t>
      </w:r>
      <w:r w:rsidR="07A88EDF" w:rsidRPr="5937A937">
        <w:rPr>
          <w:rFonts w:asciiTheme="majorHAnsi" w:hAnsiTheme="majorHAnsi" w:cstheme="majorBidi"/>
          <w:color w:val="auto"/>
          <w:sz w:val="22"/>
          <w:szCs w:val="22"/>
          <w:lang w:val="en-GB"/>
        </w:rPr>
        <w:t>e</w:t>
      </w:r>
      <w:r w:rsidRPr="5937A937">
        <w:rPr>
          <w:rFonts w:asciiTheme="majorHAnsi" w:hAnsiTheme="majorHAnsi" w:cstheme="majorBidi"/>
          <w:color w:val="auto"/>
          <w:sz w:val="22"/>
          <w:szCs w:val="22"/>
          <w:lang w:val="en-GB"/>
        </w:rPr>
        <w:t xml:space="preserve"> roadmap towards a climate-neutral economy. The goal of the </w:t>
      </w:r>
      <w:r w:rsidR="6ECBA66C" w:rsidRPr="5937A937">
        <w:rPr>
          <w:rFonts w:asciiTheme="majorHAnsi" w:hAnsiTheme="majorHAnsi" w:cstheme="majorBidi"/>
          <w:color w:val="auto"/>
          <w:sz w:val="22"/>
          <w:szCs w:val="22"/>
          <w:lang w:val="en-GB"/>
        </w:rPr>
        <w:t>EGD is</w:t>
      </w:r>
      <w:r w:rsidRPr="5937A937">
        <w:rPr>
          <w:rFonts w:asciiTheme="majorHAnsi" w:hAnsiTheme="majorHAnsi" w:cstheme="majorBidi"/>
          <w:color w:val="auto"/>
          <w:sz w:val="22"/>
          <w:szCs w:val="22"/>
          <w:lang w:val="en-GB"/>
        </w:rPr>
        <w:t xml:space="preserve"> to reduce at least by 55</w:t>
      </w:r>
      <w:r w:rsidR="005D0FC1">
        <w:rPr>
          <w:rFonts w:asciiTheme="majorHAnsi" w:hAnsiTheme="majorHAnsi" w:cstheme="majorBidi"/>
          <w:color w:val="auto"/>
          <w:sz w:val="22"/>
          <w:szCs w:val="22"/>
          <w:lang w:val="en-GB"/>
        </w:rPr>
        <w:t xml:space="preserve"> </w:t>
      </w:r>
      <w:r w:rsidRPr="5937A937">
        <w:rPr>
          <w:rFonts w:asciiTheme="majorHAnsi" w:hAnsiTheme="majorHAnsi" w:cstheme="majorBidi"/>
          <w:color w:val="auto"/>
          <w:sz w:val="22"/>
          <w:szCs w:val="22"/>
          <w:lang w:val="en-GB"/>
        </w:rPr>
        <w:t>% the emissions in 2030, with respect to 1990 levels. Then</w:t>
      </w:r>
      <w:r w:rsidR="5926DE61" w:rsidRPr="5937A937">
        <w:rPr>
          <w:rFonts w:asciiTheme="majorHAnsi" w:hAnsiTheme="majorHAnsi" w:cstheme="majorBidi"/>
          <w:color w:val="auto"/>
          <w:sz w:val="22"/>
          <w:szCs w:val="22"/>
          <w:lang w:val="en-GB"/>
        </w:rPr>
        <w:t>,</w:t>
      </w:r>
      <w:r w:rsidRPr="5937A937">
        <w:rPr>
          <w:rFonts w:asciiTheme="majorHAnsi" w:hAnsiTheme="majorHAnsi" w:cstheme="majorBidi"/>
          <w:color w:val="auto"/>
          <w:sz w:val="22"/>
          <w:szCs w:val="22"/>
          <w:lang w:val="en-GB"/>
        </w:rPr>
        <w:t xml:space="preserve"> gradually </w:t>
      </w:r>
      <w:r w:rsidR="00FE37AF" w:rsidRPr="5937A937">
        <w:rPr>
          <w:rFonts w:asciiTheme="majorHAnsi" w:hAnsiTheme="majorHAnsi" w:cstheme="majorBidi"/>
          <w:color w:val="auto"/>
          <w:sz w:val="22"/>
          <w:szCs w:val="22"/>
          <w:lang w:val="en-GB"/>
        </w:rPr>
        <w:t xml:space="preserve">move </w:t>
      </w:r>
      <w:r w:rsidRPr="5937A937">
        <w:rPr>
          <w:rFonts w:asciiTheme="majorHAnsi" w:hAnsiTheme="majorHAnsi" w:cstheme="majorBidi"/>
          <w:color w:val="auto"/>
          <w:sz w:val="22"/>
          <w:szCs w:val="22"/>
          <w:lang w:val="en-GB"/>
        </w:rPr>
        <w:t xml:space="preserve">to carbon neutrality by 2050. </w:t>
      </w:r>
      <w:r w:rsidRPr="5937A937">
        <w:rPr>
          <w:color w:val="auto"/>
          <w:sz w:val="22"/>
          <w:szCs w:val="22"/>
          <w:lang w:val="en-GB"/>
        </w:rPr>
        <w:t>The EGD is an instrument of change, that introduce</w:t>
      </w:r>
      <w:r w:rsidR="645CCB4C" w:rsidRPr="5937A937">
        <w:rPr>
          <w:color w:val="auto"/>
          <w:sz w:val="22"/>
          <w:szCs w:val="22"/>
          <w:lang w:val="en-GB"/>
        </w:rPr>
        <w:t>s</w:t>
      </w:r>
      <w:r w:rsidRPr="5937A937">
        <w:rPr>
          <w:color w:val="auto"/>
          <w:sz w:val="22"/>
          <w:szCs w:val="22"/>
          <w:lang w:val="en-GB"/>
        </w:rPr>
        <w:t xml:space="preserve"> a new policy principle “Green oath: do no harm”. Other EU initiatives must be aligned to this </w:t>
      </w:r>
      <w:r w:rsidRPr="5937A937">
        <w:rPr>
          <w:color w:val="auto"/>
          <w:sz w:val="22"/>
          <w:szCs w:val="22"/>
          <w:lang w:val="en-GB"/>
        </w:rPr>
        <w:lastRenderedPageBreak/>
        <w:t xml:space="preserve">principle </w:t>
      </w:r>
      <w:r w:rsidR="0011416A" w:rsidRPr="5937A937">
        <w:rPr>
          <w:color w:val="auto"/>
          <w:sz w:val="22"/>
          <w:szCs w:val="22"/>
          <w:lang w:val="en-GB"/>
        </w:rPr>
        <w:fldChar w:fldCharType="begin" w:fldLock="1"/>
      </w:r>
      <w:r w:rsidR="0011416A" w:rsidRPr="5937A937">
        <w:rPr>
          <w:color w:val="auto"/>
          <w:sz w:val="22"/>
          <w:szCs w:val="22"/>
          <w:lang w:val="en-GB"/>
        </w:rPr>
        <w:instrText>ADDIN CSL_CITATION {"citationItems":[{"id":"ITEM-1","itemData":{"DOI":"10.1007/s12027-020-00637-3","ISSN":"18639038","abstract":"The European Green Deal announced by the European Commission in December 2019 is a roadmap meant to foster the transition of the European Union towards the climate-neutral economy by reducing carbon emissions towards 55% by 2030 and achieving carbon neutrality by 2050. By putting the EGD in a boarder perspective of evolving, constitutional rationale of environmental protection in the EU legal order, this contribution examines horizontal, legal dimension and financial implications of the green transition. The challenge ahead of the Union is now how to transform the ambitious climate agenda into efficient legal and economic instruments ‘in a fair way, leaving no one behind’. This paper argues that EGD is a great opportunity, but in order to turn it into a success, it must be strongly anchored in the concepts pertaining to the constitutional framework of the EU legal order, in particular, the concepts of solidarity, sustainable development and high level of environmental protection.","author":[{"dropping-particle":"","family":"Sikora","given":"Alicja","non-dropping-particle":"","parse-names":false,"suffix":""}],"container-title":"ERA Forum","id":"ITEM-1","issued":{"date-parts":[["2020"]]},"page":"681-697","publisher":"The Author(s)","title":"European Green Deal – legal and financial challenges of the climate change","type":"article-journal"},"uris":["http://www.mendeley.com/documents/?uuid=28a71f4b-3341-4579-a677-8efa15a33d7a"]}],"mendeley":{"formattedCitation":"(Sikora, 2020)","plainTextFormattedCitation":"(Sikora, 2020)","previouslyFormattedCitation":"(Sikora, 2020)"},"properties":{"noteIndex":0},"schema":"https://github.com/citation-style-language/schema/raw/master/csl-citation.json"}</w:instrText>
      </w:r>
      <w:r w:rsidR="0011416A" w:rsidRPr="5937A937">
        <w:rPr>
          <w:color w:val="auto"/>
          <w:sz w:val="22"/>
          <w:szCs w:val="22"/>
          <w:lang w:val="en-GB"/>
        </w:rPr>
        <w:fldChar w:fldCharType="separate"/>
      </w:r>
      <w:r w:rsidRPr="5937A937">
        <w:rPr>
          <w:noProof/>
          <w:color w:val="auto"/>
          <w:sz w:val="22"/>
          <w:szCs w:val="22"/>
          <w:lang w:val="en-GB"/>
        </w:rPr>
        <w:t>(Sikora, 2020)</w:t>
      </w:r>
      <w:r w:rsidR="0011416A" w:rsidRPr="5937A937">
        <w:rPr>
          <w:color w:val="auto"/>
          <w:sz w:val="22"/>
          <w:szCs w:val="22"/>
          <w:lang w:val="en-GB"/>
        </w:rPr>
        <w:fldChar w:fldCharType="end"/>
      </w:r>
      <w:r w:rsidRPr="5937A937">
        <w:rPr>
          <w:color w:val="auto"/>
          <w:sz w:val="22"/>
          <w:szCs w:val="22"/>
          <w:lang w:val="en-GB"/>
        </w:rPr>
        <w:t>. The EGD was implemented through the announcement of the Fit for 55 Package in July 2021</w:t>
      </w:r>
      <w:r w:rsidR="00F82B1E">
        <w:rPr>
          <w:color w:val="auto"/>
          <w:sz w:val="22"/>
          <w:szCs w:val="22"/>
          <w:lang w:val="en-GB"/>
        </w:rPr>
        <w:t xml:space="preserve"> </w:t>
      </w:r>
      <w:r w:rsidR="00F82B1E">
        <w:rPr>
          <w:color w:val="auto"/>
          <w:sz w:val="22"/>
          <w:szCs w:val="22"/>
          <w:lang w:val="en-GB"/>
        </w:rPr>
        <w:fldChar w:fldCharType="begin" w:fldLock="1"/>
      </w:r>
      <w:r w:rsidR="006468A3">
        <w:rPr>
          <w:color w:val="auto"/>
          <w:sz w:val="22"/>
          <w:szCs w:val="22"/>
          <w:lang w:val="en-GB"/>
        </w:rPr>
        <w:instrText>ADDIN CSL_CITATION {"citationItems":[{"id":"ITEM-1","itemData":{"URL":"https://ec.europa.eu/commission/presscorner/detail/en/ip_21_3541","accessed":{"date-parts":[["2021","9","7"]]},"author":[{"dropping-particle":"","family":"European Commission","given":"","non-dropping-particle":"","parse-names":false,"suffix":""}],"id":"ITEM-1","issued":{"date-parts":[["2021"]]},"title":"European Green Deal: Commission proposes transformation of EU economy and society to meet climate ambitions","type":"webpage"},"uris":["http://www.mendeley.com/documents/?uuid=9e999a55-413c-4df5-966a-70beab3801f2"]}],"mendeley":{"formattedCitation":"(European Commission, 2021b)","plainTextFormattedCitation":"(European Commission, 2021b)","previouslyFormattedCitation":"(European Commission, 2021b)"},"properties":{"noteIndex":0},"schema":"https://github.com/citation-style-language/schema/raw/master/csl-citation.json"}</w:instrText>
      </w:r>
      <w:r w:rsidR="00F82B1E">
        <w:rPr>
          <w:color w:val="auto"/>
          <w:sz w:val="22"/>
          <w:szCs w:val="22"/>
          <w:lang w:val="en-GB"/>
        </w:rPr>
        <w:fldChar w:fldCharType="separate"/>
      </w:r>
      <w:r w:rsidR="00DE7A60" w:rsidRPr="00DE7A60">
        <w:rPr>
          <w:noProof/>
          <w:color w:val="auto"/>
          <w:sz w:val="22"/>
          <w:szCs w:val="22"/>
          <w:lang w:val="en-GB"/>
        </w:rPr>
        <w:t>(European Commission, 2021b)</w:t>
      </w:r>
      <w:r w:rsidR="00F82B1E">
        <w:rPr>
          <w:color w:val="auto"/>
          <w:sz w:val="22"/>
          <w:szCs w:val="22"/>
          <w:lang w:val="en-GB"/>
        </w:rPr>
        <w:fldChar w:fldCharType="end"/>
      </w:r>
      <w:r w:rsidRPr="5937A937">
        <w:rPr>
          <w:color w:val="auto"/>
          <w:sz w:val="22"/>
          <w:szCs w:val="22"/>
          <w:lang w:val="en-GB"/>
        </w:rPr>
        <w:t xml:space="preserve">. </w:t>
      </w:r>
    </w:p>
    <w:p w14:paraId="3E4721EA" w14:textId="3CF01666" w:rsidR="0011416A" w:rsidRPr="00FE37AF" w:rsidRDefault="08410017" w:rsidP="5937A937">
      <w:pPr>
        <w:spacing w:after="120" w:line="360" w:lineRule="auto"/>
        <w:ind w:firstLine="709"/>
        <w:rPr>
          <w:rFonts w:asciiTheme="majorHAnsi" w:hAnsiTheme="majorHAnsi" w:cstheme="majorBidi"/>
          <w:color w:val="auto"/>
          <w:sz w:val="22"/>
          <w:szCs w:val="22"/>
          <w:lang w:val="en-GB"/>
        </w:rPr>
      </w:pPr>
      <w:r w:rsidRPr="00FE37AF">
        <w:rPr>
          <w:rFonts w:asciiTheme="majorHAnsi" w:hAnsiTheme="majorHAnsi" w:cstheme="majorBidi"/>
          <w:color w:val="auto"/>
          <w:sz w:val="22"/>
          <w:szCs w:val="22"/>
          <w:lang w:val="en-GB"/>
        </w:rPr>
        <w:t xml:space="preserve">Fit for 55 is a comprehensive package of a dozen legislative proposals aiming </w:t>
      </w:r>
      <w:r w:rsidR="7AED624F" w:rsidRPr="00FE37AF">
        <w:rPr>
          <w:rFonts w:asciiTheme="majorHAnsi" w:hAnsiTheme="majorHAnsi" w:cstheme="majorBidi"/>
          <w:color w:val="auto"/>
          <w:sz w:val="22"/>
          <w:szCs w:val="22"/>
          <w:lang w:val="en-GB"/>
        </w:rPr>
        <w:t>for</w:t>
      </w:r>
      <w:r w:rsidR="172E5CF3" w:rsidRPr="00FE37AF">
        <w:rPr>
          <w:rFonts w:asciiTheme="majorHAnsi" w:hAnsiTheme="majorHAnsi" w:cstheme="majorBidi"/>
          <w:color w:val="auto"/>
          <w:sz w:val="22"/>
          <w:szCs w:val="22"/>
          <w:lang w:val="en-GB"/>
        </w:rPr>
        <w:t xml:space="preserve"> 55</w:t>
      </w:r>
      <w:r w:rsidR="005D0FC1" w:rsidRPr="00FE37AF">
        <w:rPr>
          <w:rFonts w:asciiTheme="majorHAnsi" w:hAnsiTheme="majorHAnsi" w:cstheme="majorBidi"/>
          <w:color w:val="auto"/>
          <w:sz w:val="22"/>
          <w:szCs w:val="22"/>
          <w:lang w:val="en-GB"/>
        </w:rPr>
        <w:t xml:space="preserve"> </w:t>
      </w:r>
      <w:r w:rsidR="172E5CF3" w:rsidRPr="00FE37AF">
        <w:rPr>
          <w:rFonts w:asciiTheme="majorHAnsi" w:hAnsiTheme="majorHAnsi" w:cstheme="majorBidi"/>
          <w:color w:val="auto"/>
          <w:sz w:val="22"/>
          <w:szCs w:val="22"/>
          <w:lang w:val="en-GB"/>
        </w:rPr>
        <w:t>%</w:t>
      </w:r>
      <w:r w:rsidR="3BE9C60B" w:rsidRPr="00FE37AF">
        <w:rPr>
          <w:rFonts w:asciiTheme="majorHAnsi" w:hAnsiTheme="majorHAnsi" w:cstheme="majorBidi"/>
          <w:color w:val="auto"/>
          <w:sz w:val="22"/>
          <w:szCs w:val="22"/>
          <w:lang w:val="en-GB"/>
        </w:rPr>
        <w:t xml:space="preserve"> </w:t>
      </w:r>
      <w:r w:rsidRPr="00FE37AF">
        <w:rPr>
          <w:rFonts w:asciiTheme="majorHAnsi" w:hAnsiTheme="majorHAnsi" w:cstheme="majorBidi"/>
          <w:color w:val="auto"/>
          <w:sz w:val="22"/>
          <w:szCs w:val="22"/>
          <w:lang w:val="en-GB"/>
        </w:rPr>
        <w:t>reduction</w:t>
      </w:r>
      <w:r w:rsidR="320CFBAF" w:rsidRPr="00FE37AF">
        <w:rPr>
          <w:rFonts w:asciiTheme="majorHAnsi" w:hAnsiTheme="majorHAnsi" w:cstheme="majorBidi"/>
          <w:color w:val="auto"/>
          <w:sz w:val="22"/>
          <w:szCs w:val="22"/>
          <w:lang w:val="en-GB"/>
        </w:rPr>
        <w:t xml:space="preserve"> in emissions</w:t>
      </w:r>
      <w:r w:rsidRPr="00FE37AF">
        <w:rPr>
          <w:rFonts w:asciiTheme="majorHAnsi" w:hAnsiTheme="majorHAnsi" w:cstheme="majorBidi"/>
          <w:color w:val="auto"/>
          <w:sz w:val="22"/>
          <w:szCs w:val="22"/>
          <w:lang w:val="en-GB"/>
        </w:rPr>
        <w:t xml:space="preserve"> </w:t>
      </w:r>
      <w:r w:rsidR="413EFBAB" w:rsidRPr="00FE37AF">
        <w:rPr>
          <w:rFonts w:asciiTheme="majorHAnsi" w:hAnsiTheme="majorHAnsi" w:cstheme="majorBidi"/>
          <w:color w:val="auto"/>
          <w:sz w:val="22"/>
          <w:szCs w:val="22"/>
          <w:lang w:val="en-GB"/>
        </w:rPr>
        <w:t>in diverse</w:t>
      </w:r>
      <w:r w:rsidRPr="00FE37AF">
        <w:rPr>
          <w:rFonts w:asciiTheme="majorHAnsi" w:hAnsiTheme="majorHAnsi" w:cstheme="majorBidi"/>
          <w:color w:val="auto"/>
          <w:sz w:val="22"/>
          <w:szCs w:val="22"/>
          <w:lang w:val="en-GB"/>
        </w:rPr>
        <w:t xml:space="preserve"> sectors by 2030</w:t>
      </w:r>
      <w:r w:rsidR="1E3603CD" w:rsidRPr="00FE37AF">
        <w:rPr>
          <w:rFonts w:asciiTheme="majorHAnsi" w:hAnsiTheme="majorHAnsi" w:cstheme="majorBidi"/>
          <w:color w:val="auto"/>
          <w:sz w:val="22"/>
          <w:szCs w:val="22"/>
          <w:lang w:val="en-GB"/>
        </w:rPr>
        <w:t>,</w:t>
      </w:r>
      <w:r w:rsidRPr="00FE37AF">
        <w:rPr>
          <w:rFonts w:asciiTheme="majorHAnsi" w:hAnsiTheme="majorHAnsi" w:cstheme="majorBidi"/>
          <w:color w:val="auto"/>
          <w:sz w:val="22"/>
          <w:szCs w:val="22"/>
          <w:lang w:val="en-GB"/>
        </w:rPr>
        <w:t xml:space="preserve"> compared to 1990 levels. </w:t>
      </w:r>
      <w:r w:rsidR="00FE37AF">
        <w:rPr>
          <w:rFonts w:asciiTheme="majorHAnsi" w:hAnsiTheme="majorHAnsi" w:cstheme="majorBidi"/>
          <w:color w:val="auto"/>
          <w:sz w:val="22"/>
          <w:szCs w:val="22"/>
          <w:lang w:val="en-GB"/>
        </w:rPr>
        <w:t>T</w:t>
      </w:r>
      <w:r w:rsidR="00A369AF" w:rsidRPr="00FE37AF">
        <w:rPr>
          <w:rFonts w:asciiTheme="majorHAnsi" w:hAnsiTheme="majorHAnsi" w:cstheme="majorBidi"/>
          <w:color w:val="auto"/>
          <w:sz w:val="22"/>
          <w:szCs w:val="22"/>
          <w:lang w:val="en-GB"/>
        </w:rPr>
        <w:t>he</w:t>
      </w:r>
      <w:r w:rsidRPr="00FE37AF">
        <w:rPr>
          <w:rFonts w:asciiTheme="majorHAnsi" w:hAnsiTheme="majorHAnsi" w:cstheme="majorBidi"/>
          <w:color w:val="auto"/>
          <w:sz w:val="22"/>
          <w:szCs w:val="22"/>
          <w:lang w:val="en-GB"/>
        </w:rPr>
        <w:t xml:space="preserve"> shipping industry was included</w:t>
      </w:r>
      <w:r w:rsidR="0044535B">
        <w:rPr>
          <w:rFonts w:asciiTheme="majorHAnsi" w:hAnsiTheme="majorHAnsi" w:cstheme="majorBidi"/>
          <w:color w:val="auto"/>
          <w:sz w:val="22"/>
          <w:szCs w:val="22"/>
          <w:lang w:val="en-GB"/>
        </w:rPr>
        <w:t xml:space="preserve"> in the scope </w:t>
      </w:r>
      <w:r w:rsidR="00000A29">
        <w:rPr>
          <w:rFonts w:asciiTheme="majorHAnsi" w:hAnsiTheme="majorHAnsi" w:cstheme="majorBidi"/>
          <w:color w:val="auto"/>
          <w:sz w:val="22"/>
          <w:szCs w:val="22"/>
          <w:lang w:val="en-GB"/>
        </w:rPr>
        <w:t>of this comprehensive package proposals</w:t>
      </w:r>
      <w:r w:rsidR="00E804E9">
        <w:rPr>
          <w:rFonts w:asciiTheme="majorHAnsi" w:hAnsiTheme="majorHAnsi" w:cstheme="majorBidi"/>
          <w:color w:val="auto"/>
          <w:sz w:val="22"/>
          <w:szCs w:val="22"/>
          <w:lang w:val="en-GB"/>
        </w:rPr>
        <w:t xml:space="preserve">, mainly via the following </w:t>
      </w:r>
      <w:r w:rsidR="001E0EAB" w:rsidRPr="00FE37AF">
        <w:rPr>
          <w:rFonts w:asciiTheme="majorHAnsi" w:hAnsiTheme="majorHAnsi" w:cstheme="majorBidi"/>
          <w:color w:val="auto"/>
          <w:sz w:val="22"/>
          <w:szCs w:val="22"/>
          <w:lang w:val="en-GB"/>
        </w:rPr>
        <w:t>policies:</w:t>
      </w:r>
    </w:p>
    <w:p w14:paraId="06582617" w14:textId="77777777" w:rsidR="0011416A" w:rsidRPr="00DD2540"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DD2540">
        <w:rPr>
          <w:rFonts w:asciiTheme="majorHAnsi" w:hAnsiTheme="majorHAnsi" w:cstheme="majorHAnsi"/>
          <w:b/>
          <w:bCs/>
          <w:color w:val="auto"/>
          <w:sz w:val="22"/>
          <w:szCs w:val="22"/>
        </w:rPr>
        <w:t>The revision of the Renewable Energy Directive II</w:t>
      </w:r>
    </w:p>
    <w:p w14:paraId="7EB9F1A8" w14:textId="13D5D59E" w:rsidR="0011416A" w:rsidRPr="008E61C2" w:rsidRDefault="00E11705" w:rsidP="5937A937">
      <w:pPr>
        <w:pStyle w:val="ListParagraph"/>
        <w:spacing w:after="120" w:line="360" w:lineRule="auto"/>
        <w:ind w:left="0" w:firstLine="540"/>
        <w:rPr>
          <w:rFonts w:asciiTheme="majorHAnsi" w:hAnsiTheme="majorHAnsi" w:cstheme="majorBidi"/>
          <w:color w:val="auto"/>
          <w:sz w:val="22"/>
          <w:szCs w:val="22"/>
        </w:rPr>
      </w:pPr>
      <w:r>
        <w:rPr>
          <w:rFonts w:asciiTheme="majorHAnsi" w:hAnsiTheme="majorHAnsi" w:cstheme="majorBidi"/>
          <w:color w:val="auto"/>
          <w:sz w:val="22"/>
          <w:szCs w:val="22"/>
        </w:rPr>
        <w:t>It aims a</w:t>
      </w:r>
      <w:r w:rsidR="00811AD7">
        <w:rPr>
          <w:rFonts w:asciiTheme="majorHAnsi" w:hAnsiTheme="majorHAnsi" w:cstheme="majorBidi"/>
          <w:color w:val="auto"/>
          <w:sz w:val="22"/>
          <w:szCs w:val="22"/>
        </w:rPr>
        <w:t>t</w:t>
      </w:r>
      <w:r w:rsidR="5E1087A3" w:rsidRPr="5937A937">
        <w:rPr>
          <w:rFonts w:asciiTheme="majorHAnsi" w:hAnsiTheme="majorHAnsi" w:cstheme="majorBidi"/>
          <w:color w:val="auto"/>
          <w:sz w:val="22"/>
          <w:szCs w:val="22"/>
        </w:rPr>
        <w:t xml:space="preserve"> </w:t>
      </w:r>
      <w:r w:rsidR="08410017" w:rsidRPr="5937A937">
        <w:rPr>
          <w:rFonts w:asciiTheme="majorHAnsi" w:hAnsiTheme="majorHAnsi" w:cstheme="majorBidi"/>
          <w:color w:val="auto"/>
          <w:sz w:val="22"/>
          <w:szCs w:val="22"/>
        </w:rPr>
        <w:t>continuous</w:t>
      </w:r>
      <w:r w:rsidR="00811AD7">
        <w:rPr>
          <w:rFonts w:asciiTheme="majorHAnsi" w:hAnsiTheme="majorHAnsi" w:cstheme="majorBidi"/>
          <w:color w:val="auto"/>
          <w:sz w:val="22"/>
          <w:szCs w:val="22"/>
        </w:rPr>
        <w:t>ly</w:t>
      </w:r>
      <w:r w:rsidR="08410017" w:rsidRPr="5937A937">
        <w:rPr>
          <w:rFonts w:asciiTheme="majorHAnsi" w:hAnsiTheme="majorHAnsi" w:cstheme="majorBidi"/>
          <w:color w:val="auto"/>
          <w:sz w:val="22"/>
          <w:szCs w:val="22"/>
        </w:rPr>
        <w:t xml:space="preserve"> scaling up</w:t>
      </w:r>
      <w:r w:rsidR="76BCCF23" w:rsidRPr="5937A937">
        <w:rPr>
          <w:rFonts w:asciiTheme="majorHAnsi" w:hAnsiTheme="majorHAnsi" w:cstheme="majorBidi"/>
          <w:color w:val="auto"/>
          <w:sz w:val="22"/>
          <w:szCs w:val="22"/>
        </w:rPr>
        <w:t xml:space="preserve"> </w:t>
      </w:r>
      <w:r w:rsidR="08410017" w:rsidRPr="5937A937">
        <w:rPr>
          <w:rFonts w:asciiTheme="majorHAnsi" w:hAnsiTheme="majorHAnsi" w:cstheme="majorBidi"/>
          <w:color w:val="auto"/>
          <w:sz w:val="22"/>
          <w:szCs w:val="22"/>
        </w:rPr>
        <w:t>the usage of renewable and low carbon fuels in the EU. </w:t>
      </w:r>
      <w:r w:rsidR="00C1103C">
        <w:rPr>
          <w:rFonts w:asciiTheme="majorHAnsi" w:hAnsiTheme="majorHAnsi" w:cstheme="majorBidi"/>
          <w:color w:val="auto"/>
          <w:sz w:val="22"/>
          <w:szCs w:val="22"/>
        </w:rPr>
        <w:t xml:space="preserve">The above mentioned 14% share of renewable energy for transport and the sub-target of 3.5% </w:t>
      </w:r>
      <w:r w:rsidR="08410017" w:rsidRPr="5937A937">
        <w:rPr>
          <w:rFonts w:asciiTheme="majorHAnsi" w:hAnsiTheme="majorHAnsi" w:cstheme="majorBidi"/>
          <w:color w:val="auto"/>
          <w:sz w:val="22"/>
          <w:szCs w:val="22"/>
        </w:rPr>
        <w:t>for advanced biofuels</w:t>
      </w:r>
      <w:r w:rsidR="00C1103C">
        <w:rPr>
          <w:rFonts w:asciiTheme="majorHAnsi" w:hAnsiTheme="majorHAnsi" w:cstheme="majorBidi"/>
          <w:color w:val="auto"/>
          <w:sz w:val="22"/>
          <w:szCs w:val="22"/>
        </w:rPr>
        <w:t xml:space="preserve"> (which </w:t>
      </w:r>
      <w:r w:rsidR="0026511E">
        <w:rPr>
          <w:rFonts w:asciiTheme="majorHAnsi" w:hAnsiTheme="majorHAnsi" w:cstheme="majorBidi"/>
          <w:color w:val="auto"/>
          <w:sz w:val="22"/>
          <w:szCs w:val="22"/>
        </w:rPr>
        <w:t>are</w:t>
      </w:r>
      <w:r w:rsidR="00C1103C">
        <w:rPr>
          <w:rFonts w:asciiTheme="majorHAnsi" w:hAnsiTheme="majorHAnsi" w:cstheme="majorBidi"/>
          <w:color w:val="auto"/>
          <w:sz w:val="22"/>
          <w:szCs w:val="22"/>
        </w:rPr>
        <w:t xml:space="preserve"> subject to double counting) are replaced by a 13% GHG intensity reduction target for transport with a sub-target of 2.2% for advanced biofuels in 2030. The principle of double-counting</w:t>
      </w:r>
      <w:r w:rsidR="08410017" w:rsidRPr="5937A937">
        <w:rPr>
          <w:rFonts w:asciiTheme="majorHAnsi" w:hAnsiTheme="majorHAnsi" w:cstheme="majorBidi"/>
          <w:color w:val="auto"/>
          <w:sz w:val="22"/>
          <w:szCs w:val="22"/>
        </w:rPr>
        <w:t xml:space="preserve"> will no longer apply. </w:t>
      </w:r>
      <w:r w:rsidR="00DE7A60">
        <w:rPr>
          <w:rFonts w:asciiTheme="majorHAnsi" w:hAnsiTheme="majorHAnsi" w:cstheme="majorBidi"/>
          <w:color w:val="auto"/>
          <w:sz w:val="22"/>
          <w:szCs w:val="22"/>
        </w:rPr>
        <w:fldChar w:fldCharType="begin" w:fldLock="1"/>
      </w:r>
      <w:r w:rsidR="006468A3">
        <w:rPr>
          <w:rFonts w:asciiTheme="majorHAnsi" w:hAnsiTheme="majorHAnsi" w:cstheme="majorBidi"/>
          <w:color w:val="auto"/>
          <w:sz w:val="22"/>
          <w:szCs w:val="22"/>
        </w:rPr>
        <w:instrText>ADDIN CSL_CITATION {"citationItems":[{"id":"ITEM-1","itemData":{"author":[{"dropping-particle":"","family":"European Commission","given":"","non-dropping-particle":"","parse-names":false,"suffix":""}],"id":"ITEM-1","issued":{"date-parts":[["2021"]]},"title":"Amending Directive (EU) 2018/2001 of the European Parliament regards the promotion of energy from renewable sources, and repealing Council Directive (EU) 2015/65","type":"article","volume":"0218"},"uris":["http://www.mendeley.com/documents/?uuid=f920e565-0e5d-4f4e-adc1-9c06af495384"]}],"mendeley":{"formattedCitation":"(European Commission, 2021a)","plainTextFormattedCitation":"(European Commission, 2021a)","previouslyFormattedCitation":"(European Commission, 2021a)"},"properties":{"noteIndex":0},"schema":"https://github.com/citation-style-language/schema/raw/master/csl-citation.json"}</w:instrText>
      </w:r>
      <w:r w:rsidR="00DE7A60">
        <w:rPr>
          <w:rFonts w:asciiTheme="majorHAnsi" w:hAnsiTheme="majorHAnsi" w:cstheme="majorBidi"/>
          <w:color w:val="auto"/>
          <w:sz w:val="22"/>
          <w:szCs w:val="22"/>
        </w:rPr>
        <w:fldChar w:fldCharType="separate"/>
      </w:r>
      <w:r w:rsidR="00DE7A60" w:rsidRPr="00DE7A60">
        <w:rPr>
          <w:rFonts w:asciiTheme="majorHAnsi" w:hAnsiTheme="majorHAnsi" w:cstheme="majorBidi"/>
          <w:noProof/>
          <w:color w:val="auto"/>
          <w:sz w:val="22"/>
          <w:szCs w:val="22"/>
        </w:rPr>
        <w:t>(European Commission, 2021a)</w:t>
      </w:r>
      <w:r w:rsidR="00DE7A60">
        <w:rPr>
          <w:rFonts w:asciiTheme="majorHAnsi" w:hAnsiTheme="majorHAnsi" w:cstheme="majorBidi"/>
          <w:color w:val="auto"/>
          <w:sz w:val="22"/>
          <w:szCs w:val="22"/>
        </w:rPr>
        <w:fldChar w:fldCharType="end"/>
      </w:r>
      <w:r w:rsidR="08410017" w:rsidRPr="5937A937">
        <w:rPr>
          <w:rFonts w:asciiTheme="majorHAnsi" w:hAnsiTheme="majorHAnsi" w:cstheme="majorBidi"/>
          <w:color w:val="auto"/>
          <w:sz w:val="22"/>
          <w:szCs w:val="22"/>
        </w:rPr>
        <w:t xml:space="preserve">. </w:t>
      </w:r>
    </w:p>
    <w:p w14:paraId="13308EB1" w14:textId="2F357C04" w:rsidR="007F0302" w:rsidRDefault="08410017" w:rsidP="00553C3C">
      <w:pPr>
        <w:spacing w:after="120" w:line="360" w:lineRule="auto"/>
        <w:ind w:firstLine="360"/>
        <w:rPr>
          <w:sz w:val="22"/>
          <w:szCs w:val="22"/>
          <w:lang w:val="en-GB"/>
        </w:rPr>
      </w:pPr>
      <w:r w:rsidRPr="5937A937">
        <w:rPr>
          <w:rFonts w:asciiTheme="majorHAnsi" w:hAnsiTheme="majorHAnsi" w:cstheme="majorBidi"/>
          <w:color w:val="auto"/>
          <w:sz w:val="22"/>
          <w:szCs w:val="22"/>
        </w:rPr>
        <w:t xml:space="preserve">Sustainability </w:t>
      </w:r>
      <w:r w:rsidR="1B6A26BD" w:rsidRPr="5937A937">
        <w:rPr>
          <w:rFonts w:asciiTheme="majorHAnsi" w:hAnsiTheme="majorHAnsi" w:cstheme="majorBidi"/>
          <w:color w:val="auto"/>
          <w:sz w:val="22"/>
          <w:szCs w:val="22"/>
        </w:rPr>
        <w:t>criteria</w:t>
      </w:r>
      <w:r w:rsidR="00B916C4">
        <w:rPr>
          <w:rFonts w:asciiTheme="majorHAnsi" w:hAnsiTheme="majorHAnsi" w:cstheme="majorBidi"/>
          <w:color w:val="auto"/>
          <w:sz w:val="22"/>
          <w:szCs w:val="22"/>
        </w:rPr>
        <w:t xml:space="preserve"> and stand</w:t>
      </w:r>
      <w:r w:rsidR="003055BB">
        <w:rPr>
          <w:rFonts w:asciiTheme="majorHAnsi" w:hAnsiTheme="majorHAnsi" w:cstheme="majorBidi"/>
          <w:color w:val="auto"/>
          <w:sz w:val="22"/>
          <w:szCs w:val="22"/>
        </w:rPr>
        <w:t xml:space="preserve">ards for reliability, </w:t>
      </w:r>
      <w:r w:rsidR="1B6A26BD" w:rsidRPr="5937A937">
        <w:rPr>
          <w:rFonts w:asciiTheme="majorHAnsi" w:hAnsiTheme="majorHAnsi" w:cstheme="majorBidi"/>
          <w:color w:val="auto"/>
          <w:sz w:val="22"/>
          <w:szCs w:val="22"/>
        </w:rPr>
        <w:t>transparency</w:t>
      </w:r>
      <w:r w:rsidRPr="5937A937">
        <w:rPr>
          <w:rFonts w:asciiTheme="majorHAnsi" w:hAnsiTheme="majorHAnsi" w:cstheme="majorBidi"/>
          <w:color w:val="auto"/>
          <w:sz w:val="22"/>
          <w:szCs w:val="22"/>
        </w:rPr>
        <w:t>, certification and verification will most likely not change.  For the case of IDEALFUEL</w:t>
      </w:r>
      <w:r w:rsidR="4D89188B" w:rsidRPr="5937A937">
        <w:rPr>
          <w:rFonts w:asciiTheme="majorHAnsi" w:hAnsiTheme="majorHAnsi" w:cstheme="majorBidi"/>
          <w:color w:val="auto"/>
          <w:sz w:val="22"/>
          <w:szCs w:val="22"/>
        </w:rPr>
        <w:t>,</w:t>
      </w:r>
      <w:r w:rsidRPr="5937A937">
        <w:rPr>
          <w:rFonts w:asciiTheme="majorHAnsi" w:hAnsiTheme="majorHAnsi" w:cstheme="majorBidi"/>
          <w:color w:val="auto"/>
          <w:sz w:val="22"/>
          <w:szCs w:val="22"/>
        </w:rPr>
        <w:t xml:space="preserve"> certification of the fuel will play a key role for its use. </w:t>
      </w:r>
      <w:r>
        <w:t xml:space="preserve">The mayor impact will most likely be related to the feedstock from which advanced biofuels can be produced. </w:t>
      </w:r>
      <w:r w:rsidR="009D0C05">
        <w:t>Annex IX is under revision</w:t>
      </w:r>
      <w:r w:rsidR="00F81E10">
        <w:t xml:space="preserve">, with the aim to improve the feedstock list, </w:t>
      </w:r>
      <w:r w:rsidR="00553C3C">
        <w:t>trough the clarification of</w:t>
      </w:r>
      <w:r w:rsidR="00F81E10">
        <w:t xml:space="preserve"> the feedstocks and </w:t>
      </w:r>
      <w:r w:rsidR="007F0302">
        <w:t xml:space="preserve">the possible inclusion of new </w:t>
      </w:r>
      <w:r w:rsidR="00C73A24">
        <w:t>materials</w:t>
      </w:r>
      <w:r w:rsidR="007F0302">
        <w:t xml:space="preserve">. </w:t>
      </w:r>
      <w:r>
        <w:t>For lignocellulosic feedstock</w:t>
      </w:r>
      <w:r w:rsidR="2985B001">
        <w:t>,</w:t>
      </w:r>
      <w:r>
        <w:t xml:space="preserve"> a “cascading principle” is being considered, </w:t>
      </w:r>
      <w:r w:rsidR="443C7BAF">
        <w:t>i.e.,</w:t>
      </w:r>
      <w:r>
        <w:t xml:space="preserve"> if the feedstock </w:t>
      </w:r>
      <w:r w:rsidR="75DD768E">
        <w:t>is potentially useful</w:t>
      </w:r>
      <w:r>
        <w:t xml:space="preserve"> </w:t>
      </w:r>
      <w:r w:rsidR="7D348C34">
        <w:t>for purposes other than</w:t>
      </w:r>
      <w:r>
        <w:t xml:space="preserve"> </w:t>
      </w:r>
      <w:r w:rsidR="002C591F">
        <w:t>energy</w:t>
      </w:r>
      <w:r>
        <w:t xml:space="preserve"> applications, then</w:t>
      </w:r>
      <w:r w:rsidR="76CBBD7B">
        <w:t>,</w:t>
      </w:r>
      <w:r>
        <w:t xml:space="preserve"> </w:t>
      </w:r>
      <w:r w:rsidR="002C591F">
        <w:t xml:space="preserve">it might </w:t>
      </w:r>
      <w:r>
        <w:t xml:space="preserve">no longer </w:t>
      </w:r>
      <w:r w:rsidR="009A00E0">
        <w:t xml:space="preserve">be </w:t>
      </w:r>
      <w:r>
        <w:t xml:space="preserve">considered a residue.  Therefore, it is suggested </w:t>
      </w:r>
      <w:r w:rsidR="5C94100D">
        <w:t>a careful assessment</w:t>
      </w:r>
      <w:r>
        <w:t xml:space="preserve"> </w:t>
      </w:r>
      <w:r w:rsidR="12B55FAD">
        <w:t>of the</w:t>
      </w:r>
      <w:r>
        <w:t xml:space="preserve"> production processes</w:t>
      </w:r>
      <w:r w:rsidR="5D593E96">
        <w:t xml:space="preserve"> to </w:t>
      </w:r>
      <w:r w:rsidR="12175F18">
        <w:t>address this point.</w:t>
      </w:r>
      <w:r w:rsidR="009875C6">
        <w:t xml:space="preserve"> </w:t>
      </w:r>
      <w:r w:rsidR="007F0302">
        <w:rPr>
          <w:sz w:val="22"/>
          <w:szCs w:val="22"/>
          <w:lang w:val="en-GB"/>
        </w:rPr>
        <w:t>It is expected that by the end of th</w:t>
      </w:r>
      <w:r w:rsidR="009A00E0">
        <w:rPr>
          <w:sz w:val="22"/>
          <w:szCs w:val="22"/>
          <w:lang w:val="en-GB"/>
        </w:rPr>
        <w:t>is</w:t>
      </w:r>
      <w:r w:rsidR="007F0302">
        <w:rPr>
          <w:sz w:val="22"/>
          <w:szCs w:val="22"/>
          <w:lang w:val="en-GB"/>
        </w:rPr>
        <w:t xml:space="preserve"> year th</w:t>
      </w:r>
      <w:r w:rsidR="009A00E0">
        <w:rPr>
          <w:sz w:val="22"/>
          <w:szCs w:val="22"/>
          <w:lang w:val="en-GB"/>
        </w:rPr>
        <w:t>e revi</w:t>
      </w:r>
      <w:r w:rsidR="004E47B6">
        <w:rPr>
          <w:sz w:val="22"/>
          <w:szCs w:val="22"/>
          <w:lang w:val="en-GB"/>
        </w:rPr>
        <w:t>ewing</w:t>
      </w:r>
      <w:r w:rsidR="007F0302">
        <w:rPr>
          <w:sz w:val="22"/>
          <w:szCs w:val="22"/>
          <w:lang w:val="en-GB"/>
        </w:rPr>
        <w:t xml:space="preserve"> process </w:t>
      </w:r>
      <w:r w:rsidR="004E47B6">
        <w:rPr>
          <w:sz w:val="22"/>
          <w:szCs w:val="22"/>
          <w:lang w:val="en-GB"/>
        </w:rPr>
        <w:t>will be</w:t>
      </w:r>
      <w:r w:rsidR="007F0302">
        <w:rPr>
          <w:sz w:val="22"/>
          <w:szCs w:val="22"/>
          <w:lang w:val="en-GB"/>
        </w:rPr>
        <w:t xml:space="preserve"> finalised</w:t>
      </w:r>
      <w:r w:rsidR="00477468">
        <w:rPr>
          <w:sz w:val="22"/>
          <w:szCs w:val="22"/>
          <w:lang w:val="en-GB"/>
        </w:rPr>
        <w:t>,</w:t>
      </w:r>
    </w:p>
    <w:p w14:paraId="35CA415C" w14:textId="77777777" w:rsidR="0011416A" w:rsidRPr="005847E0"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847E0">
        <w:rPr>
          <w:rFonts w:asciiTheme="majorHAnsi" w:hAnsiTheme="majorHAnsi" w:cstheme="majorHAnsi"/>
          <w:b/>
          <w:bCs/>
          <w:color w:val="auto"/>
          <w:sz w:val="22"/>
          <w:szCs w:val="22"/>
        </w:rPr>
        <w:t xml:space="preserve">The </w:t>
      </w:r>
      <w:r>
        <w:rPr>
          <w:rFonts w:asciiTheme="majorHAnsi" w:hAnsiTheme="majorHAnsi" w:cstheme="majorHAnsi"/>
          <w:b/>
          <w:bCs/>
          <w:color w:val="auto"/>
          <w:sz w:val="22"/>
          <w:szCs w:val="22"/>
        </w:rPr>
        <w:t xml:space="preserve">introduction of the </w:t>
      </w:r>
      <w:r w:rsidRPr="005847E0">
        <w:rPr>
          <w:rFonts w:asciiTheme="majorHAnsi" w:hAnsiTheme="majorHAnsi" w:cstheme="majorHAnsi"/>
          <w:b/>
          <w:bCs/>
          <w:color w:val="auto"/>
          <w:sz w:val="22"/>
          <w:szCs w:val="22"/>
        </w:rPr>
        <w:t>Fuel EU Maritime Initiative</w:t>
      </w:r>
    </w:p>
    <w:p w14:paraId="2B3A30C1" w14:textId="4CF3B31D" w:rsidR="0011416A" w:rsidRDefault="08410017" w:rsidP="5937A937">
      <w:pPr>
        <w:spacing w:after="120" w:line="360" w:lineRule="auto"/>
        <w:ind w:firstLine="540"/>
        <w:rPr>
          <w:rFonts w:asciiTheme="majorHAnsi" w:hAnsiTheme="majorHAnsi" w:cstheme="majorBidi"/>
          <w:color w:val="auto"/>
          <w:sz w:val="22"/>
          <w:szCs w:val="22"/>
        </w:rPr>
      </w:pPr>
      <w:r w:rsidRPr="59587566">
        <w:rPr>
          <w:rFonts w:asciiTheme="majorHAnsi" w:hAnsiTheme="majorHAnsi" w:cstheme="majorBidi"/>
          <w:color w:val="auto"/>
          <w:sz w:val="22"/>
          <w:szCs w:val="22"/>
        </w:rPr>
        <w:t>It aims to decarbonize the shipping industry by ramping up the use and production of renewable and low carbon maritime fuels</w:t>
      </w:r>
      <w:r w:rsidR="000F4A5B">
        <w:rPr>
          <w:rFonts w:asciiTheme="majorHAnsi" w:hAnsiTheme="majorHAnsi" w:cstheme="majorBidi"/>
          <w:color w:val="auto"/>
          <w:sz w:val="22"/>
          <w:szCs w:val="22"/>
        </w:rPr>
        <w:t xml:space="preserve"> </w:t>
      </w:r>
      <w:r w:rsidR="009B4880" w:rsidRPr="009B4880">
        <w:rPr>
          <w:rFonts w:asciiTheme="majorHAnsi" w:hAnsiTheme="majorHAnsi" w:cstheme="majorBidi"/>
          <w:color w:val="auto"/>
          <w:sz w:val="22"/>
          <w:szCs w:val="22"/>
        </w:rPr>
        <w:t>through successively increasing GHG intensity reduction targets for ships. GHG emission factors of renewable biofuels meeting the sustainability and GHG saving criteria of RED II shall be determined according to the methodologies set out in RED II, whereas biofuels which do</w:t>
      </w:r>
      <w:r w:rsidR="009B4880">
        <w:rPr>
          <w:rFonts w:asciiTheme="majorHAnsi" w:hAnsiTheme="majorHAnsi" w:cstheme="majorBidi"/>
          <w:color w:val="auto"/>
          <w:sz w:val="22"/>
          <w:szCs w:val="22"/>
        </w:rPr>
        <w:t xml:space="preserve"> no</w:t>
      </w:r>
      <w:r w:rsidR="009B4880" w:rsidRPr="009B4880">
        <w:rPr>
          <w:rFonts w:asciiTheme="majorHAnsi" w:hAnsiTheme="majorHAnsi" w:cstheme="majorBidi"/>
          <w:color w:val="auto"/>
          <w:sz w:val="22"/>
          <w:szCs w:val="22"/>
        </w:rPr>
        <w:t xml:space="preserve">t meet those criteria shall be considered to have the same emission factors as the least </w:t>
      </w:r>
      <w:r w:rsidR="00800CAC" w:rsidRPr="009B4880">
        <w:rPr>
          <w:rFonts w:asciiTheme="majorHAnsi" w:hAnsiTheme="majorHAnsi" w:cstheme="majorBidi"/>
          <w:color w:val="auto"/>
          <w:sz w:val="22"/>
          <w:szCs w:val="22"/>
        </w:rPr>
        <w:t>favorable</w:t>
      </w:r>
      <w:r w:rsidR="009B4880" w:rsidRPr="009B4880">
        <w:rPr>
          <w:rFonts w:asciiTheme="majorHAnsi" w:hAnsiTheme="majorHAnsi" w:cstheme="majorBidi"/>
          <w:color w:val="auto"/>
          <w:sz w:val="22"/>
          <w:szCs w:val="22"/>
        </w:rPr>
        <w:t xml:space="preserve"> fossil fuel pathway for this type of fuel</w:t>
      </w:r>
      <w:r w:rsidRPr="59587566">
        <w:rPr>
          <w:rFonts w:asciiTheme="majorHAnsi" w:hAnsiTheme="majorHAnsi" w:cstheme="majorBidi"/>
          <w:color w:val="auto"/>
          <w:sz w:val="22"/>
          <w:szCs w:val="22"/>
        </w:rPr>
        <w:t xml:space="preserve">. </w:t>
      </w:r>
      <w:r w:rsidR="006569ED">
        <w:rPr>
          <w:rStyle w:val="normaltextrun"/>
          <w:rFonts w:cs="Calibri"/>
          <w:color w:val="000000"/>
          <w:sz w:val="22"/>
          <w:szCs w:val="22"/>
          <w:shd w:val="clear" w:color="auto" w:fill="FFFFFF"/>
        </w:rPr>
        <w:t>The target group of this initiative are ship owners (&gt;5000 gross tonnage). It has a pool compliance approach, in other words, the reduction is not expected for every ship, but for the fleet.</w:t>
      </w:r>
      <w:r w:rsidRPr="59587566">
        <w:rPr>
          <w:rFonts w:asciiTheme="majorHAnsi" w:hAnsiTheme="majorHAnsi" w:cstheme="majorBidi"/>
          <w:color w:val="auto"/>
          <w:sz w:val="22"/>
          <w:szCs w:val="22"/>
        </w:rPr>
        <w:t xml:space="preserve"> It </w:t>
      </w:r>
      <w:r w:rsidR="076B8AF6" w:rsidRPr="59587566">
        <w:rPr>
          <w:rFonts w:asciiTheme="majorHAnsi" w:hAnsiTheme="majorHAnsi" w:cstheme="majorBidi"/>
          <w:color w:val="auto"/>
          <w:sz w:val="22"/>
          <w:szCs w:val="22"/>
        </w:rPr>
        <w:t xml:space="preserve">promotes a progressive reduction in GHG emissions, </w:t>
      </w:r>
      <w:r w:rsidRPr="59587566">
        <w:rPr>
          <w:rFonts w:asciiTheme="majorHAnsi" w:hAnsiTheme="majorHAnsi" w:cstheme="majorBidi"/>
          <w:color w:val="auto"/>
          <w:sz w:val="22"/>
          <w:szCs w:val="22"/>
        </w:rPr>
        <w:t>starting with 2</w:t>
      </w:r>
      <w:r w:rsidR="622025F2" w:rsidRPr="59587566">
        <w:rPr>
          <w:rFonts w:asciiTheme="majorHAnsi" w:hAnsiTheme="majorHAnsi" w:cstheme="majorBidi"/>
          <w:color w:val="auto"/>
          <w:sz w:val="22"/>
          <w:szCs w:val="22"/>
        </w:rPr>
        <w:t xml:space="preserve"> </w:t>
      </w:r>
      <w:r w:rsidRPr="59587566">
        <w:rPr>
          <w:rFonts w:asciiTheme="majorHAnsi" w:hAnsiTheme="majorHAnsi" w:cstheme="majorBidi"/>
          <w:color w:val="auto"/>
          <w:sz w:val="22"/>
          <w:szCs w:val="22"/>
        </w:rPr>
        <w:t xml:space="preserve">% </w:t>
      </w:r>
      <w:r w:rsidR="02DAC64A" w:rsidRPr="59587566">
        <w:rPr>
          <w:rFonts w:asciiTheme="majorHAnsi" w:hAnsiTheme="majorHAnsi" w:cstheme="majorBidi"/>
          <w:color w:val="auto"/>
          <w:sz w:val="22"/>
          <w:szCs w:val="22"/>
        </w:rPr>
        <w:t>by</w:t>
      </w:r>
      <w:r w:rsidRPr="59587566">
        <w:rPr>
          <w:rFonts w:asciiTheme="majorHAnsi" w:hAnsiTheme="majorHAnsi" w:cstheme="majorBidi"/>
          <w:color w:val="auto"/>
          <w:sz w:val="22"/>
          <w:szCs w:val="22"/>
        </w:rPr>
        <w:t xml:space="preserve"> 2025, </w:t>
      </w:r>
      <w:r w:rsidR="34B410FD" w:rsidRPr="59587566">
        <w:rPr>
          <w:rFonts w:asciiTheme="majorHAnsi" w:hAnsiTheme="majorHAnsi" w:cstheme="majorBidi"/>
          <w:color w:val="auto"/>
          <w:sz w:val="22"/>
          <w:szCs w:val="22"/>
        </w:rPr>
        <w:t>increasing to</w:t>
      </w:r>
      <w:r w:rsidRPr="59587566">
        <w:rPr>
          <w:rFonts w:asciiTheme="majorHAnsi" w:hAnsiTheme="majorHAnsi" w:cstheme="majorBidi"/>
          <w:color w:val="auto"/>
          <w:sz w:val="22"/>
          <w:szCs w:val="22"/>
        </w:rPr>
        <w:t xml:space="preserve"> 75</w:t>
      </w:r>
      <w:r w:rsidR="1D5DAB88" w:rsidRPr="59587566">
        <w:rPr>
          <w:rFonts w:asciiTheme="majorHAnsi" w:hAnsiTheme="majorHAnsi" w:cstheme="majorBidi"/>
          <w:color w:val="auto"/>
          <w:sz w:val="22"/>
          <w:szCs w:val="22"/>
        </w:rPr>
        <w:t xml:space="preserve"> % by</w:t>
      </w:r>
      <w:r w:rsidRPr="59587566">
        <w:rPr>
          <w:rFonts w:asciiTheme="majorHAnsi" w:hAnsiTheme="majorHAnsi" w:cstheme="majorBidi"/>
          <w:color w:val="auto"/>
          <w:sz w:val="22"/>
          <w:szCs w:val="22"/>
        </w:rPr>
        <w:t xml:space="preserve"> 2050. </w:t>
      </w:r>
    </w:p>
    <w:p w14:paraId="39EA4B82" w14:textId="0B411ADD" w:rsidR="0011416A" w:rsidRDefault="08410017" w:rsidP="002C591F">
      <w:pPr>
        <w:spacing w:after="120" w:line="360" w:lineRule="auto"/>
        <w:ind w:firstLine="540"/>
        <w:rPr>
          <w:rFonts w:asciiTheme="majorHAnsi" w:hAnsiTheme="majorHAnsi" w:cstheme="majorBidi"/>
          <w:color w:val="auto"/>
          <w:sz w:val="22"/>
          <w:szCs w:val="22"/>
        </w:rPr>
      </w:pPr>
      <w:r w:rsidRPr="5937A937">
        <w:rPr>
          <w:rFonts w:asciiTheme="majorHAnsi" w:hAnsiTheme="majorHAnsi" w:cstheme="majorBidi"/>
          <w:color w:val="auto"/>
          <w:sz w:val="22"/>
          <w:szCs w:val="22"/>
        </w:rPr>
        <w:t xml:space="preserve">In order to comply with this </w:t>
      </w:r>
      <w:r w:rsidR="263E6C24" w:rsidRPr="5937A937">
        <w:rPr>
          <w:rFonts w:asciiTheme="majorHAnsi" w:hAnsiTheme="majorHAnsi" w:cstheme="majorBidi"/>
          <w:color w:val="auto"/>
          <w:sz w:val="22"/>
          <w:szCs w:val="22"/>
        </w:rPr>
        <w:t>regulation,</w:t>
      </w:r>
      <w:r w:rsidRPr="5937A937">
        <w:rPr>
          <w:rFonts w:asciiTheme="majorHAnsi" w:hAnsiTheme="majorHAnsi" w:cstheme="majorBidi"/>
          <w:color w:val="auto"/>
          <w:sz w:val="22"/>
          <w:szCs w:val="22"/>
        </w:rPr>
        <w:t xml:space="preserve"> the Bio-HFO from IDEALFUEL will have to be certified according to the Directive (EU) 2018/2001.</w:t>
      </w:r>
      <w:r w:rsidR="001E71C5">
        <w:rPr>
          <w:rFonts w:asciiTheme="majorHAnsi" w:hAnsiTheme="majorHAnsi" w:cstheme="majorBidi"/>
          <w:color w:val="auto"/>
          <w:sz w:val="22"/>
          <w:szCs w:val="22"/>
        </w:rPr>
        <w:t xml:space="preserve"> </w:t>
      </w:r>
      <w:r w:rsidR="00F84AA8">
        <w:rPr>
          <w:rFonts w:asciiTheme="majorHAnsi" w:hAnsiTheme="majorHAnsi" w:cstheme="majorBidi"/>
          <w:color w:val="auto"/>
          <w:sz w:val="22"/>
          <w:szCs w:val="22"/>
        </w:rPr>
        <w:t xml:space="preserve"> </w:t>
      </w:r>
      <w:r w:rsidR="0039418C">
        <w:rPr>
          <w:rFonts w:asciiTheme="majorHAnsi" w:hAnsiTheme="majorHAnsi" w:cstheme="majorBidi"/>
          <w:color w:val="auto"/>
          <w:sz w:val="22"/>
          <w:szCs w:val="22"/>
        </w:rPr>
        <w:t xml:space="preserve">GHG emission reduction are the main focus to consider in this case; however, this is coupled with the </w:t>
      </w:r>
      <w:r w:rsidR="00F979B0">
        <w:rPr>
          <w:rFonts w:asciiTheme="majorHAnsi" w:hAnsiTheme="majorHAnsi" w:cstheme="majorBidi"/>
          <w:color w:val="auto"/>
          <w:sz w:val="22"/>
          <w:szCs w:val="22"/>
        </w:rPr>
        <w:t>capacity for blending of the Bio-HFO.</w:t>
      </w:r>
      <w:r w:rsidR="0039418C">
        <w:rPr>
          <w:rFonts w:asciiTheme="majorHAnsi" w:hAnsiTheme="majorHAnsi" w:cstheme="majorBidi"/>
          <w:color w:val="auto"/>
          <w:sz w:val="22"/>
          <w:szCs w:val="22"/>
        </w:rPr>
        <w:t xml:space="preserve"> </w:t>
      </w:r>
    </w:p>
    <w:p w14:paraId="5E0FD91C" w14:textId="77777777" w:rsidR="0011416A" w:rsidRPr="005752AC"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752AC">
        <w:rPr>
          <w:rFonts w:asciiTheme="majorHAnsi" w:hAnsiTheme="majorHAnsi" w:cstheme="majorHAnsi"/>
          <w:b/>
          <w:bCs/>
          <w:color w:val="auto"/>
          <w:sz w:val="22"/>
          <w:szCs w:val="22"/>
        </w:rPr>
        <w:t xml:space="preserve">The revision of the Alternative Fuels Infrastructure Directive </w:t>
      </w:r>
    </w:p>
    <w:p w14:paraId="2108FB17" w14:textId="2B0FD4F0" w:rsidR="0011416A" w:rsidRDefault="08410017" w:rsidP="004216E0">
      <w:pPr>
        <w:spacing w:after="120" w:line="360" w:lineRule="auto"/>
        <w:ind w:firstLine="540"/>
        <w:rPr>
          <w:rFonts w:asciiTheme="majorHAnsi" w:hAnsiTheme="majorHAnsi" w:cstheme="majorBidi"/>
          <w:color w:val="auto"/>
          <w:sz w:val="22"/>
          <w:szCs w:val="22"/>
        </w:rPr>
      </w:pPr>
      <w:r w:rsidRPr="5937A937">
        <w:rPr>
          <w:rFonts w:asciiTheme="majorHAnsi" w:hAnsiTheme="majorHAnsi" w:cstheme="majorBidi"/>
          <w:color w:val="auto"/>
          <w:sz w:val="22"/>
          <w:szCs w:val="22"/>
        </w:rPr>
        <w:lastRenderedPageBreak/>
        <w:t>It aims to improve the development of</w:t>
      </w:r>
      <w:r w:rsidR="1B0F8561" w:rsidRPr="5937A937">
        <w:rPr>
          <w:rFonts w:asciiTheme="majorHAnsi" w:hAnsiTheme="majorHAnsi" w:cstheme="majorBidi"/>
          <w:color w:val="auto"/>
          <w:sz w:val="22"/>
          <w:szCs w:val="22"/>
        </w:rPr>
        <w:t xml:space="preserve"> the</w:t>
      </w:r>
      <w:r w:rsidRPr="5937A937">
        <w:rPr>
          <w:rFonts w:asciiTheme="majorHAnsi" w:hAnsiTheme="majorHAnsi" w:cstheme="majorBidi"/>
          <w:color w:val="auto"/>
          <w:sz w:val="22"/>
          <w:szCs w:val="22"/>
        </w:rPr>
        <w:t xml:space="preserve"> infrastructure </w:t>
      </w:r>
      <w:r w:rsidR="6EC566DF" w:rsidRPr="5937A937">
        <w:rPr>
          <w:rFonts w:asciiTheme="majorHAnsi" w:hAnsiTheme="majorHAnsi" w:cstheme="majorBidi"/>
          <w:color w:val="auto"/>
          <w:sz w:val="22"/>
          <w:szCs w:val="22"/>
        </w:rPr>
        <w:t>needed for</w:t>
      </w:r>
      <w:r w:rsidRPr="5937A937">
        <w:rPr>
          <w:rFonts w:asciiTheme="majorHAnsi" w:hAnsiTheme="majorHAnsi" w:cstheme="majorBidi"/>
          <w:color w:val="auto"/>
          <w:sz w:val="22"/>
          <w:szCs w:val="22"/>
        </w:rPr>
        <w:t xml:space="preserve"> renewable and low carbon fuels. It is necessary to review what developments are</w:t>
      </w:r>
      <w:r w:rsidR="00AD3902">
        <w:rPr>
          <w:rFonts w:asciiTheme="majorHAnsi" w:hAnsiTheme="majorHAnsi" w:cstheme="majorBidi"/>
          <w:color w:val="auto"/>
          <w:sz w:val="22"/>
          <w:szCs w:val="22"/>
        </w:rPr>
        <w:t xml:space="preserve"> </w:t>
      </w:r>
      <w:r w:rsidR="004216E0">
        <w:rPr>
          <w:rFonts w:asciiTheme="majorHAnsi" w:hAnsiTheme="majorHAnsi" w:cstheme="majorBidi"/>
          <w:color w:val="auto"/>
          <w:sz w:val="22"/>
          <w:szCs w:val="22"/>
        </w:rPr>
        <w:t>being</w:t>
      </w:r>
      <w:r w:rsidRPr="5937A937">
        <w:rPr>
          <w:rFonts w:asciiTheme="majorHAnsi" w:hAnsiTheme="majorHAnsi" w:cstheme="majorBidi"/>
          <w:color w:val="auto"/>
          <w:sz w:val="22"/>
          <w:szCs w:val="22"/>
        </w:rPr>
        <w:t xml:space="preserve"> considered and how they can be applied for IDEALFUEL’s Bio-HFO infrastructure</w:t>
      </w:r>
      <w:r w:rsidR="004216E0">
        <w:rPr>
          <w:rFonts w:asciiTheme="majorHAnsi" w:hAnsiTheme="majorHAnsi" w:cstheme="majorBidi"/>
          <w:color w:val="auto"/>
          <w:sz w:val="22"/>
          <w:szCs w:val="22"/>
        </w:rPr>
        <w:t xml:space="preserve"> needs</w:t>
      </w:r>
      <w:r w:rsidRPr="5937A937">
        <w:rPr>
          <w:rFonts w:asciiTheme="majorHAnsi" w:hAnsiTheme="majorHAnsi" w:cstheme="majorBidi"/>
          <w:color w:val="auto"/>
          <w:sz w:val="22"/>
          <w:szCs w:val="22"/>
        </w:rPr>
        <w:t>.</w:t>
      </w:r>
    </w:p>
    <w:p w14:paraId="709554C1" w14:textId="77777777" w:rsidR="0011416A" w:rsidRPr="005752AC"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752AC">
        <w:rPr>
          <w:rFonts w:asciiTheme="majorHAnsi" w:hAnsiTheme="majorHAnsi" w:cstheme="majorHAnsi"/>
          <w:b/>
          <w:bCs/>
          <w:color w:val="auto"/>
          <w:sz w:val="22"/>
          <w:szCs w:val="22"/>
        </w:rPr>
        <w:t>The gradual inclusion into the EU Emissions Trading System</w:t>
      </w:r>
    </w:p>
    <w:p w14:paraId="2BE1612E" w14:textId="6F7D2C46" w:rsidR="0011416A" w:rsidRDefault="08410017" w:rsidP="5937A937">
      <w:pPr>
        <w:pStyle w:val="ListParagraph"/>
        <w:spacing w:after="120" w:line="360" w:lineRule="auto"/>
        <w:ind w:left="0" w:firstLine="540"/>
        <w:rPr>
          <w:color w:val="auto"/>
          <w:sz w:val="22"/>
          <w:szCs w:val="22"/>
          <w:lang w:val="en-GB"/>
        </w:rPr>
      </w:pPr>
      <w:r w:rsidRPr="59587566">
        <w:rPr>
          <w:sz w:val="22"/>
          <w:szCs w:val="22"/>
          <w:lang w:val="en-GB"/>
        </w:rPr>
        <w:t xml:space="preserve">The EU Emission Trading System (EU-ETS) is a policy instrument used to make the reduction of GHG emissions cost-effective. Nowadays, it is implemented in all </w:t>
      </w:r>
      <w:r w:rsidRPr="59587566">
        <w:rPr>
          <w:color w:val="auto"/>
          <w:sz w:val="22"/>
          <w:szCs w:val="22"/>
          <w:lang w:val="en-GB"/>
        </w:rPr>
        <w:t xml:space="preserve">EU countries </w:t>
      </w:r>
      <w:r w:rsidR="7CBE4B49" w:rsidRPr="59587566">
        <w:rPr>
          <w:color w:val="auto"/>
          <w:sz w:val="22"/>
          <w:szCs w:val="22"/>
          <w:lang w:val="en-GB"/>
        </w:rPr>
        <w:t>and EEA</w:t>
      </w:r>
      <w:r w:rsidRPr="59587566">
        <w:rPr>
          <w:color w:val="auto"/>
          <w:sz w:val="22"/>
          <w:szCs w:val="22"/>
          <w:lang w:val="en-GB"/>
        </w:rPr>
        <w:t>-EFTA states (Iceland, Liechtenstein and Norway)</w:t>
      </w:r>
      <w:r w:rsidR="55FCE5DF" w:rsidRPr="59587566">
        <w:rPr>
          <w:color w:val="auto"/>
          <w:sz w:val="22"/>
          <w:szCs w:val="22"/>
          <w:lang w:val="en-GB"/>
        </w:rPr>
        <w:t>, covering</w:t>
      </w:r>
      <w:r w:rsidRPr="59587566">
        <w:rPr>
          <w:color w:val="auto"/>
          <w:sz w:val="22"/>
          <w:szCs w:val="22"/>
          <w:lang w:val="en-GB"/>
        </w:rPr>
        <w:t xml:space="preserve"> around 40% of EU GHG emissions </w:t>
      </w:r>
      <w:r w:rsidR="0011416A" w:rsidRPr="59587566">
        <w:rPr>
          <w:color w:val="auto"/>
          <w:sz w:val="22"/>
          <w:szCs w:val="22"/>
          <w:lang w:val="en-GB"/>
        </w:rPr>
        <w:fldChar w:fldCharType="begin" w:fldLock="1"/>
      </w:r>
      <w:r w:rsidR="0011416A" w:rsidRPr="59587566">
        <w:rPr>
          <w:color w:val="auto"/>
          <w:sz w:val="22"/>
          <w:szCs w:val="22"/>
          <w:lang w:val="en-GB"/>
        </w:rPr>
        <w:instrText>ADDIN CSL_CITATION {"citationItems":[{"id":"ITEM-1","itemData":{"URL":"https://ec.europa.eu/clima/policies/ets_en","accessed":{"date-parts":[["2021","9","13"]]},"author":[{"dropping-particle":"","family":"European Commission","given":"","non-dropping-particle":"","parse-names":false,"suffix":""}],"id":"ITEM-1","issued":{"date-parts":[["0"]]},"title":"EU Emissions Trading System (EU ETS)","type":"webpage"},"uris":["http://www.mendeley.com/documents/?uuid=d2fe12c7-6eb6-4fc8-a119-d5d66d715bb4"]}],"mendeley":{"formattedCitation":"(European Commission, n.d.)","plainTextFormattedCitation":"(European Commission, n.d.)","previouslyFormattedCitation":"(European Commission, n.d.)"},"properties":{"noteIndex":0},"schema":"https://github.com/citation-style-language/schema/raw/master/csl-citation.json"}</w:instrText>
      </w:r>
      <w:r w:rsidR="0011416A" w:rsidRPr="59587566">
        <w:rPr>
          <w:color w:val="auto"/>
          <w:sz w:val="22"/>
          <w:szCs w:val="22"/>
          <w:lang w:val="en-GB"/>
        </w:rPr>
        <w:fldChar w:fldCharType="separate"/>
      </w:r>
      <w:r w:rsidRPr="59587566">
        <w:rPr>
          <w:noProof/>
          <w:color w:val="auto"/>
          <w:sz w:val="22"/>
          <w:szCs w:val="22"/>
          <w:lang w:val="en-GB"/>
        </w:rPr>
        <w:t>(European Commission, n.d.)</w:t>
      </w:r>
      <w:r w:rsidR="0011416A" w:rsidRPr="59587566">
        <w:rPr>
          <w:color w:val="auto"/>
          <w:sz w:val="22"/>
          <w:szCs w:val="22"/>
          <w:lang w:val="en-GB"/>
        </w:rPr>
        <w:fldChar w:fldCharType="end"/>
      </w:r>
      <w:r w:rsidRPr="59587566">
        <w:rPr>
          <w:color w:val="auto"/>
          <w:sz w:val="22"/>
          <w:szCs w:val="22"/>
          <w:lang w:val="en-GB"/>
        </w:rPr>
        <w:t xml:space="preserve">. It creates financial incentives to reduce emissions trough a “cap and trade” system. The cap establishes a limit to the total amount of </w:t>
      </w:r>
      <w:r w:rsidR="0018643C">
        <w:rPr>
          <w:color w:val="auto"/>
          <w:sz w:val="22"/>
          <w:szCs w:val="22"/>
          <w:lang w:val="en-GB"/>
        </w:rPr>
        <w:t>c</w:t>
      </w:r>
      <w:r w:rsidRPr="59587566">
        <w:rPr>
          <w:color w:val="auto"/>
          <w:sz w:val="22"/>
          <w:szCs w:val="22"/>
          <w:lang w:val="en-GB"/>
        </w:rPr>
        <w:t>arbon Dioxide (CO</w:t>
      </w:r>
      <w:r w:rsidRPr="59587566">
        <w:rPr>
          <w:color w:val="auto"/>
          <w:sz w:val="22"/>
          <w:szCs w:val="22"/>
          <w:vertAlign w:val="subscript"/>
          <w:lang w:val="en-GB"/>
        </w:rPr>
        <w:t>2</w:t>
      </w:r>
      <w:r w:rsidRPr="59587566">
        <w:rPr>
          <w:color w:val="auto"/>
          <w:sz w:val="22"/>
          <w:szCs w:val="22"/>
          <w:lang w:val="en-GB"/>
        </w:rPr>
        <w:t xml:space="preserve">), </w:t>
      </w:r>
      <w:r w:rsidR="00FB486E">
        <w:rPr>
          <w:color w:val="auto"/>
          <w:sz w:val="22"/>
          <w:szCs w:val="22"/>
          <w:lang w:val="en-GB"/>
        </w:rPr>
        <w:t>n</w:t>
      </w:r>
      <w:r w:rsidRPr="59587566">
        <w:rPr>
          <w:color w:val="auto"/>
          <w:sz w:val="22"/>
          <w:szCs w:val="22"/>
          <w:lang w:val="en-GB"/>
        </w:rPr>
        <w:t xml:space="preserve">itrous </w:t>
      </w:r>
      <w:r w:rsidR="00FB486E">
        <w:rPr>
          <w:color w:val="auto"/>
          <w:sz w:val="22"/>
          <w:szCs w:val="22"/>
          <w:lang w:val="en-GB"/>
        </w:rPr>
        <w:t>o</w:t>
      </w:r>
      <w:r w:rsidRPr="59587566">
        <w:rPr>
          <w:color w:val="auto"/>
          <w:sz w:val="22"/>
          <w:szCs w:val="22"/>
          <w:lang w:val="en-GB"/>
        </w:rPr>
        <w:t>xide (N</w:t>
      </w:r>
      <w:r w:rsidRPr="59587566">
        <w:rPr>
          <w:color w:val="auto"/>
          <w:sz w:val="22"/>
          <w:szCs w:val="22"/>
          <w:vertAlign w:val="subscript"/>
          <w:lang w:val="en-GB"/>
        </w:rPr>
        <w:t>2</w:t>
      </w:r>
      <w:r w:rsidRPr="59587566">
        <w:rPr>
          <w:color w:val="auto"/>
          <w:sz w:val="22"/>
          <w:szCs w:val="22"/>
          <w:lang w:val="en-GB"/>
        </w:rPr>
        <w:t xml:space="preserve">O) and </w:t>
      </w:r>
      <w:r w:rsidR="00FB486E">
        <w:rPr>
          <w:color w:val="auto"/>
          <w:sz w:val="22"/>
          <w:szCs w:val="22"/>
          <w:lang w:val="en-GB"/>
        </w:rPr>
        <w:t>p</w:t>
      </w:r>
      <w:r w:rsidRPr="59587566">
        <w:rPr>
          <w:color w:val="auto"/>
          <w:sz w:val="22"/>
          <w:szCs w:val="22"/>
          <w:lang w:val="en-GB"/>
        </w:rPr>
        <w:t xml:space="preserve">erfluorocarbons (PFCs) that can be emitted. Over time this cap is </w:t>
      </w:r>
      <w:r w:rsidR="009C14CE">
        <w:rPr>
          <w:color w:val="auto"/>
          <w:sz w:val="22"/>
          <w:szCs w:val="22"/>
          <w:lang w:val="en-GB"/>
        </w:rPr>
        <w:t xml:space="preserve">going to be </w:t>
      </w:r>
      <w:r w:rsidRPr="59587566">
        <w:rPr>
          <w:color w:val="auto"/>
          <w:sz w:val="22"/>
          <w:szCs w:val="22"/>
          <w:lang w:val="en-GB"/>
        </w:rPr>
        <w:t>reduced</w:t>
      </w:r>
      <w:r w:rsidR="009C14CE">
        <w:rPr>
          <w:color w:val="auto"/>
          <w:sz w:val="22"/>
          <w:szCs w:val="22"/>
          <w:lang w:val="en-GB"/>
        </w:rPr>
        <w:t xml:space="preserve"> </w:t>
      </w:r>
      <w:r w:rsidR="0011416A" w:rsidRPr="59587566">
        <w:rPr>
          <w:color w:val="auto"/>
          <w:sz w:val="22"/>
          <w:szCs w:val="22"/>
          <w:lang w:val="en-GB"/>
        </w:rPr>
        <w:fldChar w:fldCharType="begin" w:fldLock="1"/>
      </w:r>
      <w:r w:rsidR="0011416A" w:rsidRPr="59587566">
        <w:rPr>
          <w:color w:val="auto"/>
          <w:sz w:val="22"/>
          <w:szCs w:val="22"/>
          <w:lang w:val="en-GB"/>
        </w:rPr>
        <w:instrText>ADDIN CSL_CITATION {"citationItems":[{"id":"ITEM-1","itemData":{"URL":"https://ec.europa.eu/clima/policies/ets_en","accessed":{"date-parts":[["2021","9","13"]]},"author":[{"dropping-particle":"","family":"European Commission","given":"","non-dropping-particle":"","parse-names":false,"suffix":""}],"id":"ITEM-1","issued":{"date-parts":[["0"]]},"title":"EU Emissions Trading System (EU ETS)","type":"webpage"},"uris":["http://www.mendeley.com/documents/?uuid=d2fe12c7-6eb6-4fc8-a119-d5d66d715bb4"]}],"mendeley":{"formattedCitation":"(European Commission, n.d.)","plainTextFormattedCitation":"(European Commission, n.d.)","previouslyFormattedCitation":"(European Commission, n.d.)"},"properties":{"noteIndex":0},"schema":"https://github.com/citation-style-language/schema/raw/master/csl-citation.json"}</w:instrText>
      </w:r>
      <w:r w:rsidR="0011416A" w:rsidRPr="59587566">
        <w:rPr>
          <w:color w:val="auto"/>
          <w:sz w:val="22"/>
          <w:szCs w:val="22"/>
          <w:lang w:val="en-GB"/>
        </w:rPr>
        <w:fldChar w:fldCharType="separate"/>
      </w:r>
      <w:r w:rsidRPr="59587566">
        <w:rPr>
          <w:noProof/>
          <w:color w:val="auto"/>
          <w:sz w:val="22"/>
          <w:szCs w:val="22"/>
          <w:lang w:val="en-GB"/>
        </w:rPr>
        <w:t>(European Commission, n.d.)</w:t>
      </w:r>
      <w:r w:rsidR="0011416A" w:rsidRPr="59587566">
        <w:rPr>
          <w:color w:val="auto"/>
          <w:sz w:val="22"/>
          <w:szCs w:val="22"/>
          <w:lang w:val="en-GB"/>
        </w:rPr>
        <w:fldChar w:fldCharType="end"/>
      </w:r>
      <w:r w:rsidRPr="59587566">
        <w:rPr>
          <w:color w:val="auto"/>
          <w:sz w:val="22"/>
          <w:szCs w:val="22"/>
          <w:lang w:val="en-GB"/>
        </w:rPr>
        <w:t xml:space="preserve">. </w:t>
      </w:r>
    </w:p>
    <w:p w14:paraId="17A3DB6E" w14:textId="5D01A209" w:rsidR="0011416A" w:rsidRPr="00F96F13" w:rsidRDefault="08410017" w:rsidP="5937A937">
      <w:pPr>
        <w:pStyle w:val="ListParagraph"/>
        <w:spacing w:after="120" w:line="360" w:lineRule="auto"/>
        <w:ind w:left="0" w:firstLine="540"/>
        <w:rPr>
          <w:rFonts w:asciiTheme="majorHAnsi" w:hAnsiTheme="majorHAnsi" w:cstheme="majorBidi"/>
          <w:color w:val="auto"/>
          <w:sz w:val="22"/>
          <w:szCs w:val="22"/>
        </w:rPr>
      </w:pPr>
      <w:r w:rsidRPr="5937A937">
        <w:rPr>
          <w:color w:val="auto"/>
          <w:sz w:val="22"/>
          <w:szCs w:val="22"/>
          <w:lang w:val="en-GB"/>
        </w:rPr>
        <w:t xml:space="preserve">Fit for 55 foresees the gradual inclusion of the maritime sector into the EU-ETS starting in 2023. </w:t>
      </w:r>
      <w:r w:rsidRPr="5937A937">
        <w:rPr>
          <w:rFonts w:asciiTheme="majorHAnsi" w:hAnsiTheme="majorHAnsi" w:cstheme="majorBidi"/>
          <w:color w:val="auto"/>
          <w:sz w:val="22"/>
          <w:szCs w:val="22"/>
        </w:rPr>
        <w:t>A cap will be set to the maritime GHG emissions.</w:t>
      </w:r>
      <w:r>
        <w:t xml:space="preserve"> </w:t>
      </w:r>
      <w:r w:rsidR="28D2D249">
        <w:t>The i</w:t>
      </w:r>
      <w:r w:rsidRPr="5937A937">
        <w:rPr>
          <w:rFonts w:asciiTheme="majorHAnsi" w:hAnsiTheme="majorHAnsi" w:cstheme="majorBidi"/>
          <w:color w:val="auto"/>
          <w:sz w:val="22"/>
          <w:szCs w:val="22"/>
        </w:rPr>
        <w:t>nclu</w:t>
      </w:r>
      <w:r w:rsidR="18534EB9" w:rsidRPr="5937A937">
        <w:rPr>
          <w:rFonts w:asciiTheme="majorHAnsi" w:hAnsiTheme="majorHAnsi" w:cstheme="majorBidi"/>
          <w:color w:val="auto"/>
          <w:sz w:val="22"/>
          <w:szCs w:val="22"/>
        </w:rPr>
        <w:t>sion</w:t>
      </w:r>
      <w:r w:rsidRPr="5937A937">
        <w:rPr>
          <w:rFonts w:asciiTheme="majorHAnsi" w:hAnsiTheme="majorHAnsi" w:cstheme="majorBidi"/>
          <w:color w:val="auto"/>
          <w:sz w:val="22"/>
          <w:szCs w:val="22"/>
        </w:rPr>
        <w:t xml:space="preserve"> </w:t>
      </w:r>
      <w:r w:rsidR="70C15238" w:rsidRPr="5937A937">
        <w:rPr>
          <w:rFonts w:asciiTheme="majorHAnsi" w:hAnsiTheme="majorHAnsi" w:cstheme="majorBidi"/>
          <w:color w:val="auto"/>
          <w:sz w:val="22"/>
          <w:szCs w:val="22"/>
        </w:rPr>
        <w:t xml:space="preserve">of </w:t>
      </w:r>
      <w:r w:rsidRPr="5937A937">
        <w:rPr>
          <w:rFonts w:asciiTheme="majorHAnsi" w:hAnsiTheme="majorHAnsi" w:cstheme="majorBidi"/>
          <w:color w:val="auto"/>
          <w:sz w:val="22"/>
          <w:szCs w:val="22"/>
        </w:rPr>
        <w:t xml:space="preserve">maritime sector in the ETS </w:t>
      </w:r>
      <w:r w:rsidR="076BDFA5" w:rsidRPr="5937A937">
        <w:rPr>
          <w:rFonts w:asciiTheme="majorHAnsi" w:hAnsiTheme="majorHAnsi" w:cstheme="majorBidi"/>
          <w:color w:val="auto"/>
          <w:sz w:val="22"/>
          <w:szCs w:val="22"/>
        </w:rPr>
        <w:t>means</w:t>
      </w:r>
      <w:r w:rsidRPr="5937A937">
        <w:rPr>
          <w:rFonts w:asciiTheme="majorHAnsi" w:hAnsiTheme="majorHAnsi" w:cstheme="majorBidi"/>
          <w:color w:val="auto"/>
          <w:sz w:val="22"/>
          <w:szCs w:val="22"/>
        </w:rPr>
        <w:t xml:space="preserve"> that</w:t>
      </w:r>
      <w:r w:rsidR="1401CB7D" w:rsidRPr="5937A937">
        <w:rPr>
          <w:rFonts w:asciiTheme="majorHAnsi" w:hAnsiTheme="majorHAnsi" w:cstheme="majorBidi"/>
          <w:color w:val="auto"/>
          <w:sz w:val="22"/>
          <w:szCs w:val="22"/>
        </w:rPr>
        <w:t xml:space="preserve"> the sector</w:t>
      </w:r>
      <w:r w:rsidRPr="5937A937">
        <w:rPr>
          <w:rFonts w:asciiTheme="majorHAnsi" w:hAnsiTheme="majorHAnsi" w:cstheme="majorBidi"/>
          <w:color w:val="auto"/>
          <w:sz w:val="22"/>
          <w:szCs w:val="22"/>
        </w:rPr>
        <w:t xml:space="preserve"> has to reduce the</w:t>
      </w:r>
      <w:r w:rsidR="6ECBB9A1" w:rsidRPr="5937A937">
        <w:rPr>
          <w:rFonts w:asciiTheme="majorHAnsi" w:hAnsiTheme="majorHAnsi" w:cstheme="majorBidi"/>
          <w:color w:val="auto"/>
          <w:sz w:val="22"/>
          <w:szCs w:val="22"/>
        </w:rPr>
        <w:t xml:space="preserve"> </w:t>
      </w:r>
      <w:r w:rsidRPr="5937A937">
        <w:rPr>
          <w:rFonts w:asciiTheme="majorHAnsi" w:hAnsiTheme="majorHAnsi" w:cstheme="majorBidi"/>
          <w:color w:val="auto"/>
          <w:sz w:val="22"/>
          <w:szCs w:val="22"/>
        </w:rPr>
        <w:t>CO</w:t>
      </w:r>
      <w:r w:rsidRPr="002F7E75">
        <w:rPr>
          <w:rFonts w:asciiTheme="majorHAnsi" w:hAnsiTheme="majorHAnsi" w:cstheme="majorBidi"/>
          <w:color w:val="auto"/>
          <w:sz w:val="22"/>
          <w:szCs w:val="22"/>
          <w:vertAlign w:val="subscript"/>
        </w:rPr>
        <w:t>2</w:t>
      </w:r>
      <w:r w:rsidRPr="5937A937">
        <w:rPr>
          <w:rFonts w:asciiTheme="majorHAnsi" w:hAnsiTheme="majorHAnsi" w:cstheme="majorBidi"/>
          <w:color w:val="auto"/>
          <w:sz w:val="22"/>
          <w:szCs w:val="22"/>
        </w:rPr>
        <w:t xml:space="preserve"> emissions in 61% by 2030, compared to 2005 levels.  Th</w:t>
      </w:r>
      <w:r w:rsidR="6B5D821A" w:rsidRPr="5937A937">
        <w:rPr>
          <w:rFonts w:asciiTheme="majorHAnsi" w:hAnsiTheme="majorHAnsi" w:cstheme="majorBidi"/>
          <w:color w:val="auto"/>
          <w:sz w:val="22"/>
          <w:szCs w:val="22"/>
        </w:rPr>
        <w:t>e</w:t>
      </w:r>
      <w:r w:rsidRPr="5937A937">
        <w:rPr>
          <w:rFonts w:asciiTheme="majorHAnsi" w:hAnsiTheme="majorHAnsi" w:cstheme="majorBidi"/>
          <w:color w:val="auto"/>
          <w:sz w:val="22"/>
          <w:szCs w:val="22"/>
        </w:rPr>
        <w:t xml:space="preserve"> reduction is planned to be implemented gradually, 4.2% per year, and it will apply for ships above 5,000 gross </w:t>
      </w:r>
      <w:r w:rsidR="3BFB6245" w:rsidRPr="5937A937">
        <w:rPr>
          <w:rFonts w:asciiTheme="majorHAnsi" w:hAnsiTheme="majorHAnsi" w:cstheme="majorBidi"/>
          <w:color w:val="auto"/>
          <w:sz w:val="22"/>
          <w:szCs w:val="22"/>
        </w:rPr>
        <w:t>tonnages</w:t>
      </w:r>
      <w:r w:rsidRPr="5937A937">
        <w:rPr>
          <w:rFonts w:asciiTheme="majorHAnsi" w:hAnsiTheme="majorHAnsi" w:cstheme="majorBidi"/>
          <w:color w:val="auto"/>
          <w:sz w:val="22"/>
          <w:szCs w:val="22"/>
        </w:rPr>
        <w:t xml:space="preserve"> of any flag. </w:t>
      </w:r>
      <w:r w:rsidRPr="5937A937">
        <w:rPr>
          <w:rFonts w:asciiTheme="minorHAnsi" w:hAnsiTheme="minorHAnsi" w:cstheme="minorBidi"/>
          <w:sz w:val="22"/>
          <w:szCs w:val="22"/>
          <w:lang w:val="en-GB"/>
        </w:rPr>
        <w:t>The cap will apply 100% for ships that travel within EU ports (intra-EU), and 50% for those whose travels start or end outside the EU (extra-EU). With this market-based measures in place</w:t>
      </w:r>
      <w:r w:rsidR="73FA030E" w:rsidRPr="5937A937">
        <w:rPr>
          <w:rFonts w:asciiTheme="minorHAnsi" w:hAnsiTheme="minorHAnsi" w:cstheme="minorBidi"/>
          <w:sz w:val="22"/>
          <w:szCs w:val="22"/>
          <w:lang w:val="en-GB"/>
        </w:rPr>
        <w:t>,</w:t>
      </w:r>
      <w:r w:rsidRPr="5937A937">
        <w:rPr>
          <w:rFonts w:asciiTheme="minorHAnsi" w:hAnsiTheme="minorHAnsi" w:cstheme="minorBidi"/>
          <w:sz w:val="22"/>
          <w:szCs w:val="22"/>
          <w:lang w:val="en-GB"/>
        </w:rPr>
        <w:t xml:space="preserve"> the shipping companies will have an obligation to purchase and surrender ETS emission allowances for their reported CO</w:t>
      </w:r>
      <w:r w:rsidRPr="5937A937">
        <w:rPr>
          <w:rFonts w:asciiTheme="minorHAnsi" w:hAnsiTheme="minorHAnsi" w:cstheme="minorBidi"/>
          <w:sz w:val="22"/>
          <w:szCs w:val="22"/>
          <w:vertAlign w:val="subscript"/>
          <w:lang w:val="en-GB"/>
        </w:rPr>
        <w:t>2</w:t>
      </w:r>
      <w:r w:rsidRPr="5937A937">
        <w:rPr>
          <w:rFonts w:asciiTheme="minorHAnsi" w:hAnsiTheme="minorHAnsi" w:cstheme="minorBidi"/>
          <w:sz w:val="22"/>
          <w:szCs w:val="22"/>
          <w:lang w:val="en-GB"/>
        </w:rPr>
        <w:t xml:space="preserve"> emissions. The trading will be </w:t>
      </w:r>
      <w:r w:rsidR="236D8147" w:rsidRPr="5937A937">
        <w:rPr>
          <w:rFonts w:asciiTheme="minorHAnsi" w:hAnsiTheme="minorHAnsi" w:cstheme="minorBidi"/>
          <w:sz w:val="22"/>
          <w:szCs w:val="22"/>
          <w:lang w:val="en-GB"/>
        </w:rPr>
        <w:t>administered</w:t>
      </w:r>
      <w:r w:rsidRPr="5937A937">
        <w:rPr>
          <w:rFonts w:asciiTheme="minorHAnsi" w:hAnsiTheme="minorHAnsi" w:cstheme="minorBidi"/>
          <w:sz w:val="22"/>
          <w:szCs w:val="22"/>
          <w:lang w:val="en-GB"/>
        </w:rPr>
        <w:t xml:space="preserve"> by a member state </w:t>
      </w:r>
      <w:r w:rsidR="0011416A" w:rsidRPr="5937A937">
        <w:rPr>
          <w:rFonts w:asciiTheme="minorHAnsi" w:hAnsiTheme="minorHAnsi" w:cstheme="minorBidi"/>
          <w:sz w:val="22"/>
          <w:szCs w:val="22"/>
          <w:lang w:val="en-GB"/>
        </w:rPr>
        <w:fldChar w:fldCharType="begin" w:fldLock="1"/>
      </w:r>
      <w:r w:rsidR="0011416A" w:rsidRPr="5937A937">
        <w:rPr>
          <w:rFonts w:asciiTheme="minorHAnsi" w:hAnsiTheme="minorHAnsi" w:cstheme="minorBidi"/>
          <w:sz w:val="22"/>
          <w:szCs w:val="22"/>
          <w:lang w:val="en-GB"/>
        </w:rPr>
        <w:instrText>ADDIN CSL_CITATION {"citationItems":[{"id":"ITEM-1","itemData":{"URL":"https://ec.europa.eu/commission/presscorner/detail/en/qanda_21_3542","accessed":{"date-parts":[["2021","9","14"]]},"author":[{"dropping-particle":"","family":"McPhie","given":"Tim","non-dropping-particle":"","parse-names":false,"suffix":""},{"dropping-particle":"","family":"Rietdorf","given":"Lynn","non-dropping-particle":"","parse-names":false,"suffix":""}],"id":"ITEM-1","issued":{"date-parts":[["2021"]]},"title":"Questions and Answers - Emissions Trading – Putting a Price on carbon*","type":"webpage"},"uris":["http://www.mendeley.com/documents/?uuid=f68871e1-ab1f-4f98-bda5-036aa28750e6"]}],"mendeley":{"formattedCitation":"(McPhie &amp; Rietdorf, 2021)","plainTextFormattedCitation":"(McPhie &amp; Rietdorf, 2021)","previouslyFormattedCitation":"(McPhie &amp; Rietdorf, 2021)"},"properties":{"noteIndex":0},"schema":"https://github.com/citation-style-language/schema/raw/master/csl-citation.json"}</w:instrText>
      </w:r>
      <w:r w:rsidR="0011416A" w:rsidRPr="5937A937">
        <w:rPr>
          <w:rFonts w:asciiTheme="minorHAnsi" w:hAnsiTheme="minorHAnsi" w:cstheme="minorBidi"/>
          <w:sz w:val="22"/>
          <w:szCs w:val="22"/>
          <w:lang w:val="en-GB"/>
        </w:rPr>
        <w:fldChar w:fldCharType="separate"/>
      </w:r>
      <w:r w:rsidRPr="5937A937">
        <w:rPr>
          <w:rFonts w:asciiTheme="minorHAnsi" w:hAnsiTheme="minorHAnsi" w:cstheme="minorBidi"/>
          <w:noProof/>
          <w:sz w:val="22"/>
          <w:szCs w:val="22"/>
          <w:lang w:val="en-GB"/>
        </w:rPr>
        <w:t>(McPhie &amp; Rietdorf, 2021)</w:t>
      </w:r>
      <w:r w:rsidR="0011416A" w:rsidRPr="5937A937">
        <w:rPr>
          <w:rFonts w:asciiTheme="minorHAnsi" w:hAnsiTheme="minorHAnsi" w:cstheme="minorBidi"/>
          <w:sz w:val="22"/>
          <w:szCs w:val="22"/>
          <w:lang w:val="en-GB"/>
        </w:rPr>
        <w:fldChar w:fldCharType="end"/>
      </w:r>
      <w:r w:rsidRPr="5937A937">
        <w:rPr>
          <w:rFonts w:asciiTheme="minorHAnsi" w:hAnsiTheme="minorHAnsi" w:cstheme="minorBidi"/>
          <w:sz w:val="22"/>
          <w:szCs w:val="22"/>
          <w:lang w:val="en-GB"/>
        </w:rPr>
        <w:t xml:space="preserve"> .</w:t>
      </w:r>
    </w:p>
    <w:p w14:paraId="55CD9644" w14:textId="11070E71" w:rsidR="5937A937" w:rsidRDefault="5937A937" w:rsidP="5937A937">
      <w:pPr>
        <w:pStyle w:val="ListParagraph"/>
        <w:spacing w:after="120" w:line="360" w:lineRule="auto"/>
        <w:ind w:left="1440"/>
        <w:rPr>
          <w:szCs w:val="21"/>
          <w:lang w:val="en-GB"/>
        </w:rPr>
      </w:pPr>
    </w:p>
    <w:p w14:paraId="3A9405DC" w14:textId="77777777" w:rsidR="0011416A" w:rsidRPr="005752AC"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752AC">
        <w:rPr>
          <w:rFonts w:asciiTheme="majorHAnsi" w:hAnsiTheme="majorHAnsi" w:cstheme="majorHAnsi"/>
          <w:b/>
          <w:bCs/>
          <w:color w:val="auto"/>
          <w:sz w:val="22"/>
          <w:szCs w:val="22"/>
        </w:rPr>
        <w:t> The revision of the Energy Tax Directive</w:t>
      </w:r>
    </w:p>
    <w:p w14:paraId="5BB1A776" w14:textId="72232C05" w:rsidR="0011416A" w:rsidRDefault="08410017" w:rsidP="5937A937">
      <w:pPr>
        <w:spacing w:after="120" w:line="360" w:lineRule="auto"/>
        <w:ind w:firstLine="540"/>
        <w:rPr>
          <w:rFonts w:asciiTheme="majorHAnsi" w:hAnsiTheme="majorHAnsi" w:cstheme="majorBidi"/>
          <w:color w:val="auto"/>
          <w:sz w:val="22"/>
          <w:szCs w:val="22"/>
          <w:lang w:val="en-GB"/>
        </w:rPr>
      </w:pPr>
      <w:r w:rsidRPr="5937A937">
        <w:rPr>
          <w:rFonts w:asciiTheme="majorHAnsi" w:hAnsiTheme="majorHAnsi" w:cstheme="majorBidi"/>
          <w:color w:val="auto"/>
          <w:sz w:val="22"/>
          <w:szCs w:val="22"/>
        </w:rPr>
        <w:t xml:space="preserve">Tax exemptions for conventional fossil fuels used in intra-EU shipping will be revised. </w:t>
      </w:r>
      <w:r w:rsidR="37F2E79D" w:rsidRPr="5937A937">
        <w:rPr>
          <w:rFonts w:asciiTheme="majorHAnsi" w:hAnsiTheme="majorHAnsi" w:cstheme="majorBidi"/>
          <w:color w:val="auto"/>
          <w:sz w:val="22"/>
          <w:szCs w:val="22"/>
        </w:rPr>
        <w:t>T</w:t>
      </w:r>
      <w:r w:rsidRPr="5937A937">
        <w:rPr>
          <w:rFonts w:asciiTheme="majorHAnsi" w:hAnsiTheme="majorHAnsi" w:cstheme="majorBidi"/>
          <w:color w:val="auto"/>
          <w:sz w:val="22"/>
          <w:szCs w:val="22"/>
        </w:rPr>
        <w:t xml:space="preserve">his can </w:t>
      </w:r>
      <w:r w:rsidR="754D36C4" w:rsidRPr="5937A937">
        <w:rPr>
          <w:rFonts w:asciiTheme="majorHAnsi" w:hAnsiTheme="majorHAnsi" w:cstheme="majorBidi"/>
          <w:color w:val="auto"/>
          <w:sz w:val="22"/>
          <w:szCs w:val="22"/>
        </w:rPr>
        <w:t>indirectly</w:t>
      </w:r>
      <w:r w:rsidRPr="5937A937">
        <w:rPr>
          <w:rFonts w:asciiTheme="majorHAnsi" w:hAnsiTheme="majorHAnsi" w:cstheme="majorBidi"/>
          <w:color w:val="auto"/>
          <w:sz w:val="22"/>
          <w:szCs w:val="22"/>
        </w:rPr>
        <w:t xml:space="preserve"> affect the market position of IDEALFUEL’s Bio-HFO. </w:t>
      </w:r>
      <w:r w:rsidR="0068583B">
        <w:rPr>
          <w:rFonts w:asciiTheme="majorHAnsi" w:hAnsiTheme="majorHAnsi" w:cstheme="majorBidi"/>
          <w:color w:val="auto"/>
          <w:sz w:val="22"/>
          <w:szCs w:val="22"/>
        </w:rPr>
        <w:t xml:space="preserve">The introduction of </w:t>
      </w:r>
      <w:r w:rsidRPr="5937A937">
        <w:rPr>
          <w:rFonts w:asciiTheme="majorHAnsi" w:hAnsiTheme="majorHAnsi" w:cstheme="majorBidi"/>
          <w:color w:val="auto"/>
          <w:sz w:val="22"/>
          <w:szCs w:val="22"/>
          <w:lang w:val="en-GB"/>
        </w:rPr>
        <w:t xml:space="preserve"> carbon taxes </w:t>
      </w:r>
      <w:r w:rsidR="0068583B">
        <w:rPr>
          <w:rFonts w:asciiTheme="majorHAnsi" w:hAnsiTheme="majorHAnsi" w:cstheme="majorBidi"/>
          <w:color w:val="auto"/>
          <w:sz w:val="22"/>
          <w:szCs w:val="22"/>
          <w:lang w:val="en-GB"/>
        </w:rPr>
        <w:t xml:space="preserve">and a minimum tax level on fossil fuels </w:t>
      </w:r>
      <w:r w:rsidR="00200B2B">
        <w:rPr>
          <w:rFonts w:asciiTheme="majorHAnsi" w:hAnsiTheme="majorHAnsi" w:cstheme="majorBidi"/>
          <w:color w:val="auto"/>
          <w:sz w:val="22"/>
          <w:szCs w:val="22"/>
          <w:lang w:val="en-GB"/>
        </w:rPr>
        <w:t>in</w:t>
      </w:r>
      <w:r w:rsidR="0068583B">
        <w:rPr>
          <w:rFonts w:asciiTheme="majorHAnsi" w:hAnsiTheme="majorHAnsi" w:cstheme="majorBidi"/>
          <w:color w:val="auto"/>
          <w:sz w:val="22"/>
          <w:szCs w:val="22"/>
          <w:lang w:val="en-GB"/>
        </w:rPr>
        <w:t xml:space="preserve"> all EU countries </w:t>
      </w:r>
      <w:r w:rsidRPr="5937A937">
        <w:rPr>
          <w:rFonts w:asciiTheme="majorHAnsi" w:hAnsiTheme="majorHAnsi" w:cstheme="majorBidi"/>
          <w:color w:val="auto"/>
          <w:sz w:val="22"/>
          <w:szCs w:val="22"/>
          <w:lang w:val="en-GB"/>
        </w:rPr>
        <w:t>will  be beneficial to</w:t>
      </w:r>
      <w:r w:rsidR="002165E2">
        <w:rPr>
          <w:rFonts w:asciiTheme="majorHAnsi" w:hAnsiTheme="majorHAnsi" w:cstheme="majorBidi"/>
          <w:color w:val="auto"/>
          <w:sz w:val="22"/>
          <w:szCs w:val="22"/>
          <w:lang w:val="en-GB"/>
        </w:rPr>
        <w:t xml:space="preserve"> any</w:t>
      </w:r>
      <w:r w:rsidRPr="5937A937">
        <w:rPr>
          <w:rFonts w:asciiTheme="majorHAnsi" w:hAnsiTheme="majorHAnsi" w:cstheme="majorBidi"/>
          <w:color w:val="auto"/>
          <w:sz w:val="22"/>
          <w:szCs w:val="22"/>
          <w:lang w:val="en-GB"/>
        </w:rPr>
        <w:t xml:space="preserve"> advanced biofuel, especially for those that can offer high</w:t>
      </w:r>
      <w:r w:rsidR="67C7C525" w:rsidRPr="5937A937">
        <w:rPr>
          <w:rFonts w:asciiTheme="majorHAnsi" w:hAnsiTheme="majorHAnsi" w:cstheme="majorBidi"/>
          <w:color w:val="auto"/>
          <w:sz w:val="22"/>
          <w:szCs w:val="22"/>
          <w:lang w:val="en-GB"/>
        </w:rPr>
        <w:t>er</w:t>
      </w:r>
      <w:r w:rsidRPr="5937A937">
        <w:rPr>
          <w:rFonts w:asciiTheme="majorHAnsi" w:hAnsiTheme="majorHAnsi" w:cstheme="majorBidi"/>
          <w:color w:val="auto"/>
          <w:sz w:val="22"/>
          <w:szCs w:val="22"/>
          <w:lang w:val="en-GB"/>
        </w:rPr>
        <w:t xml:space="preserve"> CO</w:t>
      </w:r>
      <w:r w:rsidRPr="5937A937">
        <w:rPr>
          <w:rFonts w:asciiTheme="majorHAnsi" w:hAnsiTheme="majorHAnsi" w:cstheme="majorBidi"/>
          <w:color w:val="auto"/>
          <w:sz w:val="22"/>
          <w:szCs w:val="22"/>
          <w:vertAlign w:val="subscript"/>
          <w:lang w:val="en-GB"/>
        </w:rPr>
        <w:t>2</w:t>
      </w:r>
      <w:r w:rsidRPr="5937A937">
        <w:rPr>
          <w:rFonts w:asciiTheme="majorHAnsi" w:hAnsiTheme="majorHAnsi" w:cstheme="majorBidi"/>
          <w:color w:val="auto"/>
          <w:sz w:val="22"/>
          <w:szCs w:val="22"/>
          <w:lang w:val="en-GB"/>
        </w:rPr>
        <w:t xml:space="preserve"> </w:t>
      </w:r>
      <w:r w:rsidR="20AFBFD8" w:rsidRPr="5937A937">
        <w:rPr>
          <w:rFonts w:asciiTheme="majorHAnsi" w:hAnsiTheme="majorHAnsi" w:cstheme="majorBidi"/>
          <w:color w:val="auto"/>
          <w:sz w:val="22"/>
          <w:szCs w:val="22"/>
          <w:lang w:val="en-GB"/>
        </w:rPr>
        <w:t>mitigation</w:t>
      </w:r>
      <w:r w:rsidRPr="5937A937">
        <w:rPr>
          <w:rFonts w:asciiTheme="majorHAnsi" w:hAnsiTheme="majorHAnsi" w:cstheme="majorBidi"/>
          <w:color w:val="auto"/>
          <w:sz w:val="22"/>
          <w:szCs w:val="22"/>
          <w:lang w:val="en-GB"/>
        </w:rPr>
        <w:t xml:space="preserve"> at a competitive price </w:t>
      </w:r>
      <w:r w:rsidR="0011416A" w:rsidRPr="5937A937">
        <w:rPr>
          <w:rFonts w:asciiTheme="majorHAnsi" w:hAnsiTheme="majorHAnsi" w:cstheme="majorBidi"/>
          <w:color w:val="auto"/>
          <w:sz w:val="22"/>
          <w:szCs w:val="22"/>
          <w:lang w:val="en-GB"/>
        </w:rPr>
        <w:fldChar w:fldCharType="begin" w:fldLock="1"/>
      </w:r>
      <w:r w:rsidR="0011416A" w:rsidRPr="5937A937">
        <w:rPr>
          <w:rFonts w:asciiTheme="majorHAnsi" w:hAnsiTheme="majorHAnsi" w:cstheme="majorBidi"/>
          <w:color w:val="auto"/>
          <w:sz w:val="22"/>
          <w:szCs w:val="22"/>
          <w:lang w:val="en-GB"/>
        </w:rPr>
        <w:instrText>ADDIN CSL_CITATION {"citationItems":[{"id":"ITEM-1","itemData":{"URL":"https://ec.europa.eu/commission/presscorner/detail/en/qanda_21_3542","accessed":{"date-parts":[["2021","9","14"]]},"author":[{"dropping-particle":"","family":"McPhie","given":"Tim","non-dropping-particle":"","parse-names":false,"suffix":""},{"dropping-particle":"","family":"Rietdorf","given":"Lynn","non-dropping-particle":"","parse-names":false,"suffix":""}],"id":"ITEM-1","issued":{"date-parts":[["2021"]]},"title":"Questions and Answers - Emissions Trading – Putting a Price on carbon*","type":"webpage"},"uris":["http://www.mendeley.com/documents/?uuid=f68871e1-ab1f-4f98-bda5-036aa28750e6"]}],"mendeley":{"formattedCitation":"(McPhie &amp; Rietdorf, 2021)","plainTextFormattedCitation":"(McPhie &amp; Rietdorf, 2021)","previouslyFormattedCitation":"(McPhie &amp; Rietdorf, 2021)"},"properties":{"noteIndex":0},"schema":"https://github.com/citation-style-language/schema/raw/master/csl-citation.json"}</w:instrText>
      </w:r>
      <w:r w:rsidR="0011416A" w:rsidRPr="5937A937">
        <w:rPr>
          <w:rFonts w:asciiTheme="majorHAnsi" w:hAnsiTheme="majorHAnsi" w:cstheme="majorBidi"/>
          <w:color w:val="auto"/>
          <w:sz w:val="22"/>
          <w:szCs w:val="22"/>
          <w:lang w:val="en-GB"/>
        </w:rPr>
        <w:fldChar w:fldCharType="separate"/>
      </w:r>
      <w:r w:rsidRPr="5937A937">
        <w:rPr>
          <w:rFonts w:asciiTheme="majorHAnsi" w:hAnsiTheme="majorHAnsi" w:cstheme="majorBidi"/>
          <w:noProof/>
          <w:color w:val="auto"/>
          <w:sz w:val="22"/>
          <w:szCs w:val="22"/>
          <w:lang w:val="en-GB"/>
        </w:rPr>
        <w:t>(McPhie &amp; Rietdorf, 2021)</w:t>
      </w:r>
      <w:r w:rsidR="0011416A" w:rsidRPr="5937A937">
        <w:rPr>
          <w:rFonts w:asciiTheme="majorHAnsi" w:hAnsiTheme="majorHAnsi" w:cstheme="majorBidi"/>
          <w:color w:val="auto"/>
          <w:sz w:val="22"/>
          <w:szCs w:val="22"/>
          <w:lang w:val="en-GB"/>
        </w:rPr>
        <w:fldChar w:fldCharType="end"/>
      </w:r>
      <w:r w:rsidRPr="5937A937">
        <w:rPr>
          <w:rFonts w:asciiTheme="majorHAnsi" w:hAnsiTheme="majorHAnsi" w:cstheme="majorBidi"/>
          <w:color w:val="auto"/>
          <w:sz w:val="22"/>
          <w:szCs w:val="22"/>
          <w:lang w:val="en-GB"/>
        </w:rPr>
        <w:t xml:space="preserve">. </w:t>
      </w:r>
    </w:p>
    <w:p w14:paraId="24297E4E" w14:textId="69F80291" w:rsidR="00DC3405" w:rsidRDefault="1FDFEFED" w:rsidP="5937A937">
      <w:pPr>
        <w:spacing w:after="120" w:line="360" w:lineRule="auto"/>
        <w:ind w:firstLine="540"/>
        <w:rPr>
          <w:rFonts w:asciiTheme="majorHAnsi" w:hAnsiTheme="majorHAnsi" w:cstheme="majorBidi"/>
          <w:color w:val="auto"/>
          <w:sz w:val="22"/>
          <w:szCs w:val="22"/>
          <w:lang w:val="en-GB"/>
        </w:rPr>
      </w:pPr>
      <w:r w:rsidRPr="5937A937">
        <w:rPr>
          <w:rFonts w:asciiTheme="majorHAnsi" w:hAnsiTheme="majorHAnsi" w:cstheme="majorBidi"/>
          <w:color w:val="auto"/>
          <w:sz w:val="22"/>
          <w:szCs w:val="22"/>
          <w:lang w:val="en-GB"/>
        </w:rPr>
        <w:t>P</w:t>
      </w:r>
      <w:r w:rsidR="2FBC2321" w:rsidRPr="5937A937">
        <w:rPr>
          <w:rFonts w:asciiTheme="majorHAnsi" w:hAnsiTheme="majorHAnsi" w:cstheme="majorBidi"/>
          <w:color w:val="auto"/>
          <w:sz w:val="22"/>
          <w:szCs w:val="22"/>
          <w:lang w:val="en-GB"/>
        </w:rPr>
        <w:t xml:space="preserve">roposals </w:t>
      </w:r>
      <w:r w:rsidR="30963F7C" w:rsidRPr="5937A937">
        <w:rPr>
          <w:rFonts w:asciiTheme="majorHAnsi" w:hAnsiTheme="majorHAnsi" w:cstheme="majorBidi"/>
          <w:color w:val="auto"/>
          <w:sz w:val="22"/>
          <w:szCs w:val="22"/>
          <w:lang w:val="en-GB"/>
        </w:rPr>
        <w:t xml:space="preserve">from the aviation </w:t>
      </w:r>
      <w:r w:rsidR="2FBC2321" w:rsidRPr="5937A937">
        <w:rPr>
          <w:rFonts w:asciiTheme="majorHAnsi" w:hAnsiTheme="majorHAnsi" w:cstheme="majorBidi"/>
          <w:color w:val="auto"/>
          <w:sz w:val="22"/>
          <w:szCs w:val="22"/>
          <w:lang w:val="en-GB"/>
        </w:rPr>
        <w:t>m</w:t>
      </w:r>
      <w:r w:rsidR="44048467" w:rsidRPr="5937A937">
        <w:rPr>
          <w:rFonts w:asciiTheme="majorHAnsi" w:hAnsiTheme="majorHAnsi" w:cstheme="majorBidi"/>
          <w:color w:val="auto"/>
          <w:sz w:val="22"/>
          <w:szCs w:val="22"/>
          <w:lang w:val="en-GB"/>
        </w:rPr>
        <w:t>ight</w:t>
      </w:r>
      <w:r w:rsidR="2FBC2321" w:rsidRPr="5937A937">
        <w:rPr>
          <w:rFonts w:asciiTheme="majorHAnsi" w:hAnsiTheme="majorHAnsi" w:cstheme="majorBidi"/>
          <w:color w:val="auto"/>
          <w:sz w:val="22"/>
          <w:szCs w:val="22"/>
          <w:lang w:val="en-GB"/>
        </w:rPr>
        <w:t xml:space="preserve"> impact the shipping sector</w:t>
      </w:r>
      <w:r w:rsidR="1CEB8464" w:rsidRPr="5937A937">
        <w:rPr>
          <w:rFonts w:asciiTheme="majorHAnsi" w:hAnsiTheme="majorHAnsi" w:cstheme="majorBidi"/>
          <w:color w:val="auto"/>
          <w:sz w:val="22"/>
          <w:szCs w:val="22"/>
          <w:lang w:val="en-GB"/>
        </w:rPr>
        <w:t xml:space="preserve">, </w:t>
      </w:r>
      <w:r w:rsidR="2FBC2321" w:rsidRPr="5937A937">
        <w:rPr>
          <w:rFonts w:asciiTheme="majorHAnsi" w:hAnsiTheme="majorHAnsi" w:cstheme="majorBidi"/>
          <w:color w:val="auto"/>
          <w:sz w:val="22"/>
          <w:szCs w:val="22"/>
          <w:lang w:val="en-GB"/>
        </w:rPr>
        <w:t>especially feedstocks</w:t>
      </w:r>
      <w:r w:rsidR="4C883130" w:rsidRPr="5937A937">
        <w:rPr>
          <w:rFonts w:asciiTheme="majorHAnsi" w:hAnsiTheme="majorHAnsi" w:cstheme="majorBidi"/>
          <w:color w:val="auto"/>
          <w:sz w:val="22"/>
          <w:szCs w:val="22"/>
          <w:lang w:val="en-GB"/>
        </w:rPr>
        <w:t xml:space="preserve"> availability due to competitive use for fuel production</w:t>
      </w:r>
      <w:r w:rsidR="10DCD163" w:rsidRPr="5937A937">
        <w:rPr>
          <w:rFonts w:asciiTheme="majorHAnsi" w:hAnsiTheme="majorHAnsi" w:cstheme="majorBidi"/>
          <w:color w:val="auto"/>
          <w:sz w:val="22"/>
          <w:szCs w:val="22"/>
          <w:lang w:val="en-GB"/>
        </w:rPr>
        <w:t>. Examples of such proposals are</w:t>
      </w:r>
      <w:r w:rsidR="2FBC2321" w:rsidRPr="5937A937">
        <w:rPr>
          <w:rFonts w:asciiTheme="majorHAnsi" w:hAnsiTheme="majorHAnsi" w:cstheme="majorBidi"/>
          <w:color w:val="auto"/>
          <w:sz w:val="22"/>
          <w:szCs w:val="22"/>
          <w:lang w:val="en-GB"/>
        </w:rPr>
        <w:t xml:space="preserve"> ETS for </w:t>
      </w:r>
      <w:r w:rsidR="1237965F" w:rsidRPr="5937A937">
        <w:rPr>
          <w:rFonts w:asciiTheme="majorHAnsi" w:hAnsiTheme="majorHAnsi" w:cstheme="majorBidi"/>
          <w:color w:val="auto"/>
          <w:sz w:val="22"/>
          <w:szCs w:val="22"/>
          <w:lang w:val="en-GB"/>
        </w:rPr>
        <w:t>aviation, ETD</w:t>
      </w:r>
      <w:r w:rsidR="2FBC2321" w:rsidRPr="5937A937">
        <w:rPr>
          <w:rFonts w:asciiTheme="majorHAnsi" w:hAnsiTheme="majorHAnsi" w:cstheme="majorBidi"/>
          <w:color w:val="auto"/>
          <w:sz w:val="22"/>
          <w:szCs w:val="22"/>
          <w:lang w:val="en-GB"/>
        </w:rPr>
        <w:t xml:space="preserve"> tax rates for aviation and ReFuelEU Aviation</w:t>
      </w:r>
      <w:r w:rsidR="00D413C0">
        <w:rPr>
          <w:rFonts w:asciiTheme="majorHAnsi" w:hAnsiTheme="majorHAnsi" w:cstheme="majorBidi"/>
          <w:color w:val="auto"/>
          <w:sz w:val="22"/>
          <w:szCs w:val="22"/>
          <w:lang w:val="en-GB"/>
        </w:rPr>
        <w:t xml:space="preserve"> </w:t>
      </w:r>
      <w:r w:rsidR="2FBC2321" w:rsidRPr="5937A937">
        <w:rPr>
          <w:rFonts w:asciiTheme="majorHAnsi" w:hAnsiTheme="majorHAnsi" w:cstheme="majorBidi"/>
          <w:color w:val="auto"/>
          <w:sz w:val="22"/>
          <w:szCs w:val="22"/>
          <w:lang w:val="en-GB"/>
        </w:rPr>
        <w:t xml:space="preserve"> (European Co</w:t>
      </w:r>
      <w:r w:rsidR="0068583B">
        <w:rPr>
          <w:rFonts w:asciiTheme="majorHAnsi" w:hAnsiTheme="majorHAnsi" w:cstheme="majorBidi"/>
          <w:color w:val="auto"/>
          <w:sz w:val="22"/>
          <w:szCs w:val="22"/>
          <w:lang w:val="en-GB"/>
        </w:rPr>
        <w:t>m</w:t>
      </w:r>
      <w:r w:rsidR="2FBC2321" w:rsidRPr="5937A937">
        <w:rPr>
          <w:rFonts w:asciiTheme="majorHAnsi" w:hAnsiTheme="majorHAnsi" w:cstheme="majorBidi"/>
          <w:color w:val="auto"/>
          <w:sz w:val="22"/>
          <w:szCs w:val="22"/>
          <w:lang w:val="en-GB"/>
        </w:rPr>
        <w:t>mission, 2021; European Commission, 2021)</w:t>
      </w:r>
    </w:p>
    <w:p w14:paraId="6A875E53" w14:textId="77777777" w:rsidR="00DC3405" w:rsidRDefault="00DC3405">
      <w:pPr>
        <w:spacing w:after="160" w:line="259" w:lineRule="auto"/>
        <w:jc w:val="left"/>
        <w:rPr>
          <w:rFonts w:asciiTheme="majorHAnsi" w:hAnsiTheme="majorHAnsi" w:cstheme="majorBidi"/>
          <w:color w:val="auto"/>
          <w:sz w:val="22"/>
          <w:szCs w:val="22"/>
          <w:lang w:val="en-GB"/>
        </w:rPr>
      </w:pPr>
      <w:r>
        <w:rPr>
          <w:rFonts w:asciiTheme="majorHAnsi" w:hAnsiTheme="majorHAnsi" w:cstheme="majorBidi"/>
          <w:color w:val="auto"/>
          <w:sz w:val="22"/>
          <w:szCs w:val="22"/>
          <w:lang w:val="en-GB"/>
        </w:rPr>
        <w:br w:type="page"/>
      </w:r>
    </w:p>
    <w:p w14:paraId="66D9372A" w14:textId="239E219D" w:rsidR="00017D36" w:rsidRPr="0045629F" w:rsidRDefault="728E5A26" w:rsidP="00DC3405">
      <w:pPr>
        <w:pStyle w:val="Heading1"/>
      </w:pPr>
      <w:bookmarkStart w:id="18" w:name="_Toc85627862"/>
      <w:r>
        <w:lastRenderedPageBreak/>
        <w:t>Fuels</w:t>
      </w:r>
      <w:r w:rsidR="0034319B">
        <w:t xml:space="preserve"> in the </w:t>
      </w:r>
      <w:r w:rsidR="007E58F0">
        <w:t>Shipping sector</w:t>
      </w:r>
      <w:bookmarkEnd w:id="18"/>
    </w:p>
    <w:p w14:paraId="3340F79F" w14:textId="67083905" w:rsidR="59587566" w:rsidRDefault="59587566" w:rsidP="59587566">
      <w:pPr>
        <w:rPr>
          <w:szCs w:val="21"/>
        </w:rPr>
      </w:pPr>
    </w:p>
    <w:p w14:paraId="34976043" w14:textId="77777777" w:rsidR="0011532E" w:rsidRDefault="0011532E" w:rsidP="002433E0">
      <w:pPr>
        <w:spacing w:after="120" w:line="360" w:lineRule="auto"/>
        <w:ind w:left="302" w:firstLine="418"/>
        <w:rPr>
          <w:rFonts w:asciiTheme="majorHAnsi" w:hAnsiTheme="majorHAnsi" w:cstheme="majorHAnsi"/>
          <w:color w:val="auto"/>
          <w:sz w:val="22"/>
          <w:szCs w:val="22"/>
          <w:lang w:val="en-GB"/>
        </w:rPr>
      </w:pPr>
      <w:r w:rsidRPr="002433E0">
        <w:rPr>
          <w:rFonts w:asciiTheme="majorHAnsi" w:hAnsiTheme="majorHAnsi" w:cstheme="majorHAnsi"/>
          <w:color w:val="auto"/>
          <w:sz w:val="22"/>
          <w:szCs w:val="22"/>
          <w:lang w:val="en-GB"/>
        </w:rPr>
        <w:t>In addition to the legal arguments, already discussed in the previous section, the promising evolution of alternative fuels coping with marine necessities will also influence the future market size.</w:t>
      </w:r>
      <w:r>
        <w:rPr>
          <w:rFonts w:asciiTheme="majorHAnsi" w:hAnsiTheme="majorHAnsi" w:cstheme="majorHAnsi"/>
          <w:color w:val="auto"/>
          <w:sz w:val="22"/>
          <w:szCs w:val="22"/>
          <w:lang w:val="en-GB"/>
        </w:rPr>
        <w:t xml:space="preserve"> </w:t>
      </w:r>
    </w:p>
    <w:p w14:paraId="52006577" w14:textId="362AAF4A" w:rsidR="00260E94" w:rsidRDefault="2F189532" w:rsidP="5937A937">
      <w:pPr>
        <w:spacing w:after="120" w:line="360" w:lineRule="auto"/>
        <w:ind w:left="302" w:firstLine="418"/>
        <w:rPr>
          <w:rFonts w:asciiTheme="majorHAnsi" w:hAnsiTheme="majorHAnsi" w:cstheme="majorBidi"/>
          <w:color w:val="auto"/>
          <w:sz w:val="22"/>
          <w:szCs w:val="22"/>
          <w:lang w:val="en-GB"/>
        </w:rPr>
      </w:pPr>
      <w:r w:rsidRPr="5937A937">
        <w:rPr>
          <w:rFonts w:asciiTheme="majorHAnsi" w:hAnsiTheme="majorHAnsi" w:cstheme="majorBidi"/>
          <w:color w:val="auto"/>
          <w:sz w:val="22"/>
          <w:szCs w:val="22"/>
          <w:lang w:val="en-GB"/>
        </w:rPr>
        <w:t>H</w:t>
      </w:r>
      <w:r w:rsidR="353DB55A" w:rsidRPr="5937A937">
        <w:rPr>
          <w:rFonts w:asciiTheme="majorHAnsi" w:hAnsiTheme="majorHAnsi" w:cstheme="majorBidi"/>
          <w:color w:val="auto"/>
          <w:sz w:val="22"/>
          <w:szCs w:val="22"/>
          <w:lang w:val="en-GB"/>
        </w:rPr>
        <w:t xml:space="preserve">eavy fuel oil (HFO) accounts for the </w:t>
      </w:r>
      <w:r w:rsidR="002C591F">
        <w:rPr>
          <w:rFonts w:asciiTheme="majorHAnsi" w:hAnsiTheme="majorHAnsi" w:cstheme="majorBidi"/>
          <w:color w:val="auto"/>
          <w:sz w:val="22"/>
          <w:szCs w:val="22"/>
          <w:lang w:val="en-GB"/>
        </w:rPr>
        <w:t>major</w:t>
      </w:r>
      <w:r w:rsidR="353DB55A" w:rsidRPr="5937A937">
        <w:rPr>
          <w:rFonts w:asciiTheme="majorHAnsi" w:hAnsiTheme="majorHAnsi" w:cstheme="majorBidi"/>
          <w:color w:val="auto"/>
          <w:sz w:val="22"/>
          <w:szCs w:val="22"/>
          <w:lang w:val="en-GB"/>
        </w:rPr>
        <w:t xml:space="preserve"> share of marine bunkering</w:t>
      </w:r>
      <w:r w:rsidR="5E69806A" w:rsidRPr="5937A937">
        <w:rPr>
          <w:rFonts w:asciiTheme="majorHAnsi" w:hAnsiTheme="majorHAnsi" w:cstheme="majorBidi"/>
          <w:color w:val="auto"/>
          <w:sz w:val="22"/>
          <w:szCs w:val="22"/>
          <w:lang w:val="en-GB"/>
        </w:rPr>
        <w:t xml:space="preserve"> fuels</w:t>
      </w:r>
      <w:r w:rsidR="007152E6" w:rsidRPr="5937A937">
        <w:rPr>
          <w:rFonts w:asciiTheme="majorHAnsi" w:hAnsiTheme="majorHAnsi" w:cstheme="majorBidi"/>
          <w:color w:val="auto"/>
          <w:sz w:val="22"/>
          <w:szCs w:val="22"/>
          <w:lang w:val="en-GB"/>
        </w:rPr>
        <w:t>. Figure 2 depicts the volume of bunker sales from the Port of Rotterdam</w:t>
      </w:r>
      <w:r w:rsidR="002C591F">
        <w:rPr>
          <w:rFonts w:asciiTheme="majorHAnsi" w:hAnsiTheme="majorHAnsi" w:cstheme="majorBidi"/>
          <w:color w:val="auto"/>
          <w:sz w:val="22"/>
          <w:szCs w:val="22"/>
          <w:lang w:val="en-GB"/>
        </w:rPr>
        <w:t xml:space="preserve">. Although </w:t>
      </w:r>
      <w:r w:rsidR="007152E6">
        <w:rPr>
          <w:rFonts w:asciiTheme="majorHAnsi" w:hAnsiTheme="majorHAnsi" w:cstheme="majorBidi"/>
          <w:color w:val="auto"/>
          <w:sz w:val="22"/>
          <w:szCs w:val="22"/>
          <w:lang w:val="en-GB"/>
        </w:rPr>
        <w:t xml:space="preserve">HFO </w:t>
      </w:r>
      <w:r w:rsidR="002C591F">
        <w:rPr>
          <w:rFonts w:asciiTheme="majorHAnsi" w:hAnsiTheme="majorHAnsi" w:cstheme="majorBidi"/>
          <w:color w:val="auto"/>
          <w:sz w:val="22"/>
          <w:szCs w:val="22"/>
          <w:lang w:val="en-GB"/>
        </w:rPr>
        <w:t>represents the higher share of sales, it is expected a</w:t>
      </w:r>
      <w:r w:rsidR="5570C20D" w:rsidRPr="5937A937">
        <w:rPr>
          <w:rFonts w:asciiTheme="majorHAnsi" w:hAnsiTheme="majorHAnsi" w:cstheme="majorBidi"/>
          <w:color w:val="auto"/>
          <w:sz w:val="22"/>
          <w:szCs w:val="22"/>
          <w:lang w:val="en-GB"/>
        </w:rPr>
        <w:t xml:space="preserve"> gradual </w:t>
      </w:r>
      <w:r w:rsidR="002C591F">
        <w:rPr>
          <w:rFonts w:asciiTheme="majorHAnsi" w:hAnsiTheme="majorHAnsi" w:cstheme="majorBidi"/>
          <w:color w:val="auto"/>
          <w:sz w:val="22"/>
          <w:szCs w:val="22"/>
          <w:lang w:val="en-GB"/>
        </w:rPr>
        <w:t>reduction of HFO participation in</w:t>
      </w:r>
      <w:r w:rsidR="5E69806A" w:rsidRPr="5937A937">
        <w:rPr>
          <w:rFonts w:asciiTheme="majorHAnsi" w:hAnsiTheme="majorHAnsi" w:cstheme="majorBidi"/>
          <w:color w:val="auto"/>
          <w:sz w:val="22"/>
          <w:szCs w:val="22"/>
          <w:lang w:val="en-GB"/>
        </w:rPr>
        <w:t xml:space="preserve"> fuel bunkering</w:t>
      </w:r>
      <w:r w:rsidR="00260E94">
        <w:rPr>
          <w:rFonts w:asciiTheme="majorHAnsi" w:hAnsiTheme="majorHAnsi" w:cstheme="majorBidi"/>
          <w:color w:val="auto"/>
          <w:sz w:val="22"/>
          <w:szCs w:val="22"/>
          <w:lang w:val="en-GB"/>
        </w:rPr>
        <w:t xml:space="preserve"> </w:t>
      </w:r>
      <w:r w:rsidR="00260E94">
        <w:rPr>
          <w:rFonts w:asciiTheme="majorHAnsi" w:hAnsiTheme="majorHAnsi" w:cstheme="majorBidi"/>
          <w:color w:val="auto"/>
          <w:sz w:val="22"/>
          <w:szCs w:val="22"/>
          <w:lang w:val="en-GB"/>
        </w:rPr>
        <w:fldChar w:fldCharType="begin" w:fldLock="1"/>
      </w:r>
      <w:r w:rsidR="00643BE2">
        <w:rPr>
          <w:rFonts w:asciiTheme="majorHAnsi" w:hAnsiTheme="majorHAnsi" w:cstheme="majorBidi"/>
          <w:color w:val="auto"/>
          <w:sz w:val="22"/>
          <w:szCs w:val="22"/>
          <w:lang w:val="en-GB"/>
        </w:rPr>
        <w:instrText>ADDIN CSL_CITATION {"citationItems":[{"id":"ITEM-1","itemData":{"URL":"https://www.portofrotterdam.com/sites/default/files/2021-08/bunker-sales-2018-2021.pdf","accessed":{"date-parts":[["2021","9","10"]]},"author":[{"dropping-particle":"","family":"Port of Rotterdam","given":"","non-dropping-particle":"","parse-names":false,"suffix":""}],"id":"ITEM-1","issued":{"date-parts":[["2021"]]},"title":"Port of Rotterdam Bunker Sales","type":"webpage"},"uris":["http://www.mendeley.com/documents/?uuid=c6679f6a-9a45-495c-bee3-96e875ed63dd"]}],"mendeley":{"formattedCitation":"(Port of Rotterdam, 2021)","plainTextFormattedCitation":"(Port of Rotterdam, 2021)","previouslyFormattedCitation":"(Port of Rotterdam, 2021)"},"properties":{"noteIndex":0},"schema":"https://github.com/citation-style-language/schema/raw/master/csl-citation.json"}</w:instrText>
      </w:r>
      <w:r w:rsidR="00260E94">
        <w:rPr>
          <w:rFonts w:asciiTheme="majorHAnsi" w:hAnsiTheme="majorHAnsi" w:cstheme="majorBidi"/>
          <w:color w:val="auto"/>
          <w:sz w:val="22"/>
          <w:szCs w:val="22"/>
          <w:lang w:val="en-GB"/>
        </w:rPr>
        <w:fldChar w:fldCharType="separate"/>
      </w:r>
      <w:r w:rsidR="00260E94" w:rsidRPr="00260E94">
        <w:rPr>
          <w:rFonts w:asciiTheme="majorHAnsi" w:hAnsiTheme="majorHAnsi" w:cstheme="majorBidi"/>
          <w:noProof/>
          <w:color w:val="auto"/>
          <w:sz w:val="22"/>
          <w:szCs w:val="22"/>
          <w:lang w:val="en-GB"/>
        </w:rPr>
        <w:t>(Port of Rotterdam, 2021)</w:t>
      </w:r>
      <w:r w:rsidR="00260E94">
        <w:rPr>
          <w:rFonts w:asciiTheme="majorHAnsi" w:hAnsiTheme="majorHAnsi" w:cstheme="majorBidi"/>
          <w:color w:val="auto"/>
          <w:sz w:val="22"/>
          <w:szCs w:val="22"/>
          <w:lang w:val="en-GB"/>
        </w:rPr>
        <w:fldChar w:fldCharType="end"/>
      </w:r>
      <w:r w:rsidR="00260E94">
        <w:rPr>
          <w:rFonts w:asciiTheme="majorHAnsi" w:hAnsiTheme="majorHAnsi" w:cstheme="majorBidi"/>
          <w:color w:val="auto"/>
          <w:sz w:val="22"/>
          <w:szCs w:val="22"/>
          <w:lang w:val="en-GB"/>
        </w:rPr>
        <w:t>.</w:t>
      </w:r>
    </w:p>
    <w:p w14:paraId="221117D2" w14:textId="7EB07188" w:rsidR="00944A6A" w:rsidRPr="002433E0" w:rsidRDefault="39268EC6" w:rsidP="5937A937">
      <w:pPr>
        <w:spacing w:after="120" w:line="360" w:lineRule="auto"/>
        <w:ind w:left="302" w:firstLine="418"/>
        <w:rPr>
          <w:rFonts w:asciiTheme="majorHAnsi" w:hAnsiTheme="majorHAnsi" w:cstheme="majorBidi"/>
          <w:color w:val="auto"/>
          <w:sz w:val="22"/>
          <w:szCs w:val="22"/>
          <w:lang w:val="en-GB"/>
        </w:rPr>
      </w:pPr>
      <w:r w:rsidRPr="5937A937">
        <w:rPr>
          <w:rFonts w:asciiTheme="majorHAnsi" w:hAnsiTheme="majorHAnsi" w:cstheme="majorBidi"/>
          <w:color w:val="auto"/>
          <w:sz w:val="22"/>
          <w:szCs w:val="22"/>
          <w:lang w:val="en-GB"/>
        </w:rPr>
        <w:t xml:space="preserve"> </w:t>
      </w:r>
    </w:p>
    <w:p w14:paraId="1D7160E9" w14:textId="77777777" w:rsidR="00613CE3" w:rsidRDefault="2A2B9DA1" w:rsidP="5937A937">
      <w:pPr>
        <w:keepNext/>
        <w:spacing w:line="360" w:lineRule="auto"/>
        <w:ind w:firstLine="64"/>
        <w:jc w:val="center"/>
      </w:pPr>
      <w:r>
        <w:rPr>
          <w:noProof/>
        </w:rPr>
        <w:drawing>
          <wp:inline distT="0" distB="0" distL="0" distR="0" wp14:anchorId="224CB413" wp14:editId="6FFB5BB5">
            <wp:extent cx="4337913" cy="2186882"/>
            <wp:effectExtent l="0" t="0" r="0" b="444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7913" cy="2186882"/>
                    </a:xfrm>
                    <a:prstGeom prst="rect">
                      <a:avLst/>
                    </a:prstGeom>
                  </pic:spPr>
                </pic:pic>
              </a:graphicData>
            </a:graphic>
          </wp:inline>
        </w:drawing>
      </w:r>
    </w:p>
    <w:p w14:paraId="06901E49" w14:textId="0C4FFC5E" w:rsidR="00613CE3" w:rsidRDefault="00613CE3" w:rsidP="00613CE3">
      <w:pPr>
        <w:pStyle w:val="Caption"/>
        <w:jc w:val="center"/>
        <w:rPr>
          <w:rFonts w:ascii="Times New Roman" w:hAnsi="Times New Roman"/>
          <w:sz w:val="22"/>
        </w:rPr>
      </w:pPr>
      <w:bookmarkStart w:id="19" w:name="_Toc85627880"/>
      <w:r>
        <w:t xml:space="preserve">Figure </w:t>
      </w:r>
      <w:fldSimple w:instr=" SEQ Figure \* ARABIC ">
        <w:r w:rsidR="009C66F7">
          <w:rPr>
            <w:noProof/>
          </w:rPr>
          <w:t>2</w:t>
        </w:r>
      </w:fldSimple>
      <w:r>
        <w:t xml:space="preserve">. </w:t>
      </w:r>
      <w:r w:rsidRPr="00E56525">
        <w:t>Port</w:t>
      </w:r>
      <w:r w:rsidR="009275AC">
        <w:t xml:space="preserve"> of </w:t>
      </w:r>
      <w:r w:rsidR="009275AC" w:rsidRPr="00E56525">
        <w:t>Rotterdam</w:t>
      </w:r>
      <w:r w:rsidRPr="00E56525">
        <w:t xml:space="preserve"> Bunker Sales</w:t>
      </w:r>
      <w:r w:rsidR="005A7931">
        <w:t xml:space="preserve"> 2018-2021</w:t>
      </w:r>
      <w:r w:rsidR="00AB7E5D">
        <w:t xml:space="preserve"> (source:</w:t>
      </w:r>
      <w:r w:rsidR="00106F23">
        <w:t xml:space="preserve"> Port of Rotterdam</w:t>
      </w:r>
      <w:r w:rsidR="005A7931">
        <w:t>, 2021)</w:t>
      </w:r>
      <w:bookmarkEnd w:id="19"/>
    </w:p>
    <w:p w14:paraId="0B15CF30" w14:textId="0D801AC8" w:rsidR="00D8002E" w:rsidRPr="00EA5EF1" w:rsidRDefault="00096512" w:rsidP="00613CE3">
      <w:pPr>
        <w:spacing w:line="360" w:lineRule="auto"/>
        <w:ind w:left="296" w:firstLine="424"/>
        <w:rPr>
          <w:rFonts w:ascii="Times New Roman" w:hAnsi="Times New Roman"/>
          <w:sz w:val="22"/>
          <w:szCs w:val="22"/>
          <w:lang w:val="en-GB"/>
        </w:rPr>
      </w:pPr>
      <w:r w:rsidRPr="00EA5EF1">
        <w:rPr>
          <w:rFonts w:ascii="Times New Roman" w:hAnsi="Times New Roman"/>
          <w:sz w:val="22"/>
          <w:szCs w:val="22"/>
          <w:lang w:val="en-GB"/>
        </w:rPr>
        <w:t xml:space="preserve"> </w:t>
      </w:r>
    </w:p>
    <w:p w14:paraId="0317D426" w14:textId="1369960E" w:rsidR="00AF68FD" w:rsidRDefault="00ED7115" w:rsidP="009275AC">
      <w:pPr>
        <w:spacing w:after="120" w:line="360" w:lineRule="auto"/>
        <w:ind w:left="302" w:firstLine="418"/>
        <w:rPr>
          <w:rFonts w:asciiTheme="majorHAnsi" w:hAnsiTheme="majorHAnsi" w:cstheme="majorHAnsi"/>
          <w:sz w:val="22"/>
          <w:szCs w:val="22"/>
          <w:lang w:val="en-GB"/>
        </w:rPr>
      </w:pPr>
      <w:r>
        <w:rPr>
          <w:rFonts w:asciiTheme="majorHAnsi" w:hAnsiTheme="majorHAnsi" w:cstheme="majorHAnsi"/>
          <w:sz w:val="22"/>
          <w:szCs w:val="22"/>
          <w:lang w:val="en-GB"/>
        </w:rPr>
        <w:t>T</w:t>
      </w:r>
      <w:r w:rsidR="0003492A" w:rsidRPr="009275AC">
        <w:rPr>
          <w:rFonts w:asciiTheme="majorHAnsi" w:hAnsiTheme="majorHAnsi" w:cstheme="majorHAnsi"/>
          <w:sz w:val="22"/>
          <w:szCs w:val="22"/>
          <w:lang w:val="en-GB"/>
        </w:rPr>
        <w:t xml:space="preserve">he </w:t>
      </w:r>
      <w:r w:rsidR="00EC4E10" w:rsidRPr="009275AC">
        <w:rPr>
          <w:rFonts w:asciiTheme="majorHAnsi" w:hAnsiTheme="majorHAnsi" w:cstheme="majorHAnsi"/>
          <w:sz w:val="22"/>
          <w:szCs w:val="22"/>
          <w:lang w:val="en-GB"/>
        </w:rPr>
        <w:t xml:space="preserve">preference of a particular fuel will </w:t>
      </w:r>
      <w:r w:rsidR="006E0704" w:rsidRPr="009275AC">
        <w:rPr>
          <w:rFonts w:asciiTheme="majorHAnsi" w:hAnsiTheme="majorHAnsi" w:cstheme="majorHAnsi"/>
          <w:sz w:val="22"/>
          <w:szCs w:val="22"/>
          <w:lang w:val="en-GB"/>
        </w:rPr>
        <w:t>be influenced by three aspects, namely</w:t>
      </w:r>
      <w:r w:rsidR="001542BF" w:rsidRPr="009275AC">
        <w:rPr>
          <w:rFonts w:asciiTheme="majorHAnsi" w:hAnsiTheme="majorHAnsi" w:cstheme="majorHAnsi"/>
          <w:sz w:val="22"/>
          <w:szCs w:val="22"/>
          <w:lang w:val="en-GB"/>
        </w:rPr>
        <w:t>: i) fuel energy density; ii)</w:t>
      </w:r>
      <w:r w:rsidR="00D03016" w:rsidRPr="009275AC">
        <w:rPr>
          <w:rFonts w:asciiTheme="majorHAnsi" w:hAnsiTheme="majorHAnsi" w:cstheme="majorHAnsi"/>
          <w:sz w:val="22"/>
          <w:szCs w:val="22"/>
          <w:lang w:val="en-GB"/>
        </w:rPr>
        <w:t xml:space="preserve"> compatibility</w:t>
      </w:r>
      <w:r w:rsidR="0003492A" w:rsidRPr="009275AC">
        <w:rPr>
          <w:rFonts w:asciiTheme="majorHAnsi" w:hAnsiTheme="majorHAnsi" w:cstheme="majorHAnsi"/>
          <w:sz w:val="22"/>
          <w:szCs w:val="22"/>
          <w:lang w:val="en-GB"/>
        </w:rPr>
        <w:t xml:space="preserve"> </w:t>
      </w:r>
      <w:r w:rsidR="00D03016" w:rsidRPr="009275AC">
        <w:rPr>
          <w:rFonts w:asciiTheme="majorHAnsi" w:hAnsiTheme="majorHAnsi" w:cstheme="majorHAnsi"/>
          <w:sz w:val="22"/>
          <w:szCs w:val="22"/>
          <w:lang w:val="en-GB"/>
        </w:rPr>
        <w:t xml:space="preserve">with existing </w:t>
      </w:r>
      <w:r w:rsidR="00C24CC4" w:rsidRPr="009275AC">
        <w:rPr>
          <w:rFonts w:asciiTheme="majorHAnsi" w:hAnsiTheme="majorHAnsi" w:cstheme="majorHAnsi"/>
          <w:sz w:val="22"/>
          <w:szCs w:val="22"/>
          <w:lang w:val="en-GB"/>
        </w:rPr>
        <w:t>infrastructure</w:t>
      </w:r>
      <w:r w:rsidR="00D03016" w:rsidRPr="009275AC">
        <w:rPr>
          <w:rFonts w:asciiTheme="majorHAnsi" w:hAnsiTheme="majorHAnsi" w:cstheme="majorHAnsi"/>
          <w:sz w:val="22"/>
          <w:szCs w:val="22"/>
          <w:lang w:val="en-GB"/>
        </w:rPr>
        <w:t xml:space="preserve"> and properties; iii) </w:t>
      </w:r>
      <w:r w:rsidR="00BB55C7" w:rsidRPr="009275AC">
        <w:rPr>
          <w:rFonts w:asciiTheme="majorHAnsi" w:hAnsiTheme="majorHAnsi" w:cstheme="majorHAnsi"/>
          <w:sz w:val="22"/>
          <w:szCs w:val="22"/>
          <w:lang w:val="en-GB"/>
        </w:rPr>
        <w:t>external factors, e.g., price, availability,</w:t>
      </w:r>
      <w:r w:rsidR="00D153E6">
        <w:rPr>
          <w:rFonts w:asciiTheme="majorHAnsi" w:hAnsiTheme="majorHAnsi" w:cstheme="majorHAnsi"/>
          <w:sz w:val="22"/>
          <w:szCs w:val="22"/>
          <w:lang w:val="en-GB"/>
        </w:rPr>
        <w:t xml:space="preserve"> and</w:t>
      </w:r>
      <w:r w:rsidR="00BB55C7" w:rsidRPr="009275AC">
        <w:rPr>
          <w:rFonts w:asciiTheme="majorHAnsi" w:hAnsiTheme="majorHAnsi" w:cstheme="majorHAnsi"/>
          <w:sz w:val="22"/>
          <w:szCs w:val="22"/>
          <w:lang w:val="en-GB"/>
        </w:rPr>
        <w:t xml:space="preserve"> </w:t>
      </w:r>
      <w:r w:rsidR="00BD56BD" w:rsidRPr="009275AC">
        <w:rPr>
          <w:rFonts w:asciiTheme="majorHAnsi" w:hAnsiTheme="majorHAnsi" w:cstheme="majorHAnsi"/>
          <w:sz w:val="22"/>
          <w:szCs w:val="22"/>
          <w:lang w:val="en-GB"/>
        </w:rPr>
        <w:t>storage</w:t>
      </w:r>
      <w:r w:rsidR="00AF68FD" w:rsidRPr="009275AC">
        <w:rPr>
          <w:rFonts w:asciiTheme="majorHAnsi" w:hAnsiTheme="majorHAnsi" w:cstheme="majorHAnsi"/>
          <w:sz w:val="22"/>
          <w:szCs w:val="22"/>
          <w:lang w:val="en-GB"/>
        </w:rPr>
        <w:t>.</w:t>
      </w:r>
      <w:r w:rsidR="0068794A" w:rsidRPr="009275AC">
        <w:rPr>
          <w:rFonts w:asciiTheme="majorHAnsi" w:hAnsiTheme="majorHAnsi" w:cstheme="majorHAnsi"/>
          <w:sz w:val="22"/>
          <w:szCs w:val="22"/>
          <w:lang w:val="en-GB"/>
        </w:rPr>
        <w:t xml:space="preserve"> Figure</w:t>
      </w:r>
      <w:r w:rsidR="002D1131">
        <w:rPr>
          <w:rFonts w:asciiTheme="majorHAnsi" w:hAnsiTheme="majorHAnsi" w:cstheme="majorHAnsi"/>
          <w:sz w:val="22"/>
          <w:szCs w:val="22"/>
          <w:lang w:val="en-GB"/>
        </w:rPr>
        <w:t xml:space="preserve"> 3</w:t>
      </w:r>
      <w:r w:rsidR="0068794A" w:rsidRPr="009275AC">
        <w:rPr>
          <w:rFonts w:asciiTheme="majorHAnsi" w:hAnsiTheme="majorHAnsi" w:cstheme="majorHAnsi"/>
          <w:sz w:val="22"/>
          <w:szCs w:val="22"/>
          <w:lang w:val="en-GB"/>
        </w:rPr>
        <w:t xml:space="preserve"> depicts the energy density of </w:t>
      </w:r>
      <w:r w:rsidR="001B3050" w:rsidRPr="009275AC">
        <w:rPr>
          <w:rFonts w:asciiTheme="majorHAnsi" w:hAnsiTheme="majorHAnsi" w:cstheme="majorHAnsi"/>
          <w:sz w:val="22"/>
          <w:szCs w:val="22"/>
          <w:lang w:val="en-GB"/>
        </w:rPr>
        <w:t xml:space="preserve">different </w:t>
      </w:r>
      <w:r w:rsidR="008F1FE8" w:rsidRPr="009275AC">
        <w:rPr>
          <w:rFonts w:asciiTheme="majorHAnsi" w:hAnsiTheme="majorHAnsi" w:cstheme="majorHAnsi"/>
          <w:sz w:val="22"/>
          <w:szCs w:val="22"/>
          <w:lang w:val="en-GB"/>
        </w:rPr>
        <w:t xml:space="preserve">fuels for marine application, considering the tank weight </w:t>
      </w:r>
      <w:r w:rsidR="008903DA" w:rsidRPr="009275AC">
        <w:rPr>
          <w:rFonts w:asciiTheme="majorHAnsi" w:hAnsiTheme="majorHAnsi" w:cstheme="majorHAnsi"/>
          <w:sz w:val="22"/>
          <w:szCs w:val="22"/>
          <w:lang w:val="en-GB"/>
        </w:rPr>
        <w:t>needed</w:t>
      </w:r>
      <w:r w:rsidR="001B3050" w:rsidRPr="009275AC">
        <w:rPr>
          <w:rFonts w:asciiTheme="majorHAnsi" w:hAnsiTheme="majorHAnsi" w:cstheme="majorHAnsi"/>
          <w:sz w:val="22"/>
          <w:szCs w:val="22"/>
          <w:lang w:val="en-GB"/>
        </w:rPr>
        <w:t>.</w:t>
      </w:r>
      <w:r w:rsidR="006F3560">
        <w:rPr>
          <w:rFonts w:asciiTheme="majorHAnsi" w:hAnsiTheme="majorHAnsi" w:cstheme="majorHAnsi"/>
          <w:sz w:val="22"/>
          <w:szCs w:val="22"/>
          <w:lang w:val="en-GB"/>
        </w:rPr>
        <w:t xml:space="preserve"> </w:t>
      </w:r>
      <w:r w:rsidR="004B1348">
        <w:rPr>
          <w:rFonts w:asciiTheme="majorHAnsi" w:hAnsiTheme="majorHAnsi" w:cstheme="majorHAnsi"/>
          <w:sz w:val="22"/>
          <w:szCs w:val="22"/>
          <w:lang w:val="en-GB"/>
        </w:rPr>
        <w:t xml:space="preserve">High energy </w:t>
      </w:r>
      <w:r w:rsidR="001A05CB">
        <w:rPr>
          <w:rFonts w:asciiTheme="majorHAnsi" w:hAnsiTheme="majorHAnsi" w:cstheme="majorHAnsi"/>
          <w:sz w:val="22"/>
          <w:szCs w:val="22"/>
          <w:lang w:val="en-GB"/>
        </w:rPr>
        <w:t xml:space="preserve">density implies that the fuel requires less space, which </w:t>
      </w:r>
      <w:r w:rsidR="00B12768">
        <w:rPr>
          <w:rFonts w:asciiTheme="majorHAnsi" w:hAnsiTheme="majorHAnsi" w:cstheme="majorHAnsi"/>
          <w:sz w:val="22"/>
          <w:szCs w:val="22"/>
          <w:lang w:val="en-GB"/>
        </w:rPr>
        <w:t>allows better use of onboard space</w:t>
      </w:r>
      <w:r w:rsidR="004B5E01">
        <w:rPr>
          <w:rFonts w:asciiTheme="majorHAnsi" w:hAnsiTheme="majorHAnsi" w:cstheme="majorHAnsi"/>
          <w:sz w:val="22"/>
          <w:szCs w:val="22"/>
          <w:lang w:val="en-GB"/>
        </w:rPr>
        <w:t xml:space="preserve">. The energy density also determines </w:t>
      </w:r>
      <w:r w:rsidR="00ED3426">
        <w:rPr>
          <w:rFonts w:asciiTheme="majorHAnsi" w:hAnsiTheme="majorHAnsi" w:cstheme="majorHAnsi"/>
          <w:sz w:val="22"/>
          <w:szCs w:val="22"/>
          <w:lang w:val="en-GB"/>
        </w:rPr>
        <w:t xml:space="preserve">whether a fuel can be used in certain ship </w:t>
      </w:r>
      <w:r w:rsidR="00B6331F">
        <w:rPr>
          <w:rFonts w:asciiTheme="majorHAnsi" w:hAnsiTheme="majorHAnsi" w:cstheme="majorHAnsi"/>
          <w:sz w:val="22"/>
          <w:szCs w:val="22"/>
          <w:lang w:val="en-GB"/>
        </w:rPr>
        <w:t xml:space="preserve">and ship operation. As can be observed </w:t>
      </w:r>
      <w:r w:rsidR="00400C75">
        <w:rPr>
          <w:rFonts w:asciiTheme="majorHAnsi" w:hAnsiTheme="majorHAnsi" w:cstheme="majorHAnsi"/>
          <w:sz w:val="22"/>
          <w:szCs w:val="22"/>
          <w:lang w:val="en-GB"/>
        </w:rPr>
        <w:t xml:space="preserve">some </w:t>
      </w:r>
      <w:r w:rsidR="007A48C3">
        <w:rPr>
          <w:rFonts w:asciiTheme="majorHAnsi" w:hAnsiTheme="majorHAnsi" w:cstheme="majorHAnsi"/>
          <w:sz w:val="22"/>
          <w:szCs w:val="22"/>
          <w:lang w:val="en-GB"/>
        </w:rPr>
        <w:t xml:space="preserve">biofuels such as FAME, </w:t>
      </w:r>
      <w:r w:rsidR="00037058">
        <w:rPr>
          <w:rFonts w:asciiTheme="majorHAnsi" w:hAnsiTheme="majorHAnsi" w:cstheme="majorHAnsi"/>
          <w:sz w:val="22"/>
          <w:szCs w:val="22"/>
          <w:lang w:val="en-GB"/>
        </w:rPr>
        <w:t>have lower energy density</w:t>
      </w:r>
      <w:r w:rsidR="00BA21C3">
        <w:rPr>
          <w:rFonts w:asciiTheme="majorHAnsi" w:hAnsiTheme="majorHAnsi" w:cstheme="majorHAnsi"/>
          <w:sz w:val="22"/>
          <w:szCs w:val="22"/>
          <w:lang w:val="en-GB"/>
        </w:rPr>
        <w:t xml:space="preserve"> than HFO. </w:t>
      </w:r>
      <w:r w:rsidR="00C9297A">
        <w:rPr>
          <w:rFonts w:asciiTheme="majorHAnsi" w:hAnsiTheme="majorHAnsi" w:cstheme="majorHAnsi"/>
          <w:sz w:val="22"/>
          <w:szCs w:val="22"/>
          <w:lang w:val="en-GB"/>
        </w:rPr>
        <w:t xml:space="preserve">Moreover, fuels like Ammonia or Hydrogen </w:t>
      </w:r>
      <w:r w:rsidR="00C659F1">
        <w:rPr>
          <w:rFonts w:asciiTheme="majorHAnsi" w:hAnsiTheme="majorHAnsi" w:cstheme="majorHAnsi"/>
          <w:sz w:val="22"/>
          <w:szCs w:val="22"/>
          <w:lang w:val="en-GB"/>
        </w:rPr>
        <w:t xml:space="preserve">require special storage. The energy density </w:t>
      </w:r>
      <w:r w:rsidR="003226E3">
        <w:rPr>
          <w:rFonts w:asciiTheme="majorHAnsi" w:hAnsiTheme="majorHAnsi" w:cstheme="majorHAnsi"/>
          <w:sz w:val="22"/>
          <w:szCs w:val="22"/>
          <w:lang w:val="en-GB"/>
        </w:rPr>
        <w:t>and the storage system will</w:t>
      </w:r>
      <w:r w:rsidR="00400C75">
        <w:rPr>
          <w:rFonts w:asciiTheme="majorHAnsi" w:hAnsiTheme="majorHAnsi" w:cstheme="majorHAnsi"/>
          <w:sz w:val="22"/>
          <w:szCs w:val="22"/>
          <w:lang w:val="en-GB"/>
        </w:rPr>
        <w:t xml:space="preserve"> also</w:t>
      </w:r>
      <w:r w:rsidR="003226E3">
        <w:rPr>
          <w:rFonts w:asciiTheme="majorHAnsi" w:hAnsiTheme="majorHAnsi" w:cstheme="majorHAnsi"/>
          <w:sz w:val="22"/>
          <w:szCs w:val="22"/>
          <w:lang w:val="en-GB"/>
        </w:rPr>
        <w:t xml:space="preserve"> </w:t>
      </w:r>
      <w:r w:rsidR="00BA669D">
        <w:rPr>
          <w:rFonts w:asciiTheme="majorHAnsi" w:hAnsiTheme="majorHAnsi" w:cstheme="majorHAnsi"/>
          <w:sz w:val="22"/>
          <w:szCs w:val="22"/>
          <w:lang w:val="en-GB"/>
        </w:rPr>
        <w:t>impact</w:t>
      </w:r>
      <w:r w:rsidR="003226E3">
        <w:rPr>
          <w:rFonts w:asciiTheme="majorHAnsi" w:hAnsiTheme="majorHAnsi" w:cstheme="majorHAnsi"/>
          <w:sz w:val="22"/>
          <w:szCs w:val="22"/>
          <w:lang w:val="en-GB"/>
        </w:rPr>
        <w:t xml:space="preserve"> the bunker frequency</w:t>
      </w:r>
      <w:r w:rsidR="00BA669D">
        <w:rPr>
          <w:rFonts w:asciiTheme="majorHAnsi" w:hAnsiTheme="majorHAnsi" w:cstheme="majorHAnsi"/>
          <w:sz w:val="22"/>
          <w:szCs w:val="22"/>
          <w:lang w:val="en-GB"/>
        </w:rPr>
        <w:t xml:space="preserve"> </w:t>
      </w:r>
      <w:r w:rsidR="00E42C76">
        <w:rPr>
          <w:rFonts w:asciiTheme="majorHAnsi" w:hAnsiTheme="majorHAnsi" w:cstheme="majorHAnsi"/>
          <w:sz w:val="22"/>
          <w:szCs w:val="22"/>
          <w:lang w:val="en-GB"/>
        </w:rPr>
        <w:fldChar w:fldCharType="begin" w:fldLock="1"/>
      </w:r>
      <w:r w:rsidR="009A0677">
        <w:rPr>
          <w:rFonts w:asciiTheme="majorHAnsi" w:hAnsiTheme="majorHAnsi" w:cstheme="majorHAns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E42C76">
        <w:rPr>
          <w:rFonts w:asciiTheme="majorHAnsi" w:hAnsiTheme="majorHAnsi" w:cstheme="majorHAnsi"/>
          <w:sz w:val="22"/>
          <w:szCs w:val="22"/>
          <w:lang w:val="en-GB"/>
        </w:rPr>
        <w:fldChar w:fldCharType="separate"/>
      </w:r>
      <w:r w:rsidR="00E42C76" w:rsidRPr="00E42C76">
        <w:rPr>
          <w:rFonts w:asciiTheme="majorHAnsi" w:hAnsiTheme="majorHAnsi" w:cstheme="majorHAnsi"/>
          <w:noProof/>
          <w:sz w:val="22"/>
          <w:szCs w:val="22"/>
          <w:lang w:val="en-GB"/>
        </w:rPr>
        <w:t>(DNV GL, 2019)</w:t>
      </w:r>
      <w:r w:rsidR="00E42C76">
        <w:rPr>
          <w:rFonts w:asciiTheme="majorHAnsi" w:hAnsiTheme="majorHAnsi" w:cstheme="majorHAnsi"/>
          <w:sz w:val="22"/>
          <w:szCs w:val="22"/>
          <w:lang w:val="en-GB"/>
        </w:rPr>
        <w:fldChar w:fldCharType="end"/>
      </w:r>
      <w:r w:rsidR="00BA669D">
        <w:rPr>
          <w:rFonts w:asciiTheme="majorHAnsi" w:hAnsiTheme="majorHAnsi" w:cstheme="majorHAnsi"/>
          <w:sz w:val="22"/>
          <w:szCs w:val="22"/>
          <w:lang w:val="en-GB"/>
        </w:rPr>
        <w:t xml:space="preserve">. </w:t>
      </w:r>
    </w:p>
    <w:p w14:paraId="3B11A2A2" w14:textId="77777777" w:rsidR="00D153E6" w:rsidRDefault="31B4E4AC" w:rsidP="5937A937">
      <w:pPr>
        <w:keepNext/>
        <w:spacing w:after="120" w:line="360" w:lineRule="auto"/>
        <w:ind w:hanging="32"/>
        <w:jc w:val="center"/>
      </w:pPr>
      <w:r>
        <w:rPr>
          <w:noProof/>
        </w:rPr>
        <w:lastRenderedPageBreak/>
        <w:drawing>
          <wp:inline distT="0" distB="0" distL="0" distR="0" wp14:anchorId="527CA9F3" wp14:editId="2A26F396">
            <wp:extent cx="3269775" cy="2934032"/>
            <wp:effectExtent l="0" t="0" r="6985"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4644" cy="2938401"/>
                    </a:xfrm>
                    <a:prstGeom prst="rect">
                      <a:avLst/>
                    </a:prstGeom>
                  </pic:spPr>
                </pic:pic>
              </a:graphicData>
            </a:graphic>
          </wp:inline>
        </w:drawing>
      </w:r>
    </w:p>
    <w:p w14:paraId="5DE97639" w14:textId="7C239301" w:rsidR="00AF68FD" w:rsidRDefault="00D153E6" w:rsidP="002D1131">
      <w:pPr>
        <w:pStyle w:val="Caption"/>
        <w:jc w:val="center"/>
      </w:pPr>
      <w:bookmarkStart w:id="20" w:name="_Toc85627881"/>
      <w:r>
        <w:t xml:space="preserve">Figure </w:t>
      </w:r>
      <w:fldSimple w:instr=" SEQ Figure \* ARABIC ">
        <w:r w:rsidR="009C66F7">
          <w:rPr>
            <w:noProof/>
          </w:rPr>
          <w:t>3</w:t>
        </w:r>
      </w:fldSimple>
      <w:r>
        <w:t>. Energy density of several fuels considering tank weights and the low heating value</w:t>
      </w:r>
      <w:r w:rsidR="00820B51">
        <w:t xml:space="preserve"> </w:t>
      </w:r>
      <w:r>
        <w:t>(</w:t>
      </w:r>
      <w:r w:rsidR="00AB7E5D">
        <w:t>source</w:t>
      </w:r>
      <w:r>
        <w:t>: The Royal Society 2019)</w:t>
      </w:r>
      <w:r w:rsidR="002D1131">
        <w:t xml:space="preserve"> </w:t>
      </w:r>
      <w:r w:rsidR="00954A50">
        <w:t>*LNG value will be similar to LPG</w:t>
      </w:r>
      <w:bookmarkEnd w:id="20"/>
    </w:p>
    <w:p w14:paraId="27369B06" w14:textId="77777777" w:rsidR="00D8002E" w:rsidRDefault="00D8002E" w:rsidP="00607FA0">
      <w:pPr>
        <w:rPr>
          <w:lang w:val="en-GB"/>
        </w:rPr>
      </w:pPr>
    </w:p>
    <w:p w14:paraId="5F0D119F" w14:textId="58FF9F57" w:rsidR="00C44342" w:rsidRPr="00E24E04" w:rsidRDefault="008903DA" w:rsidP="5937A937">
      <w:pPr>
        <w:spacing w:after="120" w:line="360" w:lineRule="auto"/>
        <w:ind w:left="302" w:firstLine="418"/>
        <w:rPr>
          <w:rFonts w:asciiTheme="majorHAnsi" w:hAnsiTheme="majorHAnsi" w:cstheme="majorBidi"/>
          <w:sz w:val="22"/>
          <w:szCs w:val="22"/>
          <w:lang w:val="en-GB"/>
        </w:rPr>
      </w:pPr>
      <w:r w:rsidRPr="00D0363C">
        <w:rPr>
          <w:rFonts w:ascii="Times New Roman" w:hAnsi="Times New Roman"/>
          <w:sz w:val="22"/>
          <w:szCs w:val="22"/>
          <w:lang w:val="en-GB"/>
        </w:rPr>
        <w:tab/>
      </w:r>
      <w:r w:rsidR="00963F36" w:rsidRPr="00963F36">
        <w:rPr>
          <w:rFonts w:asciiTheme="majorHAnsi" w:hAnsiTheme="majorHAnsi" w:cstheme="majorBidi"/>
          <w:sz w:val="22"/>
          <w:szCs w:val="22"/>
          <w:lang w:val="en-GB"/>
        </w:rPr>
        <w:t>Although the current infrastructure is mostly designed for liquid fuels</w:t>
      </w:r>
      <w:r w:rsidR="0068583B">
        <w:rPr>
          <w:rFonts w:asciiTheme="majorHAnsi" w:hAnsiTheme="majorHAnsi" w:cstheme="majorBidi"/>
          <w:sz w:val="22"/>
          <w:szCs w:val="22"/>
          <w:lang w:val="en-GB"/>
        </w:rPr>
        <w:t xml:space="preserve"> (at ambient temperatures)</w:t>
      </w:r>
      <w:r w:rsidR="00963F36" w:rsidRPr="00963F36">
        <w:rPr>
          <w:rFonts w:asciiTheme="majorHAnsi" w:hAnsiTheme="majorHAnsi" w:cstheme="majorBidi"/>
          <w:sz w:val="22"/>
          <w:szCs w:val="22"/>
          <w:lang w:val="en-GB"/>
        </w:rPr>
        <w:t xml:space="preserve">, there </w:t>
      </w:r>
      <w:r w:rsidR="007F0A29">
        <w:rPr>
          <w:rFonts w:asciiTheme="majorHAnsi" w:hAnsiTheme="majorHAnsi" w:cstheme="majorBidi"/>
          <w:sz w:val="22"/>
          <w:szCs w:val="22"/>
          <w:lang w:val="en-GB"/>
        </w:rPr>
        <w:t>are</w:t>
      </w:r>
      <w:r w:rsidR="00963F36" w:rsidRPr="00963F36">
        <w:rPr>
          <w:rFonts w:asciiTheme="majorHAnsi" w:hAnsiTheme="majorHAnsi" w:cstheme="majorBidi"/>
          <w:sz w:val="22"/>
          <w:szCs w:val="22"/>
          <w:lang w:val="en-GB"/>
        </w:rPr>
        <w:t xml:space="preserve"> growing efforts towards gaseous</w:t>
      </w:r>
      <w:r w:rsidR="0068583B">
        <w:rPr>
          <w:rFonts w:asciiTheme="majorHAnsi" w:hAnsiTheme="majorHAnsi" w:cstheme="majorBidi"/>
          <w:sz w:val="22"/>
          <w:szCs w:val="22"/>
          <w:lang w:val="en-GB"/>
        </w:rPr>
        <w:t xml:space="preserve"> (compressed or cooled) </w:t>
      </w:r>
      <w:r w:rsidR="00963F36" w:rsidRPr="00963F36">
        <w:rPr>
          <w:rFonts w:asciiTheme="majorHAnsi" w:hAnsiTheme="majorHAnsi" w:cstheme="majorBidi"/>
          <w:sz w:val="22"/>
          <w:szCs w:val="22"/>
          <w:lang w:val="en-GB"/>
        </w:rPr>
        <w:t>alternatives</w:t>
      </w:r>
      <w:r w:rsidR="778312A9" w:rsidRPr="5937A937">
        <w:rPr>
          <w:rFonts w:asciiTheme="majorHAnsi" w:hAnsiTheme="majorHAnsi" w:cstheme="majorBidi"/>
          <w:sz w:val="22"/>
          <w:szCs w:val="22"/>
          <w:lang w:val="en-GB"/>
        </w:rPr>
        <w:t xml:space="preserve">. </w:t>
      </w:r>
      <w:r w:rsidR="7FAAAC99" w:rsidRPr="5937A937">
        <w:rPr>
          <w:rFonts w:asciiTheme="majorHAnsi" w:hAnsiTheme="majorHAnsi" w:cstheme="majorBidi"/>
          <w:sz w:val="22"/>
          <w:szCs w:val="22"/>
          <w:lang w:val="en-GB"/>
        </w:rPr>
        <w:t xml:space="preserve">Fuelling ships with gaseous alternatives has been considered a promising alternative </w:t>
      </w:r>
      <w:r w:rsidR="5C090E13" w:rsidRPr="5937A937">
        <w:rPr>
          <w:rFonts w:asciiTheme="majorHAnsi" w:hAnsiTheme="majorHAnsi" w:cstheme="majorBidi"/>
          <w:sz w:val="22"/>
          <w:szCs w:val="22"/>
          <w:lang w:val="en-GB"/>
        </w:rPr>
        <w:t xml:space="preserve">by some, since </w:t>
      </w:r>
      <w:r w:rsidR="13ED244C" w:rsidRPr="5937A937">
        <w:rPr>
          <w:rFonts w:asciiTheme="majorHAnsi" w:hAnsiTheme="majorHAnsi" w:cstheme="majorBidi"/>
          <w:sz w:val="22"/>
          <w:szCs w:val="22"/>
          <w:lang w:val="en-GB"/>
        </w:rPr>
        <w:t xml:space="preserve">fossil-based </w:t>
      </w:r>
      <w:r w:rsidR="4C763A96" w:rsidRPr="5937A937">
        <w:rPr>
          <w:rFonts w:asciiTheme="majorHAnsi" w:hAnsiTheme="majorHAnsi" w:cstheme="majorBidi"/>
          <w:sz w:val="22"/>
          <w:szCs w:val="22"/>
          <w:lang w:val="en-GB"/>
        </w:rPr>
        <w:t>Liquified Nat</w:t>
      </w:r>
      <w:r w:rsidR="77319B9E" w:rsidRPr="5937A937">
        <w:rPr>
          <w:rFonts w:asciiTheme="majorHAnsi" w:hAnsiTheme="majorHAnsi" w:cstheme="majorBidi"/>
          <w:sz w:val="22"/>
          <w:szCs w:val="22"/>
          <w:lang w:val="en-GB"/>
        </w:rPr>
        <w:t xml:space="preserve">ural Gas (LNG) </w:t>
      </w:r>
      <w:r w:rsidR="5C6A7C8B" w:rsidRPr="5937A937">
        <w:rPr>
          <w:rFonts w:asciiTheme="majorHAnsi" w:hAnsiTheme="majorHAnsi" w:cstheme="majorBidi"/>
          <w:sz w:val="22"/>
          <w:szCs w:val="22"/>
          <w:lang w:val="en-GB"/>
        </w:rPr>
        <w:t>c</w:t>
      </w:r>
      <w:r w:rsidR="349B4BF4" w:rsidRPr="5937A937">
        <w:rPr>
          <w:rFonts w:asciiTheme="majorHAnsi" w:hAnsiTheme="majorHAnsi" w:cstheme="majorBidi"/>
          <w:sz w:val="22"/>
          <w:szCs w:val="22"/>
          <w:lang w:val="en-GB"/>
        </w:rPr>
        <w:t xml:space="preserve">ould be a readily </w:t>
      </w:r>
      <w:r w:rsidR="5C6A7C8B" w:rsidRPr="5937A937">
        <w:rPr>
          <w:rFonts w:asciiTheme="majorHAnsi" w:hAnsiTheme="majorHAnsi" w:cstheme="majorBidi"/>
          <w:sz w:val="22"/>
          <w:szCs w:val="22"/>
          <w:lang w:val="en-GB"/>
        </w:rPr>
        <w:t xml:space="preserve">cleaner </w:t>
      </w:r>
      <w:r w:rsidR="24969FBB" w:rsidRPr="5937A937">
        <w:rPr>
          <w:rFonts w:asciiTheme="majorHAnsi" w:hAnsiTheme="majorHAnsi" w:cstheme="majorBidi"/>
          <w:sz w:val="22"/>
          <w:szCs w:val="22"/>
          <w:lang w:val="en-GB"/>
        </w:rPr>
        <w:t>option</w:t>
      </w:r>
      <w:r w:rsidR="5C6A7C8B" w:rsidRPr="5937A937">
        <w:rPr>
          <w:rFonts w:asciiTheme="majorHAnsi" w:hAnsiTheme="majorHAnsi" w:cstheme="majorBidi"/>
          <w:sz w:val="22"/>
          <w:szCs w:val="22"/>
          <w:lang w:val="en-GB"/>
        </w:rPr>
        <w:t>, in terms of C</w:t>
      </w:r>
      <w:r w:rsidR="55A32D96" w:rsidRPr="5937A937">
        <w:rPr>
          <w:rFonts w:asciiTheme="majorHAnsi" w:hAnsiTheme="majorHAnsi" w:cstheme="majorBidi"/>
          <w:sz w:val="22"/>
          <w:szCs w:val="22"/>
          <w:lang w:val="en-GB"/>
        </w:rPr>
        <w:t>Ox, SOx and NOx</w:t>
      </w:r>
      <w:r w:rsidR="4023F31B" w:rsidRPr="5937A937">
        <w:rPr>
          <w:rFonts w:asciiTheme="majorHAnsi" w:hAnsiTheme="majorHAnsi" w:cstheme="majorBidi"/>
          <w:sz w:val="22"/>
          <w:szCs w:val="22"/>
          <w:lang w:val="en-GB"/>
        </w:rPr>
        <w:t xml:space="preserve"> emissions in comparison</w:t>
      </w:r>
      <w:r w:rsidR="349B4BF4" w:rsidRPr="5937A937">
        <w:rPr>
          <w:rFonts w:asciiTheme="majorHAnsi" w:hAnsiTheme="majorHAnsi" w:cstheme="majorBidi"/>
          <w:sz w:val="22"/>
          <w:szCs w:val="22"/>
          <w:lang w:val="en-GB"/>
        </w:rPr>
        <w:t xml:space="preserve"> to liquid </w:t>
      </w:r>
      <w:r w:rsidR="4023F31B" w:rsidRPr="5937A937">
        <w:rPr>
          <w:rFonts w:asciiTheme="majorHAnsi" w:hAnsiTheme="majorHAnsi" w:cstheme="majorBidi"/>
          <w:sz w:val="22"/>
          <w:szCs w:val="22"/>
          <w:lang w:val="en-GB"/>
        </w:rPr>
        <w:t xml:space="preserve">fossil </w:t>
      </w:r>
      <w:r w:rsidR="349B4BF4" w:rsidRPr="5937A937">
        <w:rPr>
          <w:rFonts w:asciiTheme="majorHAnsi" w:hAnsiTheme="majorHAnsi" w:cstheme="majorBidi"/>
          <w:sz w:val="22"/>
          <w:szCs w:val="22"/>
          <w:lang w:val="en-GB"/>
        </w:rPr>
        <w:t>fuels</w:t>
      </w:r>
      <w:r w:rsidR="00492572">
        <w:rPr>
          <w:rFonts w:asciiTheme="majorHAnsi" w:hAnsiTheme="majorHAnsi" w:cstheme="majorBidi"/>
          <w:sz w:val="22"/>
          <w:szCs w:val="22"/>
          <w:lang w:val="en-GB"/>
        </w:rPr>
        <w:t xml:space="preserve">. </w:t>
      </w:r>
      <w:r w:rsidR="00CD4923">
        <w:rPr>
          <w:rFonts w:asciiTheme="majorHAnsi" w:hAnsiTheme="majorHAnsi" w:cstheme="majorBidi"/>
          <w:sz w:val="22"/>
          <w:szCs w:val="22"/>
          <w:lang w:val="en-GB"/>
        </w:rPr>
        <w:t xml:space="preserve">However, it has been observed </w:t>
      </w:r>
      <w:r w:rsidR="00BF51FF">
        <w:rPr>
          <w:rFonts w:asciiTheme="majorHAnsi" w:hAnsiTheme="majorHAnsi" w:cstheme="majorBidi"/>
          <w:sz w:val="22"/>
          <w:szCs w:val="22"/>
          <w:lang w:val="en-GB"/>
        </w:rPr>
        <w:t xml:space="preserve">that </w:t>
      </w:r>
      <w:r w:rsidR="002A6960">
        <w:rPr>
          <w:rFonts w:asciiTheme="majorHAnsi" w:hAnsiTheme="majorHAnsi" w:cstheme="majorBidi"/>
          <w:sz w:val="22"/>
          <w:szCs w:val="22"/>
          <w:lang w:val="en-GB"/>
        </w:rPr>
        <w:t xml:space="preserve">tuning the combustion engines for LNG and to reduce </w:t>
      </w:r>
      <w:r w:rsidR="002A6960" w:rsidRPr="5937A937">
        <w:rPr>
          <w:rFonts w:asciiTheme="majorHAnsi" w:hAnsiTheme="majorHAnsi" w:cstheme="majorBidi"/>
          <w:sz w:val="22"/>
          <w:szCs w:val="22"/>
          <w:lang w:val="en-GB"/>
        </w:rPr>
        <w:t>NOx emissions</w:t>
      </w:r>
      <w:r w:rsidR="002A6960">
        <w:rPr>
          <w:rFonts w:asciiTheme="majorHAnsi" w:hAnsiTheme="majorHAnsi" w:cstheme="majorBidi"/>
          <w:sz w:val="22"/>
          <w:szCs w:val="22"/>
          <w:lang w:val="en-GB"/>
        </w:rPr>
        <w:t xml:space="preserve"> </w:t>
      </w:r>
      <w:r w:rsidR="0068583B">
        <w:rPr>
          <w:rFonts w:asciiTheme="majorHAnsi" w:hAnsiTheme="majorHAnsi" w:cstheme="majorBidi"/>
          <w:sz w:val="22"/>
          <w:szCs w:val="22"/>
          <w:lang w:val="en-GB"/>
        </w:rPr>
        <w:t xml:space="preserve">could </w:t>
      </w:r>
      <w:r w:rsidR="002A6960">
        <w:rPr>
          <w:rFonts w:asciiTheme="majorHAnsi" w:hAnsiTheme="majorHAnsi" w:cstheme="majorBidi"/>
          <w:sz w:val="22"/>
          <w:szCs w:val="22"/>
          <w:lang w:val="en-GB"/>
        </w:rPr>
        <w:t xml:space="preserve">lead to </w:t>
      </w:r>
      <w:r w:rsidR="00172BB8">
        <w:rPr>
          <w:rFonts w:asciiTheme="majorHAnsi" w:hAnsiTheme="majorHAnsi" w:cstheme="majorBidi"/>
          <w:sz w:val="22"/>
          <w:szCs w:val="22"/>
          <w:lang w:val="en-GB"/>
        </w:rPr>
        <w:t>methane slip</w:t>
      </w:r>
      <w:r w:rsidR="00C84065">
        <w:rPr>
          <w:rFonts w:asciiTheme="majorHAnsi" w:hAnsiTheme="majorHAnsi" w:cstheme="majorBidi"/>
          <w:sz w:val="22"/>
          <w:szCs w:val="22"/>
          <w:lang w:val="en-GB"/>
        </w:rPr>
        <w:t>.</w:t>
      </w:r>
      <w:r w:rsidR="00BD56C6">
        <w:rPr>
          <w:rFonts w:asciiTheme="majorHAnsi" w:hAnsiTheme="majorHAnsi" w:cstheme="majorBidi"/>
          <w:sz w:val="22"/>
          <w:szCs w:val="22"/>
          <w:lang w:val="en-GB"/>
        </w:rPr>
        <w:t xml:space="preserve">  Me</w:t>
      </w:r>
      <w:r w:rsidR="000B2E7F">
        <w:rPr>
          <w:rFonts w:asciiTheme="majorHAnsi" w:hAnsiTheme="majorHAnsi" w:cstheme="majorBidi"/>
          <w:sz w:val="22"/>
          <w:szCs w:val="22"/>
          <w:lang w:val="en-GB"/>
        </w:rPr>
        <w:t xml:space="preserve">thane slip </w:t>
      </w:r>
      <w:r w:rsidR="007B5BF4">
        <w:rPr>
          <w:rFonts w:asciiTheme="majorHAnsi" w:hAnsiTheme="majorHAnsi" w:cstheme="majorBidi"/>
          <w:sz w:val="22"/>
          <w:szCs w:val="22"/>
          <w:lang w:val="en-GB"/>
        </w:rPr>
        <w:t xml:space="preserve">refers to the </w:t>
      </w:r>
      <w:r w:rsidR="00E45BE0">
        <w:rPr>
          <w:rFonts w:asciiTheme="majorHAnsi" w:hAnsiTheme="majorHAnsi" w:cstheme="majorBidi"/>
          <w:sz w:val="22"/>
          <w:szCs w:val="22"/>
          <w:lang w:val="en-GB"/>
        </w:rPr>
        <w:t>leakage of unburned methane</w:t>
      </w:r>
      <w:r w:rsidR="00EA2735">
        <w:rPr>
          <w:rFonts w:asciiTheme="majorHAnsi" w:hAnsiTheme="majorHAnsi" w:cstheme="majorBidi"/>
          <w:sz w:val="22"/>
          <w:szCs w:val="22"/>
          <w:lang w:val="en-GB"/>
        </w:rPr>
        <w:t xml:space="preserve"> due to incomplete combustion or fuel </w:t>
      </w:r>
      <w:r w:rsidR="005F6405">
        <w:rPr>
          <w:rFonts w:asciiTheme="majorHAnsi" w:hAnsiTheme="majorHAnsi" w:cstheme="majorBidi"/>
          <w:sz w:val="22"/>
          <w:szCs w:val="22"/>
          <w:lang w:val="en-GB"/>
        </w:rPr>
        <w:t>concealed</w:t>
      </w:r>
      <w:r w:rsidR="00EA2735">
        <w:rPr>
          <w:rFonts w:asciiTheme="majorHAnsi" w:hAnsiTheme="majorHAnsi" w:cstheme="majorBidi"/>
          <w:sz w:val="22"/>
          <w:szCs w:val="22"/>
          <w:lang w:val="en-GB"/>
        </w:rPr>
        <w:t xml:space="preserve"> </w:t>
      </w:r>
      <w:r w:rsidR="005F6405">
        <w:rPr>
          <w:rFonts w:asciiTheme="majorHAnsi" w:hAnsiTheme="majorHAnsi" w:cstheme="majorBidi"/>
          <w:sz w:val="22"/>
          <w:szCs w:val="22"/>
          <w:lang w:val="en-GB"/>
        </w:rPr>
        <w:t>in the crevices of the combustion chamber during compression</w:t>
      </w:r>
      <w:r w:rsidR="00C84065">
        <w:rPr>
          <w:rFonts w:asciiTheme="majorHAnsi" w:hAnsiTheme="majorHAnsi" w:cstheme="majorBidi"/>
          <w:sz w:val="22"/>
          <w:szCs w:val="22"/>
          <w:lang w:val="en-GB"/>
        </w:rPr>
        <w:t xml:space="preserve"> </w:t>
      </w:r>
      <w:r w:rsidR="00C84065">
        <w:rPr>
          <w:rFonts w:asciiTheme="majorHAnsi" w:hAnsiTheme="majorHAnsi" w:cstheme="majorBidi"/>
          <w:sz w:val="22"/>
          <w:szCs w:val="22"/>
          <w:lang w:val="en-GB"/>
        </w:rPr>
        <w:fldChar w:fldCharType="begin" w:fldLock="1"/>
      </w:r>
      <w:r w:rsidR="00C84065">
        <w:rPr>
          <w:rFonts w:asciiTheme="majorHAnsi" w:hAnsiTheme="majorHAnsi" w:cstheme="majorBidi"/>
          <w:sz w:val="22"/>
          <w:szCs w:val="22"/>
          <w:lang w:val="en-GB"/>
        </w:rPr>
        <w:instrText>ADDIN CSL_CITATION {"citationItems":[{"id":"ITEM-1","itemData":{"author":[{"dropping-particle":"","family":"Pavlenko","given":"Authors Nikita","non-dropping-particle":"","parse-names":false,"suffix":""},{"dropping-particle":"","family":"Comer","given":"Bryan","non-dropping-particle":"","parse-names":false,"suffix":""},{"dropping-particle":"","family":"Zhou","given":"Yuanrong","non-dropping-particle":"","parse-names":false,"suffix":""},{"dropping-particle":"","family":"Clark","given":"Nigel","non-dropping-particle":"","parse-names":false,"suffix":""},{"dropping-particle":"","family":"Rutherford","given":"Dan","non-dropping-particle":"","parse-names":false,"suffix":""}],"id":"ITEM-1","issue":"January","issued":{"date-parts":[["2020"]]},"title":"The climate implications of using LNG as a marine fuel","type":"article-journal"},"uris":["http://www.mendeley.com/documents/?uuid=4935b8aa-fbec-4a26-b961-f8001214862b"]}],"mendeley":{"formattedCitation":"(Pavlenko et al., 2020)","plainTextFormattedCitation":"(Pavlenko et al., 2020)","previouslyFormattedCitation":"(Pavlenko et al., 2020)"},"properties":{"noteIndex":0},"schema":"https://github.com/citation-style-language/schema/raw/master/csl-citation.json"}</w:instrText>
      </w:r>
      <w:r w:rsidR="00C84065">
        <w:rPr>
          <w:rFonts w:asciiTheme="majorHAnsi" w:hAnsiTheme="majorHAnsi" w:cstheme="majorBidi"/>
          <w:sz w:val="22"/>
          <w:szCs w:val="22"/>
          <w:lang w:val="en-GB"/>
        </w:rPr>
        <w:fldChar w:fldCharType="separate"/>
      </w:r>
      <w:r w:rsidR="00C84065" w:rsidRPr="000B2E7F">
        <w:rPr>
          <w:rFonts w:asciiTheme="majorHAnsi" w:hAnsiTheme="majorHAnsi" w:cstheme="majorBidi"/>
          <w:noProof/>
          <w:sz w:val="22"/>
          <w:szCs w:val="22"/>
          <w:lang w:val="en-GB"/>
        </w:rPr>
        <w:t>(Pavlenko et al., 2020)</w:t>
      </w:r>
      <w:r w:rsidR="00C84065">
        <w:rPr>
          <w:rFonts w:asciiTheme="majorHAnsi" w:hAnsiTheme="majorHAnsi" w:cstheme="majorBidi"/>
          <w:sz w:val="22"/>
          <w:szCs w:val="22"/>
          <w:lang w:val="en-GB"/>
        </w:rPr>
        <w:fldChar w:fldCharType="end"/>
      </w:r>
      <w:r w:rsidR="006F332D">
        <w:rPr>
          <w:rFonts w:asciiTheme="majorHAnsi" w:hAnsiTheme="majorHAnsi" w:cstheme="majorBidi"/>
          <w:sz w:val="22"/>
          <w:szCs w:val="22"/>
          <w:lang w:val="en-GB"/>
        </w:rPr>
        <w:t xml:space="preserve">; which </w:t>
      </w:r>
      <w:r w:rsidR="00EC6F11">
        <w:rPr>
          <w:rFonts w:asciiTheme="majorHAnsi" w:hAnsiTheme="majorHAnsi" w:cstheme="majorBidi"/>
          <w:sz w:val="22"/>
          <w:szCs w:val="22"/>
          <w:lang w:val="en-GB"/>
        </w:rPr>
        <w:t xml:space="preserve">reduces </w:t>
      </w:r>
      <w:r w:rsidR="00B82A19">
        <w:rPr>
          <w:rFonts w:asciiTheme="majorHAnsi" w:hAnsiTheme="majorHAnsi" w:cstheme="majorBidi"/>
          <w:sz w:val="22"/>
          <w:szCs w:val="22"/>
          <w:lang w:val="en-GB"/>
        </w:rPr>
        <w:t xml:space="preserve">its GHG emissions advantage </w:t>
      </w:r>
      <w:r w:rsidR="00A60342">
        <w:rPr>
          <w:rFonts w:asciiTheme="majorHAnsi" w:hAnsiTheme="majorHAnsi" w:cstheme="majorBidi"/>
          <w:sz w:val="22"/>
          <w:szCs w:val="22"/>
          <w:lang w:val="en-GB"/>
        </w:rPr>
        <w:t>a</w:t>
      </w:r>
      <w:r w:rsidR="00B82A19">
        <w:rPr>
          <w:rFonts w:asciiTheme="majorHAnsi" w:hAnsiTheme="majorHAnsi" w:cstheme="majorBidi"/>
          <w:sz w:val="22"/>
          <w:szCs w:val="22"/>
          <w:lang w:val="en-GB"/>
        </w:rPr>
        <w:t xml:space="preserve">s methane </w:t>
      </w:r>
      <w:r w:rsidR="007C7194">
        <w:rPr>
          <w:rFonts w:asciiTheme="majorHAnsi" w:hAnsiTheme="majorHAnsi" w:cstheme="majorBidi"/>
          <w:sz w:val="22"/>
          <w:szCs w:val="22"/>
          <w:lang w:val="en-GB"/>
        </w:rPr>
        <w:t xml:space="preserve">has a global </w:t>
      </w:r>
      <w:r w:rsidR="000C6BD3">
        <w:rPr>
          <w:rFonts w:asciiTheme="majorHAnsi" w:hAnsiTheme="majorHAnsi" w:cstheme="majorBidi"/>
          <w:sz w:val="22"/>
          <w:szCs w:val="22"/>
          <w:lang w:val="en-GB"/>
        </w:rPr>
        <w:t>warming</w:t>
      </w:r>
      <w:r w:rsidR="007C7194">
        <w:rPr>
          <w:rFonts w:asciiTheme="majorHAnsi" w:hAnsiTheme="majorHAnsi" w:cstheme="majorBidi"/>
          <w:sz w:val="22"/>
          <w:szCs w:val="22"/>
          <w:lang w:val="en-GB"/>
        </w:rPr>
        <w:t xml:space="preserve"> </w:t>
      </w:r>
      <w:r w:rsidR="000C6BD3">
        <w:rPr>
          <w:rFonts w:asciiTheme="majorHAnsi" w:hAnsiTheme="majorHAnsi" w:cstheme="majorBidi"/>
          <w:sz w:val="22"/>
          <w:szCs w:val="22"/>
          <w:lang w:val="en-GB"/>
        </w:rPr>
        <w:t>potential greater than CO</w:t>
      </w:r>
      <w:r w:rsidR="000C6BD3">
        <w:rPr>
          <w:rFonts w:asciiTheme="majorHAnsi" w:hAnsiTheme="majorHAnsi" w:cstheme="majorBidi"/>
          <w:sz w:val="22"/>
          <w:szCs w:val="22"/>
          <w:vertAlign w:val="subscript"/>
          <w:lang w:val="en-GB"/>
        </w:rPr>
        <w:t>2</w:t>
      </w:r>
      <w:r w:rsidR="00F87665">
        <w:rPr>
          <w:rFonts w:asciiTheme="majorHAnsi" w:hAnsiTheme="majorHAnsi" w:cstheme="majorBidi"/>
          <w:sz w:val="22"/>
          <w:szCs w:val="22"/>
          <w:vertAlign w:val="subscript"/>
          <w:lang w:val="en-GB"/>
        </w:rPr>
        <w:t xml:space="preserve"> </w:t>
      </w:r>
      <w:r w:rsidR="00F87665">
        <w:rPr>
          <w:rFonts w:asciiTheme="majorHAnsi" w:hAnsiTheme="majorHAnsi" w:cstheme="majorBidi"/>
          <w:sz w:val="22"/>
          <w:szCs w:val="22"/>
          <w:vertAlign w:val="subscript"/>
          <w:lang w:val="en-GB"/>
        </w:rPr>
        <w:fldChar w:fldCharType="begin" w:fldLock="1"/>
      </w:r>
      <w:r w:rsidR="00882970">
        <w:rPr>
          <w:rFonts w:asciiTheme="majorHAnsi" w:hAnsiTheme="majorHAnsi" w:cstheme="majorBidi"/>
          <w:sz w:val="22"/>
          <w:szCs w:val="22"/>
          <w:vertAlign w:val="subscript"/>
          <w:lang w:val="en-GB"/>
        </w:rPr>
        <w:instrText>ADDIN CSL_CITATION {"citationItems":[{"id":"ITEM-1","itemData":{"URL":"https://www.wartsila.com/insights/article/mind-the-methane-gap","accessed":{"date-parts":[["2021","9","23"]]},"author":[{"dropping-particle":"","family":"Houston","given":"Craig","non-dropping-particle":"","parse-names":false,"suffix":""}],"id":"ITEM-1","issued":{"date-parts":[["2020"]]},"title":"Mind the methane gap","type":"webpage"},"uris":["http://www.mendeley.com/documents/?uuid=57c0db94-eae4-49a9-8370-3e529e4c3687"]}],"mendeley":{"formattedCitation":"(Houston, 2020)","plainTextFormattedCitation":"(Houston, 2020)","previouslyFormattedCitation":"(Houston, 2020)"},"properties":{"noteIndex":0},"schema":"https://github.com/citation-style-language/schema/raw/master/csl-citation.json"}</w:instrText>
      </w:r>
      <w:r w:rsidR="00F87665">
        <w:rPr>
          <w:rFonts w:asciiTheme="majorHAnsi" w:hAnsiTheme="majorHAnsi" w:cstheme="majorBidi"/>
          <w:sz w:val="22"/>
          <w:szCs w:val="22"/>
          <w:vertAlign w:val="subscript"/>
          <w:lang w:val="en-GB"/>
        </w:rPr>
        <w:fldChar w:fldCharType="separate"/>
      </w:r>
      <w:r w:rsidR="00E546CC" w:rsidRPr="00E546CC">
        <w:rPr>
          <w:rFonts w:asciiTheme="majorHAnsi" w:hAnsiTheme="majorHAnsi" w:cstheme="majorBidi"/>
          <w:noProof/>
          <w:sz w:val="22"/>
          <w:szCs w:val="22"/>
          <w:lang w:val="en-GB"/>
        </w:rPr>
        <w:t>(Houston, 2020)</w:t>
      </w:r>
      <w:r w:rsidR="00F87665">
        <w:rPr>
          <w:rFonts w:asciiTheme="majorHAnsi" w:hAnsiTheme="majorHAnsi" w:cstheme="majorBidi"/>
          <w:sz w:val="22"/>
          <w:szCs w:val="22"/>
          <w:vertAlign w:val="subscript"/>
          <w:lang w:val="en-GB"/>
        </w:rPr>
        <w:fldChar w:fldCharType="end"/>
      </w:r>
      <w:r w:rsidR="73128FCE" w:rsidRPr="5937A937">
        <w:rPr>
          <w:rFonts w:asciiTheme="majorHAnsi" w:hAnsiTheme="majorHAnsi" w:cstheme="majorBidi"/>
          <w:sz w:val="22"/>
          <w:szCs w:val="22"/>
          <w:lang w:val="en-GB"/>
        </w:rPr>
        <w:t>.</w:t>
      </w:r>
      <w:r w:rsidR="3529BE3B" w:rsidRPr="5937A937">
        <w:rPr>
          <w:rFonts w:asciiTheme="majorHAnsi" w:hAnsiTheme="majorHAnsi" w:cstheme="majorBidi"/>
          <w:sz w:val="22"/>
          <w:szCs w:val="22"/>
          <w:lang w:val="en-GB"/>
        </w:rPr>
        <w:t xml:space="preserve"> </w:t>
      </w:r>
      <w:r w:rsidR="73128FCE" w:rsidRPr="5937A937">
        <w:rPr>
          <w:rFonts w:asciiTheme="majorHAnsi" w:hAnsiTheme="majorHAnsi" w:cstheme="majorBidi"/>
          <w:sz w:val="22"/>
          <w:szCs w:val="22"/>
          <w:lang w:val="en-GB"/>
        </w:rPr>
        <w:t>A</w:t>
      </w:r>
      <w:r w:rsidR="3529BE3B" w:rsidRPr="5937A937">
        <w:rPr>
          <w:rFonts w:asciiTheme="majorHAnsi" w:hAnsiTheme="majorHAnsi" w:cstheme="majorBidi"/>
          <w:sz w:val="22"/>
          <w:szCs w:val="22"/>
          <w:lang w:val="en-GB"/>
        </w:rPr>
        <w:t xml:space="preserve">t the same time that the infrastructure could be </w:t>
      </w:r>
      <w:r w:rsidR="7F511A16" w:rsidRPr="5937A937">
        <w:rPr>
          <w:rFonts w:asciiTheme="majorHAnsi" w:hAnsiTheme="majorHAnsi" w:cstheme="majorBidi"/>
          <w:sz w:val="22"/>
          <w:szCs w:val="22"/>
          <w:lang w:val="en-GB"/>
        </w:rPr>
        <w:t>used</w:t>
      </w:r>
      <w:r w:rsidR="3529BE3B" w:rsidRPr="5937A937">
        <w:rPr>
          <w:rFonts w:asciiTheme="majorHAnsi" w:hAnsiTheme="majorHAnsi" w:cstheme="majorBidi"/>
          <w:sz w:val="22"/>
          <w:szCs w:val="22"/>
          <w:lang w:val="en-GB"/>
        </w:rPr>
        <w:t xml:space="preserve"> for </w:t>
      </w:r>
      <w:r w:rsidR="333F9A93" w:rsidRPr="5937A937">
        <w:rPr>
          <w:rFonts w:asciiTheme="majorHAnsi" w:hAnsiTheme="majorHAnsi" w:cstheme="majorBidi"/>
          <w:sz w:val="22"/>
          <w:szCs w:val="22"/>
          <w:lang w:val="en-GB"/>
        </w:rPr>
        <w:t>improved</w:t>
      </w:r>
      <w:r w:rsidR="4023F31B" w:rsidRPr="5937A937">
        <w:rPr>
          <w:rFonts w:asciiTheme="majorHAnsi" w:hAnsiTheme="majorHAnsi" w:cstheme="majorBidi"/>
          <w:sz w:val="22"/>
          <w:szCs w:val="22"/>
          <w:lang w:val="en-GB"/>
        </w:rPr>
        <w:t xml:space="preserve"> technologies</w:t>
      </w:r>
      <w:r w:rsidR="7F511A16" w:rsidRPr="5937A937">
        <w:rPr>
          <w:rFonts w:asciiTheme="majorHAnsi" w:hAnsiTheme="majorHAnsi" w:cstheme="majorBidi"/>
          <w:sz w:val="22"/>
          <w:szCs w:val="22"/>
          <w:lang w:val="en-GB"/>
        </w:rPr>
        <w:t xml:space="preserve"> </w:t>
      </w:r>
      <w:r w:rsidR="729F0F96" w:rsidRPr="5937A937">
        <w:rPr>
          <w:rFonts w:asciiTheme="majorHAnsi" w:hAnsiTheme="majorHAnsi" w:cstheme="majorBidi"/>
          <w:sz w:val="22"/>
          <w:szCs w:val="22"/>
          <w:lang w:val="en-GB"/>
        </w:rPr>
        <w:t>aiming</w:t>
      </w:r>
      <w:r w:rsidR="7F511A16" w:rsidRPr="5937A937">
        <w:rPr>
          <w:rFonts w:asciiTheme="majorHAnsi" w:hAnsiTheme="majorHAnsi" w:cstheme="majorBidi"/>
          <w:sz w:val="22"/>
          <w:szCs w:val="22"/>
          <w:lang w:val="en-GB"/>
        </w:rPr>
        <w:t xml:space="preserve"> higher decarbonisation</w:t>
      </w:r>
      <w:r w:rsidR="729F0F96" w:rsidRPr="5937A937">
        <w:rPr>
          <w:rFonts w:asciiTheme="majorHAnsi" w:hAnsiTheme="majorHAnsi" w:cstheme="majorBidi"/>
          <w:sz w:val="22"/>
          <w:szCs w:val="22"/>
          <w:lang w:val="en-GB"/>
        </w:rPr>
        <w:t xml:space="preserve">, such </w:t>
      </w:r>
      <w:r w:rsidR="00D37B05">
        <w:rPr>
          <w:rFonts w:asciiTheme="majorHAnsi" w:hAnsiTheme="majorHAnsi" w:cstheme="majorBidi"/>
          <w:sz w:val="22"/>
          <w:szCs w:val="22"/>
          <w:lang w:val="en-GB"/>
        </w:rPr>
        <w:t>H</w:t>
      </w:r>
      <w:r w:rsidR="00574D49">
        <w:rPr>
          <w:rFonts w:asciiTheme="majorHAnsi" w:hAnsiTheme="majorHAnsi" w:cstheme="majorBidi"/>
          <w:sz w:val="22"/>
          <w:szCs w:val="22"/>
          <w:lang w:val="en-GB"/>
        </w:rPr>
        <w:t xml:space="preserve">ydrogen and </w:t>
      </w:r>
      <w:r w:rsidR="729F0F96" w:rsidRPr="5937A937">
        <w:rPr>
          <w:rFonts w:asciiTheme="majorHAnsi" w:hAnsiTheme="majorHAnsi" w:cstheme="majorBidi"/>
          <w:sz w:val="22"/>
          <w:szCs w:val="22"/>
          <w:lang w:val="en-GB"/>
        </w:rPr>
        <w:t>Ammonia</w:t>
      </w:r>
      <w:r w:rsidR="00574D49">
        <w:rPr>
          <w:rFonts w:asciiTheme="majorHAnsi" w:hAnsiTheme="majorHAnsi" w:cstheme="majorBidi"/>
          <w:sz w:val="22"/>
          <w:szCs w:val="22"/>
          <w:lang w:val="en-GB"/>
        </w:rPr>
        <w:t xml:space="preserve"> </w:t>
      </w:r>
      <w:r w:rsidR="00D37B05">
        <w:rPr>
          <w:rFonts w:asciiTheme="majorHAnsi" w:hAnsiTheme="majorHAnsi" w:cstheme="majorBidi"/>
          <w:sz w:val="22"/>
          <w:szCs w:val="22"/>
          <w:lang w:val="en-GB"/>
        </w:rPr>
        <w:t>(</w:t>
      </w:r>
      <w:r w:rsidR="00574D49">
        <w:rPr>
          <w:rFonts w:asciiTheme="majorHAnsi" w:hAnsiTheme="majorHAnsi" w:cstheme="majorBidi"/>
          <w:sz w:val="22"/>
          <w:szCs w:val="22"/>
          <w:lang w:val="en-GB"/>
        </w:rPr>
        <w:t>as alternative Hydrogen carrier</w:t>
      </w:r>
      <w:r w:rsidR="00D37B05">
        <w:rPr>
          <w:rFonts w:asciiTheme="majorHAnsi" w:hAnsiTheme="majorHAnsi" w:cstheme="majorBidi"/>
          <w:sz w:val="22"/>
          <w:szCs w:val="22"/>
          <w:lang w:val="en-GB"/>
        </w:rPr>
        <w:t>)</w:t>
      </w:r>
      <w:r w:rsidR="00574D49">
        <w:rPr>
          <w:rFonts w:asciiTheme="majorHAnsi" w:hAnsiTheme="majorHAnsi" w:cstheme="majorBidi"/>
          <w:sz w:val="22"/>
          <w:szCs w:val="22"/>
          <w:lang w:val="en-GB"/>
        </w:rPr>
        <w:t>. Technologies to make these pathways commercial</w:t>
      </w:r>
      <w:r w:rsidR="00F70AF7">
        <w:rPr>
          <w:rFonts w:asciiTheme="majorHAnsi" w:hAnsiTheme="majorHAnsi" w:cstheme="majorBidi"/>
          <w:sz w:val="22"/>
          <w:szCs w:val="22"/>
          <w:lang w:val="en-GB"/>
        </w:rPr>
        <w:t>ly</w:t>
      </w:r>
      <w:r w:rsidR="00574D49">
        <w:rPr>
          <w:rFonts w:asciiTheme="majorHAnsi" w:hAnsiTheme="majorHAnsi" w:cstheme="majorBidi"/>
          <w:sz w:val="22"/>
          <w:szCs w:val="22"/>
          <w:lang w:val="en-GB"/>
        </w:rPr>
        <w:t xml:space="preserve"> viable are still in development</w:t>
      </w:r>
      <w:r w:rsidR="3806171F" w:rsidRPr="5937A937">
        <w:rPr>
          <w:rFonts w:asciiTheme="majorHAnsi" w:hAnsiTheme="majorHAnsi" w:cstheme="majorBidi"/>
          <w:sz w:val="22"/>
          <w:szCs w:val="22"/>
          <w:lang w:val="en-GB"/>
        </w:rPr>
        <w:t xml:space="preserve"> </w:t>
      </w:r>
      <w:r w:rsidR="00F70AF7">
        <w:rPr>
          <w:rFonts w:asciiTheme="majorHAnsi" w:hAnsiTheme="majorHAnsi" w:cstheme="majorBidi"/>
          <w:sz w:val="22"/>
          <w:szCs w:val="22"/>
          <w:lang w:val="en-GB"/>
        </w:rPr>
        <w:t>stages</w:t>
      </w:r>
      <w:r w:rsidR="00574D49">
        <w:rPr>
          <w:rFonts w:asciiTheme="majorHAnsi" w:hAnsiTheme="majorHAnsi" w:cstheme="majorBidi"/>
          <w:sz w:val="22"/>
          <w:szCs w:val="22"/>
          <w:lang w:val="en-GB"/>
        </w:rPr>
        <w:t xml:space="preserve">. </w:t>
      </w:r>
      <w:r w:rsidR="3806171F" w:rsidRPr="5937A937">
        <w:rPr>
          <w:rFonts w:asciiTheme="majorHAnsi" w:hAnsiTheme="majorHAnsi" w:cstheme="majorBidi"/>
          <w:sz w:val="22"/>
          <w:szCs w:val="22"/>
          <w:lang w:val="en-GB"/>
        </w:rPr>
        <w:t xml:space="preserve">The </w:t>
      </w:r>
      <w:r w:rsidR="6C0CF426" w:rsidRPr="5937A937">
        <w:rPr>
          <w:rFonts w:asciiTheme="majorHAnsi" w:hAnsiTheme="majorHAnsi" w:cstheme="majorBidi"/>
          <w:sz w:val="22"/>
          <w:szCs w:val="22"/>
          <w:lang w:val="en-GB"/>
        </w:rPr>
        <w:t>details</w:t>
      </w:r>
      <w:r w:rsidR="3806171F" w:rsidRPr="5937A937">
        <w:rPr>
          <w:rFonts w:asciiTheme="majorHAnsi" w:hAnsiTheme="majorHAnsi" w:cstheme="majorBidi"/>
          <w:sz w:val="22"/>
          <w:szCs w:val="22"/>
          <w:lang w:val="en-GB"/>
        </w:rPr>
        <w:t xml:space="preserve"> of each alternative will be </w:t>
      </w:r>
      <w:r w:rsidR="4DE65711" w:rsidRPr="5937A937">
        <w:rPr>
          <w:rFonts w:asciiTheme="majorHAnsi" w:hAnsiTheme="majorHAnsi" w:cstheme="majorBidi"/>
          <w:sz w:val="22"/>
          <w:szCs w:val="22"/>
          <w:lang w:val="en-GB"/>
        </w:rPr>
        <w:t xml:space="preserve">further </w:t>
      </w:r>
      <w:r w:rsidR="3806171F" w:rsidRPr="5937A937">
        <w:rPr>
          <w:rFonts w:asciiTheme="majorHAnsi" w:hAnsiTheme="majorHAnsi" w:cstheme="majorBidi"/>
          <w:sz w:val="22"/>
          <w:szCs w:val="22"/>
          <w:lang w:val="en-GB"/>
        </w:rPr>
        <w:t>discussed.</w:t>
      </w:r>
    </w:p>
    <w:p w14:paraId="61420DA2" w14:textId="58AD2E87" w:rsidR="5937A937" w:rsidRDefault="5937A937" w:rsidP="00B76241">
      <w:pPr>
        <w:spacing w:after="120" w:line="360" w:lineRule="auto"/>
        <w:rPr>
          <w:szCs w:val="21"/>
          <w:lang w:val="en-GB"/>
        </w:rPr>
      </w:pPr>
    </w:p>
    <w:p w14:paraId="60AFA6C8" w14:textId="1190FEE0" w:rsidR="000924CE" w:rsidRPr="00E24E04" w:rsidRDefault="00BA28AF" w:rsidP="002F7E75">
      <w:pPr>
        <w:pStyle w:val="Heading2"/>
      </w:pPr>
      <w:bookmarkStart w:id="21" w:name="_Toc85627863"/>
      <w:r>
        <w:t xml:space="preserve">Marine </w:t>
      </w:r>
      <w:r w:rsidR="006C622D">
        <w:t xml:space="preserve">Fossil Liquid </w:t>
      </w:r>
      <w:r w:rsidR="00DB7091">
        <w:t>Fuels</w:t>
      </w:r>
      <w:bookmarkEnd w:id="21"/>
    </w:p>
    <w:p w14:paraId="7DAA855B" w14:textId="42E79259" w:rsidR="00C2384B" w:rsidRPr="00E24E04" w:rsidRDefault="55C05BF0"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Marine</w:t>
      </w:r>
      <w:r w:rsidR="1094A63D" w:rsidRPr="5937A937">
        <w:rPr>
          <w:rFonts w:asciiTheme="majorHAnsi" w:hAnsiTheme="majorHAnsi" w:cstheme="majorBidi"/>
          <w:sz w:val="22"/>
          <w:szCs w:val="22"/>
          <w:lang w:val="en-GB"/>
        </w:rPr>
        <w:t xml:space="preserve"> fossil</w:t>
      </w:r>
      <w:r w:rsidRPr="5937A937">
        <w:rPr>
          <w:rFonts w:asciiTheme="majorHAnsi" w:hAnsiTheme="majorHAnsi" w:cstheme="majorBidi"/>
          <w:sz w:val="22"/>
          <w:szCs w:val="22"/>
          <w:lang w:val="en-GB"/>
        </w:rPr>
        <w:t xml:space="preserve"> liquid fuels are </w:t>
      </w:r>
      <w:r w:rsidR="6E408913" w:rsidRPr="5937A937">
        <w:rPr>
          <w:rFonts w:asciiTheme="majorHAnsi" w:hAnsiTheme="majorHAnsi" w:cstheme="majorBidi"/>
          <w:sz w:val="22"/>
          <w:szCs w:val="22"/>
          <w:lang w:val="en-GB"/>
        </w:rPr>
        <w:t>classified</w:t>
      </w:r>
      <w:r w:rsidRPr="5937A937">
        <w:rPr>
          <w:rFonts w:asciiTheme="majorHAnsi" w:hAnsiTheme="majorHAnsi" w:cstheme="majorBidi"/>
          <w:sz w:val="22"/>
          <w:szCs w:val="22"/>
          <w:lang w:val="en-GB"/>
        </w:rPr>
        <w:t xml:space="preserve"> </w:t>
      </w:r>
      <w:r w:rsidR="3A4E168D" w:rsidRPr="5937A937">
        <w:rPr>
          <w:rFonts w:asciiTheme="majorHAnsi" w:hAnsiTheme="majorHAnsi" w:cstheme="majorBidi"/>
          <w:sz w:val="22"/>
          <w:szCs w:val="22"/>
          <w:lang w:val="en-GB"/>
        </w:rPr>
        <w:t>between</w:t>
      </w:r>
      <w:r w:rsidRPr="5937A937">
        <w:rPr>
          <w:rFonts w:asciiTheme="majorHAnsi" w:hAnsiTheme="majorHAnsi" w:cstheme="majorBidi"/>
          <w:sz w:val="22"/>
          <w:szCs w:val="22"/>
          <w:lang w:val="en-GB"/>
        </w:rPr>
        <w:t xml:space="preserve"> </w:t>
      </w:r>
      <w:r w:rsidR="7A0814F4" w:rsidRPr="5937A937">
        <w:rPr>
          <w:rFonts w:asciiTheme="majorHAnsi" w:hAnsiTheme="majorHAnsi" w:cstheme="majorBidi"/>
          <w:sz w:val="22"/>
          <w:szCs w:val="22"/>
          <w:lang w:val="en-GB"/>
        </w:rPr>
        <w:t>distillate</w:t>
      </w:r>
      <w:r w:rsidR="3A4E168D" w:rsidRPr="5937A937">
        <w:rPr>
          <w:rFonts w:asciiTheme="majorHAnsi" w:hAnsiTheme="majorHAnsi" w:cstheme="majorBidi"/>
          <w:sz w:val="22"/>
          <w:szCs w:val="22"/>
          <w:lang w:val="en-GB"/>
        </w:rPr>
        <w:t>s and residual</w:t>
      </w:r>
      <w:r w:rsidR="00E31F0F">
        <w:rPr>
          <w:rFonts w:asciiTheme="majorHAnsi" w:hAnsiTheme="majorHAnsi" w:cstheme="majorBidi"/>
          <w:sz w:val="22"/>
          <w:szCs w:val="22"/>
          <w:lang w:val="en-GB"/>
        </w:rPr>
        <w:t xml:space="preserve">. </w:t>
      </w:r>
      <w:r w:rsidR="05853F81" w:rsidRPr="5937A937">
        <w:rPr>
          <w:rFonts w:asciiTheme="majorHAnsi" w:hAnsiTheme="majorHAnsi" w:cstheme="majorBidi"/>
          <w:sz w:val="22"/>
          <w:szCs w:val="22"/>
          <w:lang w:val="en-GB"/>
        </w:rPr>
        <w:t xml:space="preserve"> </w:t>
      </w:r>
      <w:r w:rsidR="00E31F0F">
        <w:rPr>
          <w:rFonts w:asciiTheme="majorHAnsi" w:hAnsiTheme="majorHAnsi" w:cstheme="majorBidi"/>
          <w:sz w:val="22"/>
          <w:szCs w:val="22"/>
          <w:lang w:val="en-GB"/>
        </w:rPr>
        <w:t xml:space="preserve">They </w:t>
      </w:r>
      <w:r w:rsidR="05853F81" w:rsidRPr="5937A937">
        <w:rPr>
          <w:rFonts w:asciiTheme="majorHAnsi" w:hAnsiTheme="majorHAnsi" w:cstheme="majorBidi"/>
          <w:sz w:val="22"/>
          <w:szCs w:val="22"/>
          <w:lang w:val="en-GB"/>
        </w:rPr>
        <w:t xml:space="preserve">must comply with </w:t>
      </w:r>
      <w:r w:rsidR="20FC0DD7" w:rsidRPr="5937A937">
        <w:rPr>
          <w:rFonts w:asciiTheme="majorHAnsi" w:hAnsiTheme="majorHAnsi" w:cstheme="majorBidi"/>
          <w:sz w:val="22"/>
          <w:szCs w:val="22"/>
          <w:lang w:val="en-GB"/>
        </w:rPr>
        <w:t xml:space="preserve">the specifications determined </w:t>
      </w:r>
      <w:r w:rsidR="1094A63D" w:rsidRPr="5937A937">
        <w:rPr>
          <w:rFonts w:asciiTheme="majorHAnsi" w:hAnsiTheme="majorHAnsi" w:cstheme="majorBidi"/>
          <w:sz w:val="22"/>
          <w:szCs w:val="22"/>
          <w:lang w:val="en-GB"/>
        </w:rPr>
        <w:t>in</w:t>
      </w:r>
      <w:r w:rsidR="20FC0DD7" w:rsidRPr="5937A937">
        <w:rPr>
          <w:rFonts w:asciiTheme="majorHAnsi" w:hAnsiTheme="majorHAnsi" w:cstheme="majorBidi"/>
          <w:sz w:val="22"/>
          <w:szCs w:val="22"/>
          <w:lang w:val="en-GB"/>
        </w:rPr>
        <w:t xml:space="preserve"> ISO 8217</w:t>
      </w:r>
      <w:r w:rsidR="3FCC607C" w:rsidRPr="5937A937">
        <w:rPr>
          <w:rFonts w:asciiTheme="majorHAnsi" w:hAnsiTheme="majorHAnsi" w:cstheme="majorBidi"/>
          <w:sz w:val="22"/>
          <w:szCs w:val="22"/>
          <w:lang w:val="en-GB"/>
        </w:rPr>
        <w:t>, which specifies the requirements for fuels used in marine engines</w:t>
      </w:r>
      <w:r w:rsidR="59C6498A" w:rsidRPr="5937A937">
        <w:rPr>
          <w:rFonts w:asciiTheme="majorHAnsi" w:hAnsiTheme="majorHAnsi" w:cstheme="majorBidi"/>
          <w:sz w:val="22"/>
          <w:szCs w:val="22"/>
          <w:lang w:val="en-GB"/>
        </w:rPr>
        <w:t>, boilers and stationary diesel engines</w:t>
      </w:r>
      <w:r w:rsidR="3FCC607C" w:rsidRPr="5937A937">
        <w:rPr>
          <w:rFonts w:asciiTheme="majorHAnsi" w:hAnsiTheme="majorHAnsi" w:cstheme="majorBidi"/>
          <w:sz w:val="22"/>
          <w:szCs w:val="22"/>
          <w:lang w:val="en-GB"/>
        </w:rPr>
        <w:t>.</w:t>
      </w:r>
      <w:r w:rsidR="50052A56" w:rsidRPr="5937A937">
        <w:rPr>
          <w:rFonts w:asciiTheme="majorHAnsi" w:hAnsiTheme="majorHAnsi" w:cstheme="majorBidi"/>
          <w:sz w:val="22"/>
          <w:szCs w:val="22"/>
          <w:lang w:val="en-GB"/>
        </w:rPr>
        <w:t xml:space="preserve">  It </w:t>
      </w:r>
      <w:r w:rsidR="2D1127CC" w:rsidRPr="5937A937">
        <w:rPr>
          <w:rFonts w:asciiTheme="majorHAnsi" w:hAnsiTheme="majorHAnsi" w:cstheme="majorBidi"/>
          <w:sz w:val="22"/>
          <w:szCs w:val="22"/>
          <w:lang w:val="en-GB"/>
        </w:rPr>
        <w:t xml:space="preserve">sets </w:t>
      </w:r>
      <w:r w:rsidR="000A6122">
        <w:rPr>
          <w:rFonts w:asciiTheme="majorHAnsi" w:hAnsiTheme="majorHAnsi" w:cstheme="majorBidi"/>
          <w:sz w:val="22"/>
          <w:szCs w:val="22"/>
          <w:lang w:val="en-GB"/>
        </w:rPr>
        <w:t>seven</w:t>
      </w:r>
      <w:r w:rsidR="2D1127CC" w:rsidRPr="5937A937">
        <w:rPr>
          <w:rFonts w:asciiTheme="majorHAnsi" w:hAnsiTheme="majorHAnsi" w:cstheme="majorBidi"/>
          <w:sz w:val="22"/>
          <w:szCs w:val="22"/>
          <w:lang w:val="en-GB"/>
        </w:rPr>
        <w:t xml:space="preserve"> categories of distillate and </w:t>
      </w:r>
      <w:r w:rsidR="000A6122">
        <w:rPr>
          <w:rFonts w:asciiTheme="majorHAnsi" w:hAnsiTheme="majorHAnsi" w:cstheme="majorBidi"/>
          <w:sz w:val="22"/>
          <w:szCs w:val="22"/>
          <w:lang w:val="en-GB"/>
        </w:rPr>
        <w:t>six</w:t>
      </w:r>
      <w:r w:rsidR="2D1127CC" w:rsidRPr="5937A937">
        <w:rPr>
          <w:rFonts w:asciiTheme="majorHAnsi" w:hAnsiTheme="majorHAnsi" w:cstheme="majorBidi"/>
          <w:sz w:val="22"/>
          <w:szCs w:val="22"/>
          <w:lang w:val="en-GB"/>
        </w:rPr>
        <w:t xml:space="preserve"> for residual fuels</w:t>
      </w:r>
      <w:r w:rsidR="00643BE2">
        <w:rPr>
          <w:rFonts w:asciiTheme="majorHAnsi" w:hAnsiTheme="majorHAnsi" w:cstheme="majorBidi"/>
          <w:sz w:val="22"/>
          <w:szCs w:val="22"/>
          <w:lang w:val="en-GB"/>
        </w:rPr>
        <w:t xml:space="preserve"> </w:t>
      </w:r>
      <w:r w:rsidR="00643BE2">
        <w:rPr>
          <w:rFonts w:asciiTheme="majorHAnsi" w:hAnsiTheme="majorHAnsi" w:cstheme="majorBidi"/>
          <w:sz w:val="22"/>
          <w:szCs w:val="22"/>
          <w:lang w:val="en-GB"/>
        </w:rPr>
        <w:fldChar w:fldCharType="begin" w:fldLock="1"/>
      </w:r>
      <w:r w:rsidR="00213D1A">
        <w:rPr>
          <w:rFonts w:asciiTheme="majorHAnsi" w:hAnsiTheme="majorHAnsi" w:cstheme="majorBidi"/>
          <w:sz w:val="22"/>
          <w:szCs w:val="22"/>
          <w:lang w:val="en-GB"/>
        </w:rPr>
        <w:instrText>ADDIN CSL_CITATION {"citationItems":[{"id":"ITEM-1","itemData":{"URL":"https://www.oiltanking.com/en/news-info/glossary/details/term/lng-liquefied-natural-gas.html","accessed":{"date-parts":[["2021","9","20"]]},"author":[{"dropping-particle":"","family":"Oiltanking GmbH","given":"","non-dropping-particle":"","parse-names":false,"suffix":""}],"id":"ITEM-1","issued":{"date-parts":[["0"]]},"title":"Important Terms from A to Z","type":"webpage"},"uris":["http://www.mendeley.com/documents/?uuid=af4dbd65-d916-4cdd-ab29-21ac7ff36c99"]}],"mendeley":{"formattedCitation":"(Oiltanking GmbH, n.d.)","plainTextFormattedCitation":"(Oiltanking GmbH, n.d.)","previouslyFormattedCitation":"(Oiltanking GmbH, n.d.)"},"properties":{"noteIndex":0},"schema":"https://github.com/citation-style-language/schema/raw/master/csl-citation.json"}</w:instrText>
      </w:r>
      <w:r w:rsidR="00643BE2">
        <w:rPr>
          <w:rFonts w:asciiTheme="majorHAnsi" w:hAnsiTheme="majorHAnsi" w:cstheme="majorBidi"/>
          <w:sz w:val="22"/>
          <w:szCs w:val="22"/>
          <w:lang w:val="en-GB"/>
        </w:rPr>
        <w:fldChar w:fldCharType="separate"/>
      </w:r>
      <w:r w:rsidR="00643BE2" w:rsidRPr="00643BE2">
        <w:rPr>
          <w:rFonts w:asciiTheme="majorHAnsi" w:hAnsiTheme="majorHAnsi" w:cstheme="majorBidi"/>
          <w:noProof/>
          <w:sz w:val="22"/>
          <w:szCs w:val="22"/>
          <w:lang w:val="en-GB"/>
        </w:rPr>
        <w:t>(Oiltanking GmbH, n.d.)</w:t>
      </w:r>
      <w:r w:rsidR="00643BE2">
        <w:rPr>
          <w:rFonts w:asciiTheme="majorHAnsi" w:hAnsiTheme="majorHAnsi" w:cstheme="majorBidi"/>
          <w:sz w:val="22"/>
          <w:szCs w:val="22"/>
          <w:lang w:val="en-GB"/>
        </w:rPr>
        <w:fldChar w:fldCharType="end"/>
      </w:r>
      <w:r w:rsidR="2D1127CC" w:rsidRPr="5937A937">
        <w:rPr>
          <w:rFonts w:asciiTheme="majorHAnsi" w:hAnsiTheme="majorHAnsi" w:cstheme="majorBidi"/>
          <w:sz w:val="22"/>
          <w:szCs w:val="22"/>
          <w:lang w:val="en-GB"/>
        </w:rPr>
        <w:t>.</w:t>
      </w:r>
    </w:p>
    <w:p w14:paraId="1CF3F59A" w14:textId="621A31D9" w:rsidR="003C2F0D" w:rsidRPr="00E24E04" w:rsidRDefault="00C2384B" w:rsidP="791B8135">
      <w:pPr>
        <w:spacing w:after="120" w:line="360" w:lineRule="auto"/>
        <w:rPr>
          <w:rFonts w:asciiTheme="majorHAnsi" w:hAnsiTheme="majorHAnsi" w:cstheme="majorBidi"/>
          <w:sz w:val="22"/>
          <w:szCs w:val="22"/>
          <w:lang w:val="en-GB"/>
        </w:rPr>
      </w:pPr>
      <w:r w:rsidRPr="00E24E04">
        <w:rPr>
          <w:rFonts w:asciiTheme="majorHAnsi" w:hAnsiTheme="majorHAnsi" w:cstheme="majorHAnsi"/>
          <w:sz w:val="22"/>
          <w:szCs w:val="22"/>
          <w:lang w:val="en-GB"/>
        </w:rPr>
        <w:tab/>
      </w:r>
      <w:r w:rsidR="44332088" w:rsidRPr="791B8135">
        <w:rPr>
          <w:rFonts w:asciiTheme="majorHAnsi" w:hAnsiTheme="majorHAnsi" w:cstheme="majorBidi"/>
          <w:sz w:val="22"/>
          <w:szCs w:val="22"/>
          <w:lang w:val="en-GB"/>
        </w:rPr>
        <w:t xml:space="preserve">Distillate fuels encompass marine gas oil (MGO) and marine diesel oil (MDO). The first, </w:t>
      </w:r>
      <w:r w:rsidR="0091719F">
        <w:rPr>
          <w:rFonts w:asciiTheme="majorHAnsi" w:hAnsiTheme="majorHAnsi" w:cstheme="majorBidi"/>
          <w:sz w:val="22"/>
          <w:szCs w:val="22"/>
          <w:lang w:val="en-GB"/>
        </w:rPr>
        <w:t xml:space="preserve">and </w:t>
      </w:r>
      <w:r w:rsidR="6092D1C3" w:rsidRPr="791B8135">
        <w:rPr>
          <w:rFonts w:asciiTheme="majorHAnsi" w:hAnsiTheme="majorHAnsi" w:cstheme="majorBidi"/>
          <w:sz w:val="22"/>
          <w:szCs w:val="22"/>
          <w:lang w:val="en-GB"/>
        </w:rPr>
        <w:t>mostly traded</w:t>
      </w:r>
      <w:r w:rsidR="44332088" w:rsidRPr="791B8135">
        <w:rPr>
          <w:rFonts w:asciiTheme="majorHAnsi" w:hAnsiTheme="majorHAnsi" w:cstheme="majorBidi"/>
          <w:sz w:val="22"/>
          <w:szCs w:val="22"/>
          <w:lang w:val="en-GB"/>
        </w:rPr>
        <w:t xml:space="preserve"> as DMA</w:t>
      </w:r>
      <w:r w:rsidR="0091719F">
        <w:rPr>
          <w:rFonts w:asciiTheme="majorHAnsi" w:hAnsiTheme="majorHAnsi" w:cstheme="majorBidi"/>
          <w:sz w:val="22"/>
          <w:szCs w:val="22"/>
          <w:lang w:val="en-GB"/>
        </w:rPr>
        <w:t>. It</w:t>
      </w:r>
      <w:r w:rsidR="44332088" w:rsidRPr="791B8135">
        <w:rPr>
          <w:rFonts w:asciiTheme="majorHAnsi" w:hAnsiTheme="majorHAnsi" w:cstheme="majorBidi"/>
          <w:sz w:val="22"/>
          <w:szCs w:val="22"/>
          <w:lang w:val="en-GB"/>
        </w:rPr>
        <w:t xml:space="preserve"> </w:t>
      </w:r>
      <w:r w:rsidR="151359FB" w:rsidRPr="791B8135">
        <w:rPr>
          <w:rFonts w:asciiTheme="majorHAnsi" w:hAnsiTheme="majorHAnsi" w:cstheme="majorBidi"/>
          <w:sz w:val="22"/>
          <w:szCs w:val="22"/>
          <w:lang w:val="en-GB"/>
        </w:rPr>
        <w:t xml:space="preserve">is a light fraction of oil </w:t>
      </w:r>
      <w:r w:rsidR="723B858F" w:rsidRPr="791B8135">
        <w:rPr>
          <w:rFonts w:asciiTheme="majorHAnsi" w:hAnsiTheme="majorHAnsi" w:cstheme="majorBidi"/>
          <w:sz w:val="22"/>
          <w:szCs w:val="22"/>
          <w:lang w:val="en-GB"/>
        </w:rPr>
        <w:t>containing about 60</w:t>
      </w:r>
      <w:r w:rsidR="0091719F">
        <w:rPr>
          <w:rFonts w:asciiTheme="majorHAnsi" w:hAnsiTheme="majorHAnsi" w:cstheme="majorBidi"/>
          <w:sz w:val="22"/>
          <w:szCs w:val="22"/>
          <w:lang w:val="en-GB"/>
        </w:rPr>
        <w:t xml:space="preserve"> </w:t>
      </w:r>
      <w:r w:rsidR="723B858F" w:rsidRPr="791B8135">
        <w:rPr>
          <w:rFonts w:asciiTheme="majorHAnsi" w:hAnsiTheme="majorHAnsi" w:cstheme="majorBidi"/>
          <w:sz w:val="22"/>
          <w:szCs w:val="22"/>
          <w:lang w:val="en-GB"/>
        </w:rPr>
        <w:t xml:space="preserve">% of aromatics </w:t>
      </w:r>
      <w:r w:rsidR="50C51DCF" w:rsidRPr="791B8135">
        <w:rPr>
          <w:rFonts w:asciiTheme="majorHAnsi" w:hAnsiTheme="majorHAnsi" w:cstheme="majorBidi"/>
          <w:sz w:val="22"/>
          <w:szCs w:val="22"/>
          <w:lang w:val="en-GB"/>
        </w:rPr>
        <w:t>with</w:t>
      </w:r>
      <w:r w:rsidR="723B858F" w:rsidRPr="791B8135">
        <w:rPr>
          <w:rFonts w:asciiTheme="majorHAnsi" w:hAnsiTheme="majorHAnsi" w:cstheme="majorBidi"/>
          <w:sz w:val="22"/>
          <w:szCs w:val="22"/>
          <w:lang w:val="en-GB"/>
        </w:rPr>
        <w:t xml:space="preserve"> low </w:t>
      </w:r>
      <w:r w:rsidR="20CAE605" w:rsidRPr="791B8135">
        <w:rPr>
          <w:rFonts w:asciiTheme="majorHAnsi" w:hAnsiTheme="majorHAnsi" w:cstheme="majorBidi"/>
          <w:sz w:val="22"/>
          <w:szCs w:val="22"/>
          <w:lang w:val="en-GB"/>
        </w:rPr>
        <w:t>sulphur</w:t>
      </w:r>
      <w:r w:rsidR="723B858F" w:rsidRPr="791B8135">
        <w:rPr>
          <w:rFonts w:asciiTheme="majorHAnsi" w:hAnsiTheme="majorHAnsi" w:cstheme="majorBidi"/>
          <w:sz w:val="22"/>
          <w:szCs w:val="22"/>
          <w:lang w:val="en-GB"/>
        </w:rPr>
        <w:t xml:space="preserve"> content</w:t>
      </w:r>
      <w:r w:rsidR="7A17970C" w:rsidRPr="791B8135">
        <w:rPr>
          <w:rFonts w:asciiTheme="majorHAnsi" w:hAnsiTheme="majorHAnsi" w:cstheme="majorBidi"/>
          <w:sz w:val="22"/>
          <w:szCs w:val="22"/>
          <w:lang w:val="en-GB"/>
        </w:rPr>
        <w:t xml:space="preserve"> </w:t>
      </w:r>
      <w:r w:rsidR="1A61ABC1" w:rsidRPr="791B8135">
        <w:rPr>
          <w:rFonts w:asciiTheme="majorHAnsi" w:hAnsiTheme="majorHAnsi" w:cstheme="majorBidi"/>
          <w:sz w:val="22"/>
          <w:szCs w:val="22"/>
          <w:lang w:val="en-GB"/>
        </w:rPr>
        <w:t>(&gt;</w:t>
      </w:r>
      <w:r w:rsidR="7A17970C" w:rsidRPr="791B8135">
        <w:rPr>
          <w:rFonts w:asciiTheme="majorHAnsi" w:hAnsiTheme="majorHAnsi" w:cstheme="majorBidi"/>
          <w:sz w:val="22"/>
          <w:szCs w:val="22"/>
          <w:lang w:val="en-GB"/>
        </w:rPr>
        <w:t xml:space="preserve"> 0</w:t>
      </w:r>
      <w:r w:rsidR="311209CF" w:rsidRPr="791B8135">
        <w:rPr>
          <w:rFonts w:asciiTheme="majorHAnsi" w:hAnsiTheme="majorHAnsi" w:cstheme="majorBidi"/>
          <w:sz w:val="22"/>
          <w:szCs w:val="22"/>
          <w:lang w:val="en-GB"/>
        </w:rPr>
        <w:t xml:space="preserve">.10 </w:t>
      </w:r>
      <w:r w:rsidR="311209CF" w:rsidRPr="791B8135">
        <w:rPr>
          <w:rFonts w:asciiTheme="majorHAnsi" w:hAnsiTheme="majorHAnsi" w:cstheme="majorBidi"/>
          <w:sz w:val="22"/>
          <w:szCs w:val="22"/>
          <w:lang w:val="en-GB"/>
        </w:rPr>
        <w:lastRenderedPageBreak/>
        <w:t xml:space="preserve">– 1.8 % </w:t>
      </w:r>
      <w:r w:rsidR="249BD49C" w:rsidRPr="791B8135">
        <w:rPr>
          <w:rFonts w:asciiTheme="majorHAnsi" w:hAnsiTheme="majorHAnsi" w:cstheme="majorBidi"/>
          <w:sz w:val="22"/>
          <w:szCs w:val="22"/>
          <w:lang w:val="en-GB"/>
        </w:rPr>
        <w:t>w/w</w:t>
      </w:r>
      <w:r w:rsidR="311209CF" w:rsidRPr="791B8135">
        <w:rPr>
          <w:rFonts w:asciiTheme="majorHAnsi" w:hAnsiTheme="majorHAnsi" w:cstheme="majorBidi"/>
          <w:sz w:val="22"/>
          <w:szCs w:val="22"/>
          <w:lang w:val="en-GB"/>
        </w:rPr>
        <w:t>)</w:t>
      </w:r>
      <w:r w:rsidR="5A00B59B" w:rsidRPr="791B8135">
        <w:rPr>
          <w:rFonts w:asciiTheme="majorHAnsi" w:hAnsiTheme="majorHAnsi" w:cstheme="majorBidi"/>
          <w:sz w:val="22"/>
          <w:szCs w:val="22"/>
          <w:lang w:val="en-GB"/>
        </w:rPr>
        <w:t xml:space="preserve">. </w:t>
      </w:r>
      <w:r w:rsidR="7896B995" w:rsidRPr="791B8135">
        <w:rPr>
          <w:rFonts w:asciiTheme="majorHAnsi" w:hAnsiTheme="majorHAnsi" w:cstheme="majorBidi"/>
          <w:sz w:val="22"/>
          <w:szCs w:val="22"/>
          <w:lang w:val="en-GB"/>
        </w:rPr>
        <w:t>It is u</w:t>
      </w:r>
      <w:r w:rsidR="50F2623C" w:rsidRPr="791B8135">
        <w:rPr>
          <w:rFonts w:asciiTheme="majorHAnsi" w:hAnsiTheme="majorHAnsi" w:cstheme="majorBidi"/>
          <w:sz w:val="22"/>
          <w:szCs w:val="22"/>
          <w:lang w:val="en-GB"/>
        </w:rPr>
        <w:t xml:space="preserve">sually used in </w:t>
      </w:r>
      <w:r w:rsidR="212E934B" w:rsidRPr="791B8135">
        <w:rPr>
          <w:rFonts w:asciiTheme="majorHAnsi" w:hAnsiTheme="majorHAnsi" w:cstheme="majorBidi"/>
          <w:sz w:val="22"/>
          <w:szCs w:val="22"/>
          <w:lang w:val="en-GB"/>
        </w:rPr>
        <w:t xml:space="preserve">auxiliary </w:t>
      </w:r>
      <w:r w:rsidR="42A5A50E" w:rsidRPr="791B8135">
        <w:rPr>
          <w:rFonts w:asciiTheme="majorHAnsi" w:hAnsiTheme="majorHAnsi" w:cstheme="majorBidi"/>
          <w:sz w:val="22"/>
          <w:szCs w:val="22"/>
          <w:lang w:val="en-GB"/>
        </w:rPr>
        <w:t xml:space="preserve">engines, </w:t>
      </w:r>
      <w:r w:rsidR="212E934B" w:rsidRPr="791B8135">
        <w:rPr>
          <w:rFonts w:asciiTheme="majorHAnsi" w:hAnsiTheme="majorHAnsi" w:cstheme="majorBidi"/>
          <w:sz w:val="22"/>
          <w:szCs w:val="22"/>
          <w:lang w:val="en-GB"/>
        </w:rPr>
        <w:t>small and medium ships</w:t>
      </w:r>
      <w:r w:rsidR="6EBF7B5F" w:rsidRPr="791B8135">
        <w:rPr>
          <w:rFonts w:asciiTheme="majorHAnsi" w:hAnsiTheme="majorHAnsi" w:cstheme="majorBidi"/>
          <w:sz w:val="22"/>
          <w:szCs w:val="22"/>
          <w:lang w:val="en-GB"/>
        </w:rPr>
        <w:t>, ships with</w:t>
      </w:r>
      <w:r w:rsidR="45428EBC" w:rsidRPr="791B8135">
        <w:rPr>
          <w:rFonts w:asciiTheme="majorHAnsi" w:hAnsiTheme="majorHAnsi" w:cstheme="majorBidi"/>
          <w:sz w:val="22"/>
          <w:szCs w:val="22"/>
          <w:lang w:val="en-GB"/>
        </w:rPr>
        <w:t xml:space="preserve"> frequent varying speed and loads</w:t>
      </w:r>
      <w:r w:rsidR="6EBF7B5F" w:rsidRPr="791B8135">
        <w:rPr>
          <w:rFonts w:asciiTheme="majorHAnsi" w:hAnsiTheme="majorHAnsi" w:cstheme="majorBidi"/>
          <w:sz w:val="22"/>
          <w:szCs w:val="22"/>
          <w:lang w:val="en-GB"/>
        </w:rPr>
        <w:t xml:space="preserve">, and </w:t>
      </w:r>
      <w:r w:rsidR="4761A70C" w:rsidRPr="791B8135">
        <w:rPr>
          <w:rFonts w:asciiTheme="majorHAnsi" w:hAnsiTheme="majorHAnsi" w:cstheme="majorBidi"/>
          <w:sz w:val="22"/>
          <w:szCs w:val="22"/>
          <w:lang w:val="en-GB"/>
        </w:rPr>
        <w:t>ships</w:t>
      </w:r>
      <w:r w:rsidR="45428EBC" w:rsidRPr="791B8135">
        <w:rPr>
          <w:rFonts w:asciiTheme="majorHAnsi" w:hAnsiTheme="majorHAnsi" w:cstheme="majorBidi"/>
          <w:sz w:val="22"/>
          <w:szCs w:val="22"/>
          <w:lang w:val="en-GB"/>
        </w:rPr>
        <w:t xml:space="preserve"> equipped with 4-st</w:t>
      </w:r>
      <w:r w:rsidR="00963F36">
        <w:rPr>
          <w:rFonts w:asciiTheme="majorHAnsi" w:hAnsiTheme="majorHAnsi" w:cstheme="majorBidi"/>
          <w:sz w:val="22"/>
          <w:szCs w:val="22"/>
          <w:lang w:val="en-GB"/>
        </w:rPr>
        <w:t>r</w:t>
      </w:r>
      <w:r w:rsidR="45428EBC" w:rsidRPr="791B8135">
        <w:rPr>
          <w:rFonts w:asciiTheme="majorHAnsi" w:hAnsiTheme="majorHAnsi" w:cstheme="majorBidi"/>
          <w:sz w:val="22"/>
          <w:szCs w:val="22"/>
          <w:lang w:val="en-GB"/>
        </w:rPr>
        <w:t>oke</w:t>
      </w:r>
      <w:r w:rsidR="0CEC1949" w:rsidRPr="791B8135">
        <w:rPr>
          <w:rFonts w:asciiTheme="majorHAnsi" w:hAnsiTheme="majorHAnsi" w:cstheme="majorBidi"/>
          <w:sz w:val="22"/>
          <w:szCs w:val="22"/>
          <w:lang w:val="en-GB"/>
        </w:rPr>
        <w:t xml:space="preserve"> diesel</w:t>
      </w:r>
      <w:r w:rsidR="45428EBC" w:rsidRPr="791B8135">
        <w:rPr>
          <w:rFonts w:asciiTheme="majorHAnsi" w:hAnsiTheme="majorHAnsi" w:cstheme="majorBidi"/>
          <w:sz w:val="22"/>
          <w:szCs w:val="22"/>
          <w:lang w:val="en-GB"/>
        </w:rPr>
        <w:t xml:space="preserve"> engines</w:t>
      </w:r>
      <w:r w:rsidR="0CEC1949" w:rsidRPr="791B8135">
        <w:rPr>
          <w:rFonts w:asciiTheme="majorHAnsi" w:hAnsiTheme="majorHAnsi" w:cstheme="majorBidi"/>
          <w:sz w:val="22"/>
          <w:szCs w:val="22"/>
          <w:lang w:val="en-GB"/>
        </w:rPr>
        <w:t>.</w:t>
      </w:r>
      <w:r w:rsidR="42A5A50E" w:rsidRPr="791B8135">
        <w:rPr>
          <w:rFonts w:asciiTheme="majorHAnsi" w:hAnsiTheme="majorHAnsi" w:cstheme="majorBidi"/>
          <w:sz w:val="22"/>
          <w:szCs w:val="22"/>
          <w:lang w:val="en-GB"/>
        </w:rPr>
        <w:t xml:space="preserve"> </w:t>
      </w:r>
      <w:r w:rsidR="320180A8" w:rsidRPr="791B8135">
        <w:rPr>
          <w:rFonts w:asciiTheme="majorHAnsi" w:hAnsiTheme="majorHAnsi" w:cstheme="majorBidi"/>
          <w:sz w:val="22"/>
          <w:szCs w:val="22"/>
          <w:lang w:val="en-GB"/>
        </w:rPr>
        <w:t xml:space="preserve">Low </w:t>
      </w:r>
      <w:r w:rsidR="46A32C77" w:rsidRPr="791B8135">
        <w:rPr>
          <w:rFonts w:asciiTheme="majorHAnsi" w:hAnsiTheme="majorHAnsi" w:cstheme="majorBidi"/>
          <w:sz w:val="22"/>
          <w:szCs w:val="22"/>
          <w:lang w:val="en-GB"/>
        </w:rPr>
        <w:t>s</w:t>
      </w:r>
      <w:r w:rsidR="320180A8" w:rsidRPr="791B8135">
        <w:rPr>
          <w:rFonts w:asciiTheme="majorHAnsi" w:hAnsiTheme="majorHAnsi" w:cstheme="majorBidi"/>
          <w:sz w:val="22"/>
          <w:szCs w:val="22"/>
          <w:lang w:val="en-GB"/>
        </w:rPr>
        <w:t xml:space="preserve">ulphur </w:t>
      </w:r>
      <w:r w:rsidR="46A32C77" w:rsidRPr="791B8135">
        <w:rPr>
          <w:rFonts w:asciiTheme="majorHAnsi" w:hAnsiTheme="majorHAnsi" w:cstheme="majorBidi"/>
          <w:sz w:val="22"/>
          <w:szCs w:val="22"/>
          <w:lang w:val="en-GB"/>
        </w:rPr>
        <w:t>m</w:t>
      </w:r>
      <w:r w:rsidR="320180A8" w:rsidRPr="791B8135">
        <w:rPr>
          <w:rFonts w:asciiTheme="majorHAnsi" w:hAnsiTheme="majorHAnsi" w:cstheme="majorBidi"/>
          <w:sz w:val="22"/>
          <w:szCs w:val="22"/>
          <w:lang w:val="en-GB"/>
        </w:rPr>
        <w:t xml:space="preserve">arine </w:t>
      </w:r>
      <w:r w:rsidR="46A32C77" w:rsidRPr="791B8135">
        <w:rPr>
          <w:rFonts w:asciiTheme="majorHAnsi" w:hAnsiTheme="majorHAnsi" w:cstheme="majorBidi"/>
          <w:sz w:val="22"/>
          <w:szCs w:val="22"/>
          <w:lang w:val="en-GB"/>
        </w:rPr>
        <w:t>g</w:t>
      </w:r>
      <w:r w:rsidR="320180A8" w:rsidRPr="791B8135">
        <w:rPr>
          <w:rFonts w:asciiTheme="majorHAnsi" w:hAnsiTheme="majorHAnsi" w:cstheme="majorBidi"/>
          <w:sz w:val="22"/>
          <w:szCs w:val="22"/>
          <w:lang w:val="en-GB"/>
        </w:rPr>
        <w:t xml:space="preserve">as </w:t>
      </w:r>
      <w:r w:rsidR="46A32C77" w:rsidRPr="791B8135">
        <w:rPr>
          <w:rFonts w:asciiTheme="majorHAnsi" w:hAnsiTheme="majorHAnsi" w:cstheme="majorBidi"/>
          <w:sz w:val="22"/>
          <w:szCs w:val="22"/>
          <w:lang w:val="en-GB"/>
        </w:rPr>
        <w:t>o</w:t>
      </w:r>
      <w:r w:rsidR="320180A8" w:rsidRPr="791B8135">
        <w:rPr>
          <w:rFonts w:asciiTheme="majorHAnsi" w:hAnsiTheme="majorHAnsi" w:cstheme="majorBidi"/>
          <w:sz w:val="22"/>
          <w:szCs w:val="22"/>
          <w:lang w:val="en-GB"/>
        </w:rPr>
        <w:t>il (LSMGO)</w:t>
      </w:r>
      <w:r w:rsidR="2014078D" w:rsidRPr="791B8135">
        <w:rPr>
          <w:rFonts w:asciiTheme="majorHAnsi" w:hAnsiTheme="majorHAnsi" w:cstheme="majorBidi"/>
          <w:sz w:val="22"/>
          <w:szCs w:val="22"/>
          <w:lang w:val="en-GB"/>
        </w:rPr>
        <w:t xml:space="preserve"> </w:t>
      </w:r>
      <w:r w:rsidR="03E3DBA6" w:rsidRPr="791B8135">
        <w:rPr>
          <w:rFonts w:asciiTheme="majorHAnsi" w:hAnsiTheme="majorHAnsi" w:cstheme="majorBidi"/>
          <w:sz w:val="22"/>
          <w:szCs w:val="22"/>
          <w:lang w:val="en-GB"/>
        </w:rPr>
        <w:t xml:space="preserve">contains less than 0.1 % w/w </w:t>
      </w:r>
      <w:r w:rsidR="36D4ED86" w:rsidRPr="791B8135">
        <w:rPr>
          <w:rFonts w:asciiTheme="majorHAnsi" w:hAnsiTheme="majorHAnsi" w:cstheme="majorBidi"/>
          <w:sz w:val="22"/>
          <w:szCs w:val="22"/>
          <w:lang w:val="en-GB"/>
        </w:rPr>
        <w:t>of</w:t>
      </w:r>
      <w:r w:rsidR="03E3DBA6" w:rsidRPr="791B8135">
        <w:rPr>
          <w:rFonts w:asciiTheme="majorHAnsi" w:hAnsiTheme="majorHAnsi" w:cstheme="majorBidi"/>
          <w:sz w:val="22"/>
          <w:szCs w:val="22"/>
          <w:lang w:val="en-GB"/>
        </w:rPr>
        <w:t xml:space="preserve"> sulphur </w:t>
      </w:r>
      <w:r w:rsidR="1CE48E13" w:rsidRPr="791B8135">
        <w:rPr>
          <w:rFonts w:asciiTheme="majorHAnsi" w:hAnsiTheme="majorHAnsi" w:cstheme="majorBidi"/>
          <w:sz w:val="22"/>
          <w:szCs w:val="22"/>
          <w:lang w:val="en-GB"/>
        </w:rPr>
        <w:t xml:space="preserve">and </w:t>
      </w:r>
      <w:r w:rsidR="36D4ED86" w:rsidRPr="791B8135">
        <w:rPr>
          <w:rFonts w:asciiTheme="majorHAnsi" w:hAnsiTheme="majorHAnsi" w:cstheme="majorBidi"/>
          <w:sz w:val="22"/>
          <w:szCs w:val="22"/>
          <w:lang w:val="en-GB"/>
        </w:rPr>
        <w:t>is</w:t>
      </w:r>
      <w:r w:rsidR="1CE48E13" w:rsidRPr="791B8135">
        <w:rPr>
          <w:rFonts w:asciiTheme="majorHAnsi" w:hAnsiTheme="majorHAnsi" w:cstheme="majorBidi"/>
          <w:sz w:val="22"/>
          <w:szCs w:val="22"/>
          <w:lang w:val="en-GB"/>
        </w:rPr>
        <w:t xml:space="preserve"> used in ECA regions. Even lower sulphur content, </w:t>
      </w:r>
      <w:r w:rsidR="0A1DAB49" w:rsidRPr="791B8135">
        <w:rPr>
          <w:rFonts w:asciiTheme="majorHAnsi" w:hAnsiTheme="majorHAnsi" w:cstheme="majorBidi"/>
          <w:sz w:val="22"/>
          <w:szCs w:val="22"/>
          <w:lang w:val="en-GB"/>
        </w:rPr>
        <w:t>up to 0.001%</w:t>
      </w:r>
      <w:r w:rsidR="6763AC11" w:rsidRPr="791B8135">
        <w:rPr>
          <w:rFonts w:asciiTheme="majorHAnsi" w:hAnsiTheme="majorHAnsi" w:cstheme="majorBidi"/>
          <w:sz w:val="22"/>
          <w:szCs w:val="22"/>
          <w:lang w:val="en-GB"/>
        </w:rPr>
        <w:t xml:space="preserve"> is found in </w:t>
      </w:r>
      <w:r w:rsidR="5E904A87" w:rsidRPr="791B8135">
        <w:rPr>
          <w:rFonts w:asciiTheme="majorHAnsi" w:hAnsiTheme="majorHAnsi" w:cstheme="majorBidi"/>
          <w:sz w:val="22"/>
          <w:szCs w:val="22"/>
          <w:lang w:val="en-GB"/>
        </w:rPr>
        <w:t xml:space="preserve">ultra-low sulphur </w:t>
      </w:r>
      <w:r w:rsidR="6763AC11" w:rsidRPr="791B8135">
        <w:rPr>
          <w:rFonts w:asciiTheme="majorHAnsi" w:hAnsiTheme="majorHAnsi" w:cstheme="majorBidi"/>
          <w:sz w:val="22"/>
          <w:szCs w:val="22"/>
          <w:lang w:val="en-GB"/>
        </w:rPr>
        <w:t>MGO</w:t>
      </w:r>
      <w:r w:rsidR="3570970F" w:rsidRPr="791B8135">
        <w:rPr>
          <w:rFonts w:asciiTheme="majorHAnsi" w:hAnsiTheme="majorHAnsi" w:cstheme="majorBidi"/>
          <w:sz w:val="22"/>
          <w:szCs w:val="22"/>
          <w:lang w:val="en-GB"/>
        </w:rPr>
        <w:t>, coping with the limits for inland use.</w:t>
      </w:r>
    </w:p>
    <w:p w14:paraId="5D4C4E1B" w14:textId="6CE0A286" w:rsidR="00DB6498" w:rsidRPr="00E24E04" w:rsidRDefault="003C2F0D" w:rsidP="00CE1B9B">
      <w:pPr>
        <w:spacing w:after="120" w:line="360" w:lineRule="auto"/>
        <w:rPr>
          <w:rFonts w:asciiTheme="majorHAnsi" w:hAnsiTheme="majorHAnsi" w:cstheme="majorHAnsi"/>
          <w:sz w:val="22"/>
          <w:szCs w:val="22"/>
          <w:lang w:val="en-GB"/>
        </w:rPr>
      </w:pPr>
      <w:r w:rsidRPr="00E24E04">
        <w:rPr>
          <w:rFonts w:asciiTheme="majorHAnsi" w:hAnsiTheme="majorHAnsi" w:cstheme="majorHAnsi"/>
          <w:sz w:val="22"/>
          <w:szCs w:val="22"/>
          <w:lang w:val="en-GB"/>
        </w:rPr>
        <w:tab/>
      </w:r>
      <w:r w:rsidR="007F14C7" w:rsidRPr="00E24E04">
        <w:rPr>
          <w:rFonts w:asciiTheme="majorHAnsi" w:hAnsiTheme="majorHAnsi" w:cstheme="majorHAnsi"/>
          <w:sz w:val="22"/>
          <w:szCs w:val="22"/>
          <w:lang w:val="en-GB"/>
        </w:rPr>
        <w:t xml:space="preserve">MDO </w:t>
      </w:r>
      <w:r w:rsidR="00B6068B" w:rsidRPr="00E24E04">
        <w:rPr>
          <w:rFonts w:asciiTheme="majorHAnsi" w:hAnsiTheme="majorHAnsi" w:cstheme="majorHAnsi"/>
          <w:sz w:val="22"/>
          <w:szCs w:val="22"/>
          <w:lang w:val="en-GB"/>
        </w:rPr>
        <w:t xml:space="preserve">consists </w:t>
      </w:r>
      <w:r w:rsidR="005B382E" w:rsidRPr="00E24E04">
        <w:rPr>
          <w:rFonts w:asciiTheme="majorHAnsi" w:hAnsiTheme="majorHAnsi" w:cstheme="majorHAnsi"/>
          <w:sz w:val="22"/>
          <w:szCs w:val="22"/>
          <w:lang w:val="en-GB"/>
        </w:rPr>
        <w:t>in a ble</w:t>
      </w:r>
      <w:r w:rsidR="01990876" w:rsidRPr="00E24E04">
        <w:rPr>
          <w:rFonts w:asciiTheme="majorHAnsi" w:hAnsiTheme="majorHAnsi" w:cstheme="majorHAnsi"/>
          <w:sz w:val="22"/>
          <w:szCs w:val="22"/>
          <w:lang w:val="en-GB"/>
        </w:rPr>
        <w:t>n</w:t>
      </w:r>
      <w:r w:rsidR="005B382E" w:rsidRPr="00E24E04">
        <w:rPr>
          <w:rFonts w:asciiTheme="majorHAnsi" w:hAnsiTheme="majorHAnsi" w:cstheme="majorHAnsi"/>
          <w:sz w:val="22"/>
          <w:szCs w:val="22"/>
          <w:lang w:val="en-GB"/>
        </w:rPr>
        <w:t>d of distillates heavier than MGO</w:t>
      </w:r>
      <w:r w:rsidR="00736076" w:rsidRPr="00E24E04">
        <w:rPr>
          <w:rFonts w:asciiTheme="majorHAnsi" w:hAnsiTheme="majorHAnsi" w:cstheme="majorHAnsi"/>
          <w:sz w:val="22"/>
          <w:szCs w:val="22"/>
          <w:lang w:val="en-GB"/>
        </w:rPr>
        <w:t xml:space="preserve">, </w:t>
      </w:r>
      <w:r w:rsidR="00BE6D6A">
        <w:rPr>
          <w:rFonts w:asciiTheme="majorHAnsi" w:hAnsiTheme="majorHAnsi" w:cstheme="majorHAnsi"/>
          <w:sz w:val="22"/>
          <w:szCs w:val="22"/>
          <w:lang w:val="en-GB"/>
        </w:rPr>
        <w:t xml:space="preserve">or a </w:t>
      </w:r>
      <w:r w:rsidR="00DD5C73">
        <w:rPr>
          <w:rFonts w:asciiTheme="majorHAnsi" w:hAnsiTheme="majorHAnsi" w:cstheme="majorHAnsi"/>
          <w:sz w:val="22"/>
          <w:szCs w:val="22"/>
          <w:lang w:val="en-GB"/>
        </w:rPr>
        <w:t>possible</w:t>
      </w:r>
      <w:r w:rsidR="0054596A" w:rsidRPr="00E24E04">
        <w:rPr>
          <w:rFonts w:asciiTheme="majorHAnsi" w:hAnsiTheme="majorHAnsi" w:cstheme="majorHAnsi"/>
          <w:sz w:val="22"/>
          <w:szCs w:val="22"/>
          <w:lang w:val="en-GB"/>
        </w:rPr>
        <w:t xml:space="preserve"> blend containing heavy fuel oil in low proportion. </w:t>
      </w:r>
      <w:r w:rsidR="00B927E4" w:rsidRPr="00E24E04">
        <w:rPr>
          <w:rFonts w:asciiTheme="majorHAnsi" w:hAnsiTheme="majorHAnsi" w:cstheme="majorHAnsi"/>
          <w:sz w:val="22"/>
          <w:szCs w:val="22"/>
          <w:lang w:val="en-GB"/>
        </w:rPr>
        <w:t xml:space="preserve">It has </w:t>
      </w:r>
      <w:r w:rsidR="006732B2" w:rsidRPr="00E24E04">
        <w:rPr>
          <w:rFonts w:asciiTheme="majorHAnsi" w:hAnsiTheme="majorHAnsi" w:cstheme="majorHAnsi"/>
          <w:sz w:val="22"/>
          <w:szCs w:val="22"/>
          <w:lang w:val="en-GB"/>
        </w:rPr>
        <w:t>around 25 % w/w of aromatics</w:t>
      </w:r>
      <w:r w:rsidR="00874F83" w:rsidRPr="00E24E04">
        <w:rPr>
          <w:rFonts w:asciiTheme="majorHAnsi" w:hAnsiTheme="majorHAnsi" w:cstheme="majorHAnsi"/>
          <w:sz w:val="22"/>
          <w:szCs w:val="22"/>
          <w:lang w:val="en-GB"/>
        </w:rPr>
        <w:t xml:space="preserve">, </w:t>
      </w:r>
      <w:r w:rsidR="001A5454" w:rsidRPr="00E24E04">
        <w:rPr>
          <w:rFonts w:asciiTheme="majorHAnsi" w:hAnsiTheme="majorHAnsi" w:cstheme="majorHAnsi"/>
          <w:sz w:val="22"/>
          <w:szCs w:val="22"/>
          <w:lang w:val="en-GB"/>
        </w:rPr>
        <w:t>typically lower in cetane than MGO</w:t>
      </w:r>
      <w:r w:rsidR="00874F83" w:rsidRPr="00E24E04">
        <w:rPr>
          <w:rFonts w:asciiTheme="majorHAnsi" w:hAnsiTheme="majorHAnsi" w:cstheme="majorHAnsi"/>
          <w:sz w:val="22"/>
          <w:szCs w:val="22"/>
          <w:lang w:val="en-GB"/>
        </w:rPr>
        <w:t xml:space="preserve"> and</w:t>
      </w:r>
      <w:r w:rsidR="00327122" w:rsidRPr="00E24E04">
        <w:rPr>
          <w:rFonts w:asciiTheme="majorHAnsi" w:hAnsiTheme="majorHAnsi" w:cstheme="majorHAnsi"/>
          <w:sz w:val="22"/>
          <w:szCs w:val="22"/>
          <w:lang w:val="en-GB"/>
        </w:rPr>
        <w:t xml:space="preserve"> with</w:t>
      </w:r>
      <w:r w:rsidR="00523C7A" w:rsidRPr="00E24E04">
        <w:rPr>
          <w:rFonts w:asciiTheme="majorHAnsi" w:hAnsiTheme="majorHAnsi" w:cstheme="majorHAnsi"/>
          <w:sz w:val="22"/>
          <w:szCs w:val="22"/>
          <w:lang w:val="en-GB"/>
        </w:rPr>
        <w:t xml:space="preserve"> sulphur content between 0.3 and 2.0 % w/w.</w:t>
      </w:r>
      <w:r w:rsidR="00327122" w:rsidRPr="00E24E04">
        <w:rPr>
          <w:rFonts w:asciiTheme="majorHAnsi" w:hAnsiTheme="majorHAnsi" w:cstheme="majorHAnsi"/>
          <w:sz w:val="22"/>
          <w:szCs w:val="22"/>
          <w:lang w:val="en-GB"/>
        </w:rPr>
        <w:t xml:space="preserve"> </w:t>
      </w:r>
      <w:r w:rsidR="00DA5B25" w:rsidRPr="00E24E04">
        <w:rPr>
          <w:rFonts w:asciiTheme="majorHAnsi" w:hAnsiTheme="majorHAnsi" w:cstheme="majorHAnsi"/>
          <w:sz w:val="22"/>
          <w:szCs w:val="22"/>
          <w:lang w:val="en-GB"/>
        </w:rPr>
        <w:t xml:space="preserve"> It is usually used in smaller ships</w:t>
      </w:r>
      <w:r w:rsidR="00965960" w:rsidRPr="00E24E04">
        <w:rPr>
          <w:rFonts w:asciiTheme="majorHAnsi" w:hAnsiTheme="majorHAnsi" w:cstheme="majorHAnsi"/>
          <w:sz w:val="22"/>
          <w:szCs w:val="22"/>
          <w:lang w:val="en-GB"/>
        </w:rPr>
        <w:t xml:space="preserve"> operating in a constant speed and varying tonnage</w:t>
      </w:r>
      <w:r w:rsidR="006B3FE0" w:rsidRPr="00E24E04">
        <w:rPr>
          <w:rFonts w:asciiTheme="majorHAnsi" w:hAnsiTheme="majorHAnsi" w:cstheme="majorHAnsi"/>
          <w:sz w:val="22"/>
          <w:szCs w:val="22"/>
          <w:lang w:val="en-GB"/>
        </w:rPr>
        <w:t xml:space="preserve"> in 4-st</w:t>
      </w:r>
      <w:r w:rsidR="1D2EE96B" w:rsidRPr="00E24E04">
        <w:rPr>
          <w:rFonts w:asciiTheme="majorHAnsi" w:hAnsiTheme="majorHAnsi" w:cstheme="majorHAnsi"/>
          <w:sz w:val="22"/>
          <w:szCs w:val="22"/>
          <w:lang w:val="en-GB"/>
        </w:rPr>
        <w:t>r</w:t>
      </w:r>
      <w:r w:rsidR="006B3FE0" w:rsidRPr="00E24E04">
        <w:rPr>
          <w:rFonts w:asciiTheme="majorHAnsi" w:hAnsiTheme="majorHAnsi" w:cstheme="majorHAnsi"/>
          <w:sz w:val="22"/>
          <w:szCs w:val="22"/>
          <w:lang w:val="en-GB"/>
        </w:rPr>
        <w:t>oke engines.</w:t>
      </w:r>
      <w:r w:rsidR="007F0264" w:rsidRPr="00E24E04">
        <w:rPr>
          <w:rFonts w:asciiTheme="majorHAnsi" w:hAnsiTheme="majorHAnsi" w:cstheme="majorHAnsi"/>
          <w:sz w:val="22"/>
          <w:szCs w:val="22"/>
          <w:lang w:val="en-GB"/>
        </w:rPr>
        <w:t xml:space="preserve"> </w:t>
      </w:r>
    </w:p>
    <w:p w14:paraId="00D3AEF4" w14:textId="35B81C3D" w:rsidR="00DB6498" w:rsidRPr="00E24E04" w:rsidRDefault="5AC2780F"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Residual Marine fuels</w:t>
      </w:r>
      <w:r w:rsidR="680C07D1" w:rsidRPr="5937A937">
        <w:rPr>
          <w:rFonts w:asciiTheme="majorHAnsi" w:hAnsiTheme="majorHAnsi" w:cstheme="majorBidi"/>
          <w:sz w:val="22"/>
          <w:szCs w:val="22"/>
          <w:lang w:val="en-GB"/>
        </w:rPr>
        <w:t xml:space="preserve"> are the heavy fraction </w:t>
      </w:r>
      <w:r w:rsidR="55D5E08A" w:rsidRPr="5937A937">
        <w:rPr>
          <w:rFonts w:asciiTheme="majorHAnsi" w:hAnsiTheme="majorHAnsi" w:cstheme="majorBidi"/>
          <w:sz w:val="22"/>
          <w:szCs w:val="22"/>
          <w:lang w:val="en-GB"/>
        </w:rPr>
        <w:t xml:space="preserve">of </w:t>
      </w:r>
      <w:r w:rsidR="7A37FCE2" w:rsidRPr="5937A937">
        <w:rPr>
          <w:rFonts w:asciiTheme="majorHAnsi" w:hAnsiTheme="majorHAnsi" w:cstheme="majorBidi"/>
          <w:sz w:val="22"/>
          <w:szCs w:val="22"/>
          <w:lang w:val="en-GB"/>
        </w:rPr>
        <w:t>oil dis</w:t>
      </w:r>
      <w:r w:rsidR="0633784C" w:rsidRPr="5937A937">
        <w:rPr>
          <w:rFonts w:asciiTheme="majorHAnsi" w:hAnsiTheme="majorHAnsi" w:cstheme="majorBidi"/>
          <w:sz w:val="22"/>
          <w:szCs w:val="22"/>
          <w:lang w:val="en-GB"/>
        </w:rPr>
        <w:t>tillation</w:t>
      </w:r>
      <w:r w:rsidR="55D5E08A" w:rsidRPr="5937A937">
        <w:rPr>
          <w:rFonts w:asciiTheme="majorHAnsi" w:hAnsiTheme="majorHAnsi" w:cstheme="majorBidi"/>
          <w:sz w:val="22"/>
          <w:szCs w:val="22"/>
          <w:lang w:val="en-GB"/>
        </w:rPr>
        <w:t xml:space="preserve"> and are available </w:t>
      </w:r>
      <w:r w:rsidR="173C987B" w:rsidRPr="5937A937">
        <w:rPr>
          <w:rFonts w:asciiTheme="majorHAnsi" w:hAnsiTheme="majorHAnsi" w:cstheme="majorBidi"/>
          <w:sz w:val="22"/>
          <w:szCs w:val="22"/>
          <w:lang w:val="en-GB"/>
        </w:rPr>
        <w:t>within</w:t>
      </w:r>
      <w:r w:rsidR="55D5E08A" w:rsidRPr="5937A937">
        <w:rPr>
          <w:rFonts w:asciiTheme="majorHAnsi" w:hAnsiTheme="majorHAnsi" w:cstheme="majorBidi"/>
          <w:sz w:val="22"/>
          <w:szCs w:val="22"/>
          <w:lang w:val="en-GB"/>
        </w:rPr>
        <w:t xml:space="preserve"> a range of sulphur</w:t>
      </w:r>
      <w:r w:rsidR="531EA328" w:rsidRPr="5937A937">
        <w:rPr>
          <w:rFonts w:asciiTheme="majorHAnsi" w:hAnsiTheme="majorHAnsi" w:cstheme="majorBidi"/>
          <w:sz w:val="22"/>
          <w:szCs w:val="22"/>
          <w:lang w:val="en-GB"/>
        </w:rPr>
        <w:t xml:space="preserve"> content and viscosities.</w:t>
      </w:r>
      <w:r w:rsidR="0140ACCC" w:rsidRPr="5937A937">
        <w:rPr>
          <w:rFonts w:asciiTheme="majorHAnsi" w:hAnsiTheme="majorHAnsi" w:cstheme="majorBidi"/>
          <w:sz w:val="22"/>
          <w:szCs w:val="22"/>
          <w:lang w:val="en-GB"/>
        </w:rPr>
        <w:t xml:space="preserve"> </w:t>
      </w:r>
      <w:r w:rsidR="00BF55F2">
        <w:rPr>
          <w:rFonts w:asciiTheme="majorHAnsi" w:hAnsiTheme="majorHAnsi" w:cstheme="majorBidi"/>
          <w:sz w:val="22"/>
          <w:szCs w:val="22"/>
          <w:lang w:val="en-GB"/>
        </w:rPr>
        <w:t>Heavy Fuel Oil (</w:t>
      </w:r>
      <w:r w:rsidR="570B00F9" w:rsidRPr="5937A937">
        <w:rPr>
          <w:rFonts w:asciiTheme="majorHAnsi" w:hAnsiTheme="majorHAnsi" w:cstheme="majorBidi"/>
          <w:sz w:val="22"/>
          <w:szCs w:val="22"/>
          <w:lang w:val="en-GB"/>
        </w:rPr>
        <w:t>HFO</w:t>
      </w:r>
      <w:r w:rsidR="00BF55F2">
        <w:rPr>
          <w:rFonts w:asciiTheme="majorHAnsi" w:hAnsiTheme="majorHAnsi" w:cstheme="majorBidi"/>
          <w:sz w:val="22"/>
          <w:szCs w:val="22"/>
          <w:lang w:val="en-GB"/>
        </w:rPr>
        <w:t>)</w:t>
      </w:r>
      <w:r w:rsidR="570B00F9" w:rsidRPr="5937A937">
        <w:rPr>
          <w:rFonts w:asciiTheme="majorHAnsi" w:hAnsiTheme="majorHAnsi" w:cstheme="majorBidi"/>
          <w:sz w:val="22"/>
          <w:szCs w:val="22"/>
          <w:lang w:val="en-GB"/>
        </w:rPr>
        <w:t xml:space="preserve"> </w:t>
      </w:r>
      <w:r w:rsidR="00BF1C94">
        <w:rPr>
          <w:rFonts w:asciiTheme="majorHAnsi" w:hAnsiTheme="majorHAnsi" w:cstheme="majorBidi"/>
          <w:sz w:val="22"/>
          <w:szCs w:val="22"/>
          <w:lang w:val="en-GB"/>
        </w:rPr>
        <w:t>is</w:t>
      </w:r>
      <w:r w:rsidR="570B00F9" w:rsidRPr="5937A937">
        <w:rPr>
          <w:rFonts w:asciiTheme="majorHAnsi" w:hAnsiTheme="majorHAnsi" w:cstheme="majorBidi"/>
          <w:sz w:val="22"/>
          <w:szCs w:val="22"/>
          <w:lang w:val="en-GB"/>
        </w:rPr>
        <w:t xml:space="preserve"> </w:t>
      </w:r>
      <w:r w:rsidR="51D9E27B" w:rsidRPr="5937A937">
        <w:rPr>
          <w:rFonts w:asciiTheme="majorHAnsi" w:hAnsiTheme="majorHAnsi" w:cstheme="majorBidi"/>
          <w:sz w:val="22"/>
          <w:szCs w:val="22"/>
          <w:lang w:val="en-GB"/>
        </w:rPr>
        <w:t>specified</w:t>
      </w:r>
      <w:r w:rsidR="570B00F9" w:rsidRPr="5937A937">
        <w:rPr>
          <w:rFonts w:asciiTheme="majorHAnsi" w:hAnsiTheme="majorHAnsi" w:cstheme="majorBidi"/>
          <w:sz w:val="22"/>
          <w:szCs w:val="22"/>
          <w:lang w:val="en-GB"/>
        </w:rPr>
        <w:t xml:space="preserve"> according to MARPOL</w:t>
      </w:r>
      <w:r w:rsidR="0974B4AF" w:rsidRPr="5937A937">
        <w:rPr>
          <w:rFonts w:asciiTheme="majorHAnsi" w:hAnsiTheme="majorHAnsi" w:cstheme="majorBidi"/>
          <w:sz w:val="22"/>
          <w:szCs w:val="22"/>
          <w:lang w:val="en-GB"/>
        </w:rPr>
        <w:t xml:space="preserve"> definition</w:t>
      </w:r>
      <w:r w:rsidR="17F600E6" w:rsidRPr="5937A937">
        <w:rPr>
          <w:rFonts w:asciiTheme="majorHAnsi" w:hAnsiTheme="majorHAnsi" w:cstheme="majorBidi"/>
          <w:sz w:val="22"/>
          <w:szCs w:val="22"/>
          <w:lang w:val="en-GB"/>
        </w:rPr>
        <w:t xml:space="preserve"> as</w:t>
      </w:r>
      <w:r w:rsidR="061BB85A" w:rsidRPr="5937A937">
        <w:rPr>
          <w:rFonts w:asciiTheme="majorHAnsi" w:hAnsiTheme="majorHAnsi" w:cstheme="majorBidi"/>
          <w:sz w:val="22"/>
          <w:szCs w:val="22"/>
          <w:lang w:val="en-GB"/>
        </w:rPr>
        <w:t xml:space="preserve"> </w:t>
      </w:r>
      <w:r w:rsidR="2A4FD384" w:rsidRPr="5937A937">
        <w:rPr>
          <w:rFonts w:asciiTheme="majorHAnsi" w:hAnsiTheme="majorHAnsi" w:cstheme="majorBidi"/>
          <w:sz w:val="22"/>
          <w:szCs w:val="22"/>
          <w:lang w:val="en-GB"/>
        </w:rPr>
        <w:t xml:space="preserve">having </w:t>
      </w:r>
      <w:r w:rsidR="006852EF" w:rsidRPr="5937A937">
        <w:rPr>
          <w:rFonts w:asciiTheme="majorHAnsi" w:hAnsiTheme="majorHAnsi" w:cstheme="majorBidi"/>
          <w:sz w:val="22"/>
          <w:szCs w:val="22"/>
          <w:lang w:val="en-GB"/>
        </w:rPr>
        <w:t xml:space="preserve">either density and kinematic viscosity superior </w:t>
      </w:r>
      <w:r w:rsidR="2B2BC845" w:rsidRPr="5937A937">
        <w:rPr>
          <w:rFonts w:asciiTheme="majorHAnsi" w:hAnsiTheme="majorHAnsi" w:cstheme="majorBidi"/>
          <w:sz w:val="22"/>
          <w:szCs w:val="22"/>
          <w:lang w:val="en-GB"/>
        </w:rPr>
        <w:t>than 900 kg.m</w:t>
      </w:r>
      <w:r w:rsidR="2B2BC845" w:rsidRPr="5937A937">
        <w:rPr>
          <w:rFonts w:asciiTheme="majorHAnsi" w:hAnsiTheme="majorHAnsi" w:cstheme="majorBidi"/>
          <w:sz w:val="22"/>
          <w:szCs w:val="22"/>
          <w:vertAlign w:val="superscript"/>
          <w:lang w:val="en-GB"/>
        </w:rPr>
        <w:t>3</w:t>
      </w:r>
      <w:r w:rsidR="2B2BC845" w:rsidRPr="5937A937">
        <w:rPr>
          <w:rFonts w:asciiTheme="majorHAnsi" w:hAnsiTheme="majorHAnsi" w:cstheme="majorBidi"/>
          <w:sz w:val="22"/>
          <w:szCs w:val="22"/>
          <w:lang w:val="en-GB"/>
        </w:rPr>
        <w:t xml:space="preserve"> (15</w:t>
      </w:r>
      <w:r w:rsidR="399D1EB7" w:rsidRPr="5937A937">
        <w:rPr>
          <w:rFonts w:asciiTheme="majorHAnsi" w:hAnsiTheme="majorHAnsi" w:cstheme="majorBidi"/>
          <w:sz w:val="22"/>
          <w:szCs w:val="22"/>
          <w:lang w:val="en-GB"/>
        </w:rPr>
        <w:t xml:space="preserve"> °C) </w:t>
      </w:r>
      <w:r w:rsidR="5656F433" w:rsidRPr="5937A937">
        <w:rPr>
          <w:rFonts w:asciiTheme="majorHAnsi" w:hAnsiTheme="majorHAnsi" w:cstheme="majorBidi"/>
          <w:sz w:val="22"/>
          <w:szCs w:val="22"/>
          <w:lang w:val="en-GB"/>
        </w:rPr>
        <w:t>and 180 mm</w:t>
      </w:r>
      <w:r w:rsidR="5656F433" w:rsidRPr="5937A937">
        <w:rPr>
          <w:rFonts w:asciiTheme="majorHAnsi" w:hAnsiTheme="majorHAnsi" w:cstheme="majorBidi"/>
          <w:sz w:val="22"/>
          <w:szCs w:val="22"/>
          <w:vertAlign w:val="superscript"/>
          <w:lang w:val="en-GB"/>
        </w:rPr>
        <w:t>2</w:t>
      </w:r>
      <w:r w:rsidR="5656F433" w:rsidRPr="5937A937">
        <w:rPr>
          <w:rFonts w:asciiTheme="majorHAnsi" w:hAnsiTheme="majorHAnsi" w:cstheme="majorBidi"/>
          <w:sz w:val="22"/>
          <w:szCs w:val="22"/>
          <w:lang w:val="en-GB"/>
        </w:rPr>
        <w:t>/s (50 °C)</w:t>
      </w:r>
      <w:r w:rsidR="1159F18C" w:rsidRPr="5937A937">
        <w:rPr>
          <w:rFonts w:asciiTheme="majorHAnsi" w:hAnsiTheme="majorHAnsi" w:cstheme="majorBidi"/>
          <w:sz w:val="22"/>
          <w:szCs w:val="22"/>
          <w:lang w:val="en-GB"/>
        </w:rPr>
        <w:t>, respectively.</w:t>
      </w:r>
      <w:r w:rsidR="3595CDAD" w:rsidRPr="5937A937">
        <w:rPr>
          <w:rFonts w:asciiTheme="majorHAnsi" w:hAnsiTheme="majorHAnsi" w:cstheme="majorBidi"/>
          <w:sz w:val="22"/>
          <w:szCs w:val="22"/>
          <w:lang w:val="en-GB"/>
        </w:rPr>
        <w:t xml:space="preserve"> HFO </w:t>
      </w:r>
      <w:r w:rsidR="00C61D3E">
        <w:rPr>
          <w:rFonts w:asciiTheme="majorHAnsi" w:hAnsiTheme="majorHAnsi" w:cstheme="majorBidi"/>
          <w:sz w:val="22"/>
          <w:szCs w:val="22"/>
          <w:lang w:val="en-GB"/>
        </w:rPr>
        <w:t>is</w:t>
      </w:r>
      <w:r w:rsidR="370E69C2" w:rsidRPr="5937A937">
        <w:rPr>
          <w:rFonts w:asciiTheme="majorHAnsi" w:hAnsiTheme="majorHAnsi" w:cstheme="majorBidi"/>
          <w:sz w:val="22"/>
          <w:szCs w:val="22"/>
          <w:lang w:val="en-GB"/>
        </w:rPr>
        <w:t xml:space="preserve"> naturally</w:t>
      </w:r>
      <w:r w:rsidR="3595CDAD" w:rsidRPr="5937A937">
        <w:rPr>
          <w:rFonts w:asciiTheme="majorHAnsi" w:hAnsiTheme="majorHAnsi" w:cstheme="majorBidi"/>
          <w:sz w:val="22"/>
          <w:szCs w:val="22"/>
          <w:lang w:val="en-GB"/>
        </w:rPr>
        <w:t xml:space="preserve"> rich in </w:t>
      </w:r>
      <w:r w:rsidR="3A1E1AAA" w:rsidRPr="5937A937">
        <w:rPr>
          <w:rFonts w:asciiTheme="majorHAnsi" w:hAnsiTheme="majorHAnsi" w:cstheme="majorBidi"/>
          <w:sz w:val="22"/>
          <w:szCs w:val="22"/>
          <w:lang w:val="en-GB"/>
        </w:rPr>
        <w:t xml:space="preserve">hydrocarbons with </w:t>
      </w:r>
      <w:r w:rsidR="3595CDAD" w:rsidRPr="5937A937">
        <w:rPr>
          <w:rFonts w:asciiTheme="majorHAnsi" w:hAnsiTheme="majorHAnsi" w:cstheme="majorBidi"/>
          <w:sz w:val="22"/>
          <w:szCs w:val="22"/>
          <w:lang w:val="en-GB"/>
        </w:rPr>
        <w:t xml:space="preserve">long </w:t>
      </w:r>
      <w:r w:rsidR="3492A902" w:rsidRPr="5937A937">
        <w:rPr>
          <w:rFonts w:asciiTheme="majorHAnsi" w:hAnsiTheme="majorHAnsi" w:cstheme="majorBidi"/>
          <w:sz w:val="22"/>
          <w:szCs w:val="22"/>
          <w:lang w:val="en-GB"/>
        </w:rPr>
        <w:t>molecular chain</w:t>
      </w:r>
      <w:r w:rsidR="0D28E95B" w:rsidRPr="5937A937">
        <w:rPr>
          <w:rFonts w:asciiTheme="majorHAnsi" w:hAnsiTheme="majorHAnsi" w:cstheme="majorBidi"/>
          <w:sz w:val="22"/>
          <w:szCs w:val="22"/>
          <w:lang w:val="en-GB"/>
        </w:rPr>
        <w:t>. It</w:t>
      </w:r>
      <w:r w:rsidR="328A0FCB" w:rsidRPr="5937A937">
        <w:rPr>
          <w:rFonts w:asciiTheme="majorHAnsi" w:hAnsiTheme="majorHAnsi" w:cstheme="majorBidi"/>
          <w:sz w:val="22"/>
          <w:szCs w:val="22"/>
          <w:lang w:val="en-GB"/>
        </w:rPr>
        <w:t xml:space="preserve"> can be further refined </w:t>
      </w:r>
      <w:r w:rsidR="42463F6D" w:rsidRPr="5937A937">
        <w:rPr>
          <w:rFonts w:asciiTheme="majorHAnsi" w:hAnsiTheme="majorHAnsi" w:cstheme="majorBidi"/>
          <w:sz w:val="22"/>
          <w:szCs w:val="22"/>
          <w:lang w:val="en-GB"/>
        </w:rPr>
        <w:t>by means of thermal and catalytic cracking</w:t>
      </w:r>
      <w:r w:rsidR="75371B68" w:rsidRPr="5937A937">
        <w:rPr>
          <w:rFonts w:asciiTheme="majorHAnsi" w:hAnsiTheme="majorHAnsi" w:cstheme="majorBidi"/>
          <w:sz w:val="22"/>
          <w:szCs w:val="22"/>
          <w:lang w:val="en-GB"/>
        </w:rPr>
        <w:t xml:space="preserve">, breaking long </w:t>
      </w:r>
      <w:r w:rsidR="0D28E95B" w:rsidRPr="5937A937">
        <w:rPr>
          <w:rFonts w:asciiTheme="majorHAnsi" w:hAnsiTheme="majorHAnsi" w:cstheme="majorBidi"/>
          <w:sz w:val="22"/>
          <w:szCs w:val="22"/>
          <w:lang w:val="en-GB"/>
        </w:rPr>
        <w:t>hydrocarbons</w:t>
      </w:r>
      <w:r w:rsidR="75371B68" w:rsidRPr="5937A937">
        <w:rPr>
          <w:rFonts w:asciiTheme="majorHAnsi" w:hAnsiTheme="majorHAnsi" w:cstheme="majorBidi"/>
          <w:sz w:val="22"/>
          <w:szCs w:val="22"/>
          <w:lang w:val="en-GB"/>
        </w:rPr>
        <w:t xml:space="preserve"> into lighter </w:t>
      </w:r>
      <w:r w:rsidR="0D28E95B" w:rsidRPr="5937A937">
        <w:rPr>
          <w:rFonts w:asciiTheme="majorHAnsi" w:hAnsiTheme="majorHAnsi" w:cstheme="majorBidi"/>
          <w:sz w:val="22"/>
          <w:szCs w:val="22"/>
          <w:lang w:val="en-GB"/>
        </w:rPr>
        <w:t>molecules</w:t>
      </w:r>
      <w:r w:rsidR="75371B68" w:rsidRPr="5937A937">
        <w:rPr>
          <w:rFonts w:asciiTheme="majorHAnsi" w:hAnsiTheme="majorHAnsi" w:cstheme="majorBidi"/>
          <w:sz w:val="22"/>
          <w:szCs w:val="22"/>
          <w:lang w:val="en-GB"/>
        </w:rPr>
        <w:t xml:space="preserve">, thus </w:t>
      </w:r>
      <w:r w:rsidR="0D28E95B" w:rsidRPr="5937A937">
        <w:rPr>
          <w:rFonts w:asciiTheme="majorHAnsi" w:hAnsiTheme="majorHAnsi" w:cstheme="majorBidi"/>
          <w:sz w:val="22"/>
          <w:szCs w:val="22"/>
          <w:lang w:val="en-GB"/>
        </w:rPr>
        <w:t xml:space="preserve">decreasing </w:t>
      </w:r>
      <w:r w:rsidR="699EEA3A" w:rsidRPr="5937A937">
        <w:rPr>
          <w:rFonts w:asciiTheme="majorHAnsi" w:hAnsiTheme="majorHAnsi" w:cstheme="majorBidi"/>
          <w:sz w:val="22"/>
          <w:szCs w:val="22"/>
          <w:lang w:val="en-GB"/>
        </w:rPr>
        <w:t xml:space="preserve">the </w:t>
      </w:r>
      <w:r w:rsidR="1B125AF8" w:rsidRPr="5937A937">
        <w:rPr>
          <w:rFonts w:asciiTheme="majorHAnsi" w:hAnsiTheme="majorHAnsi" w:cstheme="majorBidi"/>
          <w:sz w:val="22"/>
          <w:szCs w:val="22"/>
          <w:lang w:val="en-GB"/>
        </w:rPr>
        <w:t>overall viscosity to</w:t>
      </w:r>
      <w:r w:rsidR="6E93C259" w:rsidRPr="5937A937">
        <w:rPr>
          <w:rFonts w:asciiTheme="majorHAnsi" w:hAnsiTheme="majorHAnsi" w:cstheme="majorBidi"/>
          <w:sz w:val="22"/>
          <w:szCs w:val="22"/>
          <w:lang w:val="en-GB"/>
        </w:rPr>
        <w:t xml:space="preserve"> meet</w:t>
      </w:r>
      <w:r w:rsidR="1B125AF8" w:rsidRPr="5937A937">
        <w:rPr>
          <w:rFonts w:asciiTheme="majorHAnsi" w:hAnsiTheme="majorHAnsi" w:cstheme="majorBidi"/>
          <w:sz w:val="22"/>
          <w:szCs w:val="22"/>
          <w:lang w:val="en-GB"/>
        </w:rPr>
        <w:t xml:space="preserve"> desired specification.</w:t>
      </w:r>
      <w:r w:rsidR="126B8FF0" w:rsidRPr="5937A937">
        <w:rPr>
          <w:rFonts w:asciiTheme="majorHAnsi" w:hAnsiTheme="majorHAnsi" w:cstheme="majorBidi"/>
          <w:sz w:val="22"/>
          <w:szCs w:val="22"/>
          <w:lang w:val="en-GB"/>
        </w:rPr>
        <w:t xml:space="preserve"> </w:t>
      </w:r>
      <w:r w:rsidR="0B4F0741" w:rsidRPr="5937A937">
        <w:rPr>
          <w:rFonts w:asciiTheme="majorHAnsi" w:hAnsiTheme="majorHAnsi" w:cstheme="majorBidi"/>
          <w:sz w:val="22"/>
          <w:szCs w:val="22"/>
          <w:lang w:val="en-GB"/>
        </w:rPr>
        <w:t xml:space="preserve">HFO can be used in blends with lighter fractions to meet specifications as needed. </w:t>
      </w:r>
      <w:r w:rsidR="126B8FF0" w:rsidRPr="5937A937">
        <w:rPr>
          <w:rFonts w:asciiTheme="majorHAnsi" w:hAnsiTheme="majorHAnsi" w:cstheme="majorBidi"/>
          <w:sz w:val="22"/>
          <w:szCs w:val="22"/>
          <w:lang w:val="en-GB"/>
        </w:rPr>
        <w:t>It is mostly used for large</w:t>
      </w:r>
      <w:r w:rsidR="0E0B16F6" w:rsidRPr="5937A937">
        <w:rPr>
          <w:rFonts w:asciiTheme="majorHAnsi" w:hAnsiTheme="majorHAnsi" w:cstheme="majorBidi"/>
          <w:sz w:val="22"/>
          <w:szCs w:val="22"/>
          <w:lang w:val="en-GB"/>
        </w:rPr>
        <w:t xml:space="preserve"> and slow ships working with 2-st</w:t>
      </w:r>
      <w:r w:rsidR="59110798" w:rsidRPr="5937A937">
        <w:rPr>
          <w:rFonts w:asciiTheme="majorHAnsi" w:hAnsiTheme="majorHAnsi" w:cstheme="majorBidi"/>
          <w:sz w:val="22"/>
          <w:szCs w:val="22"/>
          <w:lang w:val="en-GB"/>
        </w:rPr>
        <w:t>r</w:t>
      </w:r>
      <w:r w:rsidR="0E0B16F6" w:rsidRPr="5937A937">
        <w:rPr>
          <w:rFonts w:asciiTheme="majorHAnsi" w:hAnsiTheme="majorHAnsi" w:cstheme="majorBidi"/>
          <w:sz w:val="22"/>
          <w:szCs w:val="22"/>
          <w:lang w:val="en-GB"/>
        </w:rPr>
        <w:t>oke engines</w:t>
      </w:r>
      <w:r w:rsidR="00855362">
        <w:rPr>
          <w:rFonts w:asciiTheme="majorHAnsi" w:hAnsiTheme="majorHAnsi" w:cstheme="majorBidi"/>
          <w:sz w:val="22"/>
          <w:szCs w:val="22"/>
          <w:lang w:val="en-GB"/>
        </w:rPr>
        <w:t>, also used in 4-stroke engines though</w:t>
      </w:r>
      <w:r w:rsidR="0E0B16F6" w:rsidRPr="5937A937">
        <w:rPr>
          <w:rFonts w:asciiTheme="majorHAnsi" w:hAnsiTheme="majorHAnsi" w:cstheme="majorBidi"/>
          <w:sz w:val="22"/>
          <w:szCs w:val="22"/>
          <w:lang w:val="en-GB"/>
        </w:rPr>
        <w:t>.</w:t>
      </w:r>
      <w:r w:rsidR="6BAF06A4" w:rsidRPr="5937A937">
        <w:rPr>
          <w:rFonts w:asciiTheme="majorHAnsi" w:hAnsiTheme="majorHAnsi" w:cstheme="majorBidi"/>
          <w:sz w:val="22"/>
          <w:szCs w:val="22"/>
          <w:lang w:val="en-GB"/>
        </w:rPr>
        <w:t xml:space="preserve"> Due to </w:t>
      </w:r>
      <w:r w:rsidR="1EF784E4" w:rsidRPr="5937A937">
        <w:rPr>
          <w:rFonts w:asciiTheme="majorHAnsi" w:hAnsiTheme="majorHAnsi" w:cstheme="majorBidi"/>
          <w:sz w:val="22"/>
          <w:szCs w:val="22"/>
          <w:lang w:val="en-GB"/>
        </w:rPr>
        <w:t>HFO</w:t>
      </w:r>
      <w:r w:rsidR="130022AD" w:rsidRPr="5937A937">
        <w:rPr>
          <w:rFonts w:asciiTheme="majorHAnsi" w:hAnsiTheme="majorHAnsi" w:cstheme="majorBidi"/>
          <w:sz w:val="22"/>
          <w:szCs w:val="22"/>
          <w:lang w:val="en-GB"/>
        </w:rPr>
        <w:t>’s</w:t>
      </w:r>
      <w:r w:rsidR="1EF784E4" w:rsidRPr="5937A937">
        <w:rPr>
          <w:rFonts w:asciiTheme="majorHAnsi" w:hAnsiTheme="majorHAnsi" w:cstheme="majorBidi"/>
          <w:sz w:val="22"/>
          <w:szCs w:val="22"/>
          <w:lang w:val="en-GB"/>
        </w:rPr>
        <w:t xml:space="preserve"> high viscosity</w:t>
      </w:r>
      <w:r w:rsidR="3AF69E07" w:rsidRPr="5937A937">
        <w:rPr>
          <w:rFonts w:asciiTheme="majorHAnsi" w:hAnsiTheme="majorHAnsi" w:cstheme="majorBidi"/>
          <w:sz w:val="22"/>
          <w:szCs w:val="22"/>
          <w:lang w:val="en-GB"/>
        </w:rPr>
        <w:t>, it</w:t>
      </w:r>
      <w:r w:rsidR="0ED3159B" w:rsidRPr="5937A937">
        <w:rPr>
          <w:rFonts w:asciiTheme="majorHAnsi" w:hAnsiTheme="majorHAnsi" w:cstheme="majorBidi"/>
          <w:sz w:val="22"/>
          <w:szCs w:val="22"/>
          <w:lang w:val="en-GB"/>
        </w:rPr>
        <w:t xml:space="preserve"> requires heating</w:t>
      </w:r>
      <w:r w:rsidR="4315D5B0" w:rsidRPr="5937A937">
        <w:rPr>
          <w:rFonts w:asciiTheme="majorHAnsi" w:hAnsiTheme="majorHAnsi" w:cstheme="majorBidi"/>
          <w:sz w:val="22"/>
          <w:szCs w:val="22"/>
          <w:lang w:val="en-GB"/>
        </w:rPr>
        <w:t>, which increase the energy demand</w:t>
      </w:r>
      <w:r w:rsidR="009652B5">
        <w:rPr>
          <w:rFonts w:asciiTheme="majorHAnsi" w:hAnsiTheme="majorHAnsi" w:cstheme="majorBidi"/>
          <w:sz w:val="22"/>
          <w:szCs w:val="22"/>
          <w:lang w:val="en-GB"/>
        </w:rPr>
        <w:t xml:space="preserve"> </w:t>
      </w:r>
      <w:r w:rsidR="005A6766">
        <w:rPr>
          <w:rFonts w:asciiTheme="majorHAnsi" w:hAnsiTheme="majorHAnsi" w:cstheme="majorBidi"/>
          <w:sz w:val="22"/>
          <w:szCs w:val="22"/>
          <w:lang w:val="en-GB"/>
        </w:rPr>
        <w:fldChar w:fldCharType="begin" w:fldLock="1"/>
      </w:r>
      <w:r w:rsidR="005A6766">
        <w:rPr>
          <w:rFonts w:asciiTheme="majorHAnsi" w:hAnsiTheme="majorHAnsi" w:cstheme="majorBidi"/>
          <w:sz w:val="22"/>
          <w:szCs w:val="22"/>
          <w:lang w:val="en-GB"/>
        </w:rPr>
        <w:instrText>ADDIN CSL_CITATION {"citationItems":[{"id":"ITEM-1","itemData":{"ISBN":"9780367456160","author":[{"dropping-particle":"","family":"Konur","given":"Ozcan","non-dropping-particle":"","parse-names":false,"suffix":""}],"container-title":"Paper Knowledge . Toward a Media History of Documents","id":"ITEM-1","issued":{"date-parts":[["2021"]]},"publisher":"CRC Press","title":"Petrodiesel Fuels","type":"book"},"uris":["http://www.mendeley.com/documents/?uuid=96cd8ee1-c5aa-4d50-8ac6-0709bbbb5b27"]}],"mendeley":{"formattedCitation":"(Konur, 2021)","plainTextFormattedCitation":"(Konur, 2021)","previouslyFormattedCitation":"(Konur, 2021)"},"properties":{"noteIndex":0},"schema":"https://github.com/citation-style-language/schema/raw/master/csl-citation.json"}</w:instrText>
      </w:r>
      <w:r w:rsidR="005A6766">
        <w:rPr>
          <w:rFonts w:asciiTheme="majorHAnsi" w:hAnsiTheme="majorHAnsi" w:cstheme="majorBidi"/>
          <w:sz w:val="22"/>
          <w:szCs w:val="22"/>
          <w:lang w:val="en-GB"/>
        </w:rPr>
        <w:fldChar w:fldCharType="separate"/>
      </w:r>
      <w:r w:rsidR="005A6766" w:rsidRPr="005A6766">
        <w:rPr>
          <w:rFonts w:asciiTheme="majorHAnsi" w:hAnsiTheme="majorHAnsi" w:cstheme="majorBidi"/>
          <w:noProof/>
          <w:sz w:val="22"/>
          <w:szCs w:val="22"/>
          <w:lang w:val="en-GB"/>
        </w:rPr>
        <w:t>(Konur, 2021)</w:t>
      </w:r>
      <w:r w:rsidR="005A6766">
        <w:rPr>
          <w:rFonts w:asciiTheme="majorHAnsi" w:hAnsiTheme="majorHAnsi" w:cstheme="majorBidi"/>
          <w:sz w:val="22"/>
          <w:szCs w:val="22"/>
          <w:lang w:val="en-GB"/>
        </w:rPr>
        <w:fldChar w:fldCharType="end"/>
      </w:r>
      <w:r w:rsidR="6B459238" w:rsidRPr="5937A937">
        <w:rPr>
          <w:rFonts w:asciiTheme="majorHAnsi" w:hAnsiTheme="majorHAnsi" w:cstheme="majorBidi"/>
          <w:sz w:val="22"/>
          <w:szCs w:val="22"/>
          <w:lang w:val="en-GB"/>
        </w:rPr>
        <w:t>.</w:t>
      </w:r>
      <w:r w:rsidR="6B1E6AB8" w:rsidRPr="5937A937">
        <w:rPr>
          <w:rFonts w:asciiTheme="majorHAnsi" w:hAnsiTheme="majorHAnsi" w:cstheme="majorBidi"/>
          <w:sz w:val="22"/>
          <w:szCs w:val="22"/>
          <w:lang w:val="en-GB"/>
        </w:rPr>
        <w:t xml:space="preserve"> </w:t>
      </w:r>
    </w:p>
    <w:p w14:paraId="2E890093" w14:textId="46B6BF0A" w:rsidR="006F342F" w:rsidRPr="00E24E04" w:rsidRDefault="006F342F" w:rsidP="791B8135">
      <w:pPr>
        <w:spacing w:after="120" w:line="360" w:lineRule="auto"/>
        <w:rPr>
          <w:rFonts w:asciiTheme="majorHAnsi" w:hAnsiTheme="majorHAnsi" w:cstheme="majorBidi"/>
          <w:sz w:val="22"/>
          <w:szCs w:val="22"/>
          <w:lang w:val="en-GB"/>
        </w:rPr>
      </w:pPr>
      <w:r w:rsidRPr="00E24E04">
        <w:rPr>
          <w:rFonts w:asciiTheme="majorHAnsi" w:hAnsiTheme="majorHAnsi" w:cstheme="majorHAnsi"/>
          <w:sz w:val="22"/>
          <w:szCs w:val="22"/>
          <w:lang w:val="en-GB"/>
        </w:rPr>
        <w:tab/>
      </w:r>
      <w:r w:rsidR="0006589A">
        <w:rPr>
          <w:rFonts w:asciiTheme="majorHAnsi" w:hAnsiTheme="majorHAnsi" w:cstheme="majorBidi"/>
          <w:sz w:val="22"/>
          <w:szCs w:val="22"/>
          <w:lang w:val="en-GB"/>
        </w:rPr>
        <w:t xml:space="preserve">Residual </w:t>
      </w:r>
      <w:r w:rsidR="26C9CBF9" w:rsidRPr="791B8135">
        <w:rPr>
          <w:rFonts w:asciiTheme="majorHAnsi" w:hAnsiTheme="majorHAnsi" w:cstheme="majorBidi"/>
          <w:sz w:val="22"/>
          <w:szCs w:val="22"/>
          <w:lang w:val="en-GB"/>
        </w:rPr>
        <w:t xml:space="preserve"> </w:t>
      </w:r>
      <w:r w:rsidR="6EE0AB46" w:rsidRPr="791B8135">
        <w:rPr>
          <w:rFonts w:asciiTheme="majorHAnsi" w:hAnsiTheme="majorHAnsi" w:cstheme="majorBidi"/>
          <w:sz w:val="22"/>
          <w:szCs w:val="22"/>
          <w:lang w:val="en-GB"/>
        </w:rPr>
        <w:t xml:space="preserve">marine fuels </w:t>
      </w:r>
      <w:r w:rsidR="0079372A">
        <w:rPr>
          <w:rFonts w:asciiTheme="majorHAnsi" w:hAnsiTheme="majorHAnsi" w:cstheme="majorBidi"/>
          <w:sz w:val="22"/>
          <w:szCs w:val="22"/>
          <w:lang w:val="en-GB"/>
        </w:rPr>
        <w:t xml:space="preserve"> are named as RM, where R </w:t>
      </w:r>
      <w:r w:rsidR="00BA7818">
        <w:rPr>
          <w:rFonts w:asciiTheme="majorHAnsi" w:hAnsiTheme="majorHAnsi" w:cstheme="majorBidi"/>
          <w:sz w:val="22"/>
          <w:szCs w:val="22"/>
          <w:lang w:val="en-GB"/>
        </w:rPr>
        <w:t>stands</w:t>
      </w:r>
      <w:r w:rsidR="0079372A">
        <w:rPr>
          <w:rFonts w:asciiTheme="majorHAnsi" w:hAnsiTheme="majorHAnsi" w:cstheme="majorBidi"/>
          <w:sz w:val="22"/>
          <w:szCs w:val="22"/>
          <w:lang w:val="en-GB"/>
        </w:rPr>
        <w:t xml:space="preserve"> for</w:t>
      </w:r>
      <w:r w:rsidR="00BA7818">
        <w:rPr>
          <w:rFonts w:asciiTheme="majorHAnsi" w:hAnsiTheme="majorHAnsi" w:cstheme="majorBidi"/>
          <w:sz w:val="22"/>
          <w:szCs w:val="22"/>
          <w:lang w:val="en-GB"/>
        </w:rPr>
        <w:t xml:space="preserve"> residual and M for marine</w:t>
      </w:r>
      <w:r w:rsidR="00983230">
        <w:rPr>
          <w:rFonts w:asciiTheme="majorHAnsi" w:hAnsiTheme="majorHAnsi" w:cstheme="majorBidi"/>
          <w:sz w:val="22"/>
          <w:szCs w:val="22"/>
          <w:lang w:val="en-GB"/>
        </w:rPr>
        <w:t>, for ins</w:t>
      </w:r>
      <w:r w:rsidR="00660F37">
        <w:rPr>
          <w:rFonts w:asciiTheme="majorHAnsi" w:hAnsiTheme="majorHAnsi" w:cstheme="majorBidi"/>
          <w:sz w:val="22"/>
          <w:szCs w:val="22"/>
          <w:lang w:val="en-GB"/>
        </w:rPr>
        <w:t>tance RME or RMG</w:t>
      </w:r>
      <w:r w:rsidR="25A3E083" w:rsidRPr="791B8135">
        <w:rPr>
          <w:rFonts w:asciiTheme="majorHAnsi" w:hAnsiTheme="majorHAnsi" w:cstheme="majorBidi"/>
          <w:sz w:val="22"/>
          <w:szCs w:val="22"/>
          <w:lang w:val="en-GB"/>
        </w:rPr>
        <w:t xml:space="preserve">. </w:t>
      </w:r>
      <w:r w:rsidR="00660F37">
        <w:rPr>
          <w:rFonts w:asciiTheme="majorHAnsi" w:hAnsiTheme="majorHAnsi" w:cstheme="majorBidi"/>
          <w:sz w:val="22"/>
          <w:szCs w:val="22"/>
          <w:lang w:val="en-GB"/>
        </w:rPr>
        <w:t xml:space="preserve">They </w:t>
      </w:r>
      <w:r w:rsidR="25A3E083" w:rsidRPr="791B8135">
        <w:rPr>
          <w:rFonts w:asciiTheme="majorHAnsi" w:hAnsiTheme="majorHAnsi" w:cstheme="majorBidi"/>
          <w:sz w:val="22"/>
          <w:szCs w:val="22"/>
          <w:lang w:val="en-GB"/>
        </w:rPr>
        <w:t xml:space="preserve"> can be </w:t>
      </w:r>
      <w:r w:rsidR="1BD3A356" w:rsidRPr="791B8135">
        <w:rPr>
          <w:rFonts w:asciiTheme="majorHAnsi" w:hAnsiTheme="majorHAnsi" w:cstheme="majorBidi"/>
          <w:sz w:val="22"/>
          <w:szCs w:val="22"/>
          <w:lang w:val="en-GB"/>
        </w:rPr>
        <w:t xml:space="preserve">classified </w:t>
      </w:r>
      <w:r w:rsidR="34290040" w:rsidRPr="791B8135">
        <w:rPr>
          <w:rFonts w:asciiTheme="majorHAnsi" w:hAnsiTheme="majorHAnsi" w:cstheme="majorBidi"/>
          <w:sz w:val="22"/>
          <w:szCs w:val="22"/>
          <w:lang w:val="en-GB"/>
        </w:rPr>
        <w:t xml:space="preserve">according to </w:t>
      </w:r>
      <w:r w:rsidR="2FDF3863" w:rsidRPr="791B8135">
        <w:rPr>
          <w:rFonts w:asciiTheme="majorHAnsi" w:hAnsiTheme="majorHAnsi" w:cstheme="majorBidi"/>
          <w:sz w:val="22"/>
          <w:szCs w:val="22"/>
          <w:lang w:val="en-GB"/>
        </w:rPr>
        <w:t xml:space="preserve">the </w:t>
      </w:r>
      <w:r w:rsidR="34290040" w:rsidRPr="791B8135">
        <w:rPr>
          <w:rFonts w:asciiTheme="majorHAnsi" w:hAnsiTheme="majorHAnsi" w:cstheme="majorBidi"/>
          <w:sz w:val="22"/>
          <w:szCs w:val="22"/>
          <w:lang w:val="en-GB"/>
        </w:rPr>
        <w:t>viscosity as 180 and 380 mm</w:t>
      </w:r>
      <w:r w:rsidR="34290040" w:rsidRPr="791B8135">
        <w:rPr>
          <w:rFonts w:asciiTheme="majorHAnsi" w:hAnsiTheme="majorHAnsi" w:cstheme="majorBidi"/>
          <w:sz w:val="22"/>
          <w:szCs w:val="22"/>
          <w:vertAlign w:val="superscript"/>
          <w:lang w:val="en-GB"/>
        </w:rPr>
        <w:t>2</w:t>
      </w:r>
      <w:r w:rsidR="34290040" w:rsidRPr="791B8135">
        <w:rPr>
          <w:rFonts w:asciiTheme="majorHAnsi" w:hAnsiTheme="majorHAnsi" w:cstheme="majorBidi"/>
          <w:sz w:val="22"/>
          <w:szCs w:val="22"/>
          <w:lang w:val="en-GB"/>
        </w:rPr>
        <w:t xml:space="preserve">/s, </w:t>
      </w:r>
      <w:r w:rsidR="009E392F">
        <w:rPr>
          <w:rFonts w:asciiTheme="majorHAnsi" w:hAnsiTheme="majorHAnsi" w:cstheme="majorBidi"/>
          <w:sz w:val="22"/>
          <w:szCs w:val="22"/>
          <w:lang w:val="en-GB"/>
        </w:rPr>
        <w:t>RME</w:t>
      </w:r>
      <w:r w:rsidR="34290040" w:rsidRPr="791B8135">
        <w:rPr>
          <w:rFonts w:asciiTheme="majorHAnsi" w:hAnsiTheme="majorHAnsi" w:cstheme="majorBidi"/>
          <w:sz w:val="22"/>
          <w:szCs w:val="22"/>
          <w:lang w:val="en-GB"/>
        </w:rPr>
        <w:t xml:space="preserve"> 180 and </w:t>
      </w:r>
      <w:r w:rsidR="009E392F">
        <w:rPr>
          <w:rFonts w:asciiTheme="majorHAnsi" w:hAnsiTheme="majorHAnsi" w:cstheme="majorBidi"/>
          <w:sz w:val="22"/>
          <w:szCs w:val="22"/>
          <w:lang w:val="en-GB"/>
        </w:rPr>
        <w:t>RMG</w:t>
      </w:r>
      <w:r w:rsidR="34290040" w:rsidRPr="791B8135">
        <w:rPr>
          <w:rFonts w:asciiTheme="majorHAnsi" w:hAnsiTheme="majorHAnsi" w:cstheme="majorBidi"/>
          <w:sz w:val="22"/>
          <w:szCs w:val="22"/>
          <w:lang w:val="en-GB"/>
        </w:rPr>
        <w:t xml:space="preserve"> 380, respectively.</w:t>
      </w:r>
      <w:r w:rsidR="006B4541">
        <w:rPr>
          <w:rFonts w:asciiTheme="majorHAnsi" w:hAnsiTheme="majorHAnsi" w:cstheme="majorBidi"/>
          <w:sz w:val="22"/>
          <w:szCs w:val="22"/>
          <w:lang w:val="en-GB"/>
        </w:rPr>
        <w:t xml:space="preserve"> Residual Fuels are also classified according with </w:t>
      </w:r>
      <w:r w:rsidR="02182504" w:rsidRPr="791B8135">
        <w:rPr>
          <w:rFonts w:asciiTheme="majorHAnsi" w:hAnsiTheme="majorHAnsi" w:cstheme="majorBidi"/>
          <w:sz w:val="22"/>
          <w:szCs w:val="22"/>
          <w:lang w:val="en-GB"/>
        </w:rPr>
        <w:t>the</w:t>
      </w:r>
      <w:r w:rsidR="006B4541">
        <w:rPr>
          <w:rFonts w:asciiTheme="majorHAnsi" w:hAnsiTheme="majorHAnsi" w:cstheme="majorBidi"/>
          <w:sz w:val="22"/>
          <w:szCs w:val="22"/>
          <w:lang w:val="en-GB"/>
        </w:rPr>
        <w:t>ir</w:t>
      </w:r>
      <w:r w:rsidR="02182504" w:rsidRPr="791B8135">
        <w:rPr>
          <w:rFonts w:asciiTheme="majorHAnsi" w:hAnsiTheme="majorHAnsi" w:cstheme="majorBidi"/>
          <w:sz w:val="22"/>
          <w:szCs w:val="22"/>
          <w:lang w:val="en-GB"/>
        </w:rPr>
        <w:t xml:space="preserve"> sulphur content </w:t>
      </w:r>
      <w:r w:rsidR="0043415A">
        <w:rPr>
          <w:rFonts w:asciiTheme="majorHAnsi" w:hAnsiTheme="majorHAnsi" w:cstheme="majorBidi"/>
          <w:sz w:val="22"/>
          <w:szCs w:val="22"/>
          <w:lang w:val="en-GB"/>
        </w:rPr>
        <w:t>as</w:t>
      </w:r>
      <w:r w:rsidR="00074FBC">
        <w:rPr>
          <w:rFonts w:asciiTheme="majorHAnsi" w:hAnsiTheme="majorHAnsi" w:cstheme="majorBidi"/>
          <w:sz w:val="22"/>
          <w:szCs w:val="22"/>
          <w:lang w:val="en-GB"/>
        </w:rPr>
        <w:t xml:space="preserve">: </w:t>
      </w:r>
      <w:r w:rsidR="02182504" w:rsidRPr="791B8135">
        <w:rPr>
          <w:rFonts w:asciiTheme="majorHAnsi" w:hAnsiTheme="majorHAnsi" w:cstheme="majorBidi"/>
          <w:sz w:val="22"/>
          <w:szCs w:val="22"/>
          <w:lang w:val="en-GB"/>
        </w:rPr>
        <w:t>low sulphur fuel oil (LSFO) 1%</w:t>
      </w:r>
      <w:r w:rsidR="006E03FB">
        <w:rPr>
          <w:rFonts w:asciiTheme="majorHAnsi" w:hAnsiTheme="majorHAnsi" w:cstheme="majorBidi"/>
          <w:sz w:val="22"/>
          <w:szCs w:val="22"/>
          <w:lang w:val="en-GB"/>
        </w:rPr>
        <w:t xml:space="preserve">, very-low </w:t>
      </w:r>
      <w:r w:rsidR="006E03FB" w:rsidRPr="0040379B">
        <w:rPr>
          <w:rFonts w:asciiTheme="majorHAnsi" w:hAnsiTheme="majorHAnsi" w:cstheme="majorBidi"/>
          <w:sz w:val="22"/>
          <w:szCs w:val="22"/>
        </w:rPr>
        <w:t>sulfur</w:t>
      </w:r>
      <w:r w:rsidR="006E03FB">
        <w:rPr>
          <w:rFonts w:asciiTheme="majorHAnsi" w:hAnsiTheme="majorHAnsi" w:cstheme="majorBidi"/>
          <w:sz w:val="22"/>
          <w:szCs w:val="22"/>
          <w:lang w:val="en-GB"/>
        </w:rPr>
        <w:t xml:space="preserve"> </w:t>
      </w:r>
      <w:r w:rsidR="00433F18">
        <w:rPr>
          <w:rFonts w:asciiTheme="majorHAnsi" w:hAnsiTheme="majorHAnsi" w:cstheme="majorBidi"/>
          <w:sz w:val="22"/>
          <w:szCs w:val="22"/>
          <w:lang w:val="en-GB"/>
        </w:rPr>
        <w:t xml:space="preserve">fuel oil </w:t>
      </w:r>
      <w:r w:rsidR="00013D65">
        <w:rPr>
          <w:rFonts w:asciiTheme="majorHAnsi" w:hAnsiTheme="majorHAnsi" w:cstheme="majorBidi"/>
          <w:sz w:val="22"/>
          <w:szCs w:val="22"/>
          <w:lang w:val="en-GB"/>
        </w:rPr>
        <w:t>(VLSFO) 0.5%,</w:t>
      </w:r>
      <w:r w:rsidR="02182504" w:rsidRPr="791B8135">
        <w:rPr>
          <w:rFonts w:asciiTheme="majorHAnsi" w:hAnsiTheme="majorHAnsi" w:cstheme="majorBidi"/>
          <w:sz w:val="22"/>
          <w:szCs w:val="22"/>
          <w:lang w:val="en-GB"/>
        </w:rPr>
        <w:t xml:space="preserve"> and ultra-low </w:t>
      </w:r>
      <w:r w:rsidR="02182504" w:rsidRPr="0040379B">
        <w:rPr>
          <w:rFonts w:asciiTheme="majorHAnsi" w:hAnsiTheme="majorHAnsi" w:cstheme="majorBidi"/>
          <w:sz w:val="22"/>
          <w:szCs w:val="22"/>
        </w:rPr>
        <w:t>sul</w:t>
      </w:r>
      <w:r w:rsidR="00433F18" w:rsidRPr="0040379B">
        <w:rPr>
          <w:rFonts w:asciiTheme="majorHAnsi" w:hAnsiTheme="majorHAnsi" w:cstheme="majorBidi"/>
          <w:sz w:val="22"/>
          <w:szCs w:val="22"/>
        </w:rPr>
        <w:t>fur</w:t>
      </w:r>
      <w:r w:rsidR="02182504" w:rsidRPr="791B8135">
        <w:rPr>
          <w:rFonts w:asciiTheme="majorHAnsi" w:hAnsiTheme="majorHAnsi" w:cstheme="majorBidi"/>
          <w:sz w:val="22"/>
          <w:szCs w:val="22"/>
          <w:lang w:val="en-GB"/>
        </w:rPr>
        <w:t xml:space="preserve"> fuel oil (ULSFO) 0.1</w:t>
      </w:r>
      <w:r w:rsidR="00013D65">
        <w:rPr>
          <w:rFonts w:asciiTheme="majorHAnsi" w:hAnsiTheme="majorHAnsi" w:cstheme="majorBidi"/>
          <w:sz w:val="22"/>
          <w:szCs w:val="22"/>
          <w:lang w:val="en-GB"/>
        </w:rPr>
        <w:t xml:space="preserve"> </w:t>
      </w:r>
      <w:r w:rsidR="02182504"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w:t>
      </w:r>
      <w:r w:rsidR="47ADED17" w:rsidRPr="791B8135">
        <w:rPr>
          <w:rFonts w:asciiTheme="majorHAnsi" w:hAnsiTheme="majorHAnsi" w:cstheme="majorBidi"/>
          <w:sz w:val="22"/>
          <w:szCs w:val="22"/>
          <w:lang w:val="en-GB"/>
        </w:rPr>
        <w:t>Based on the</w:t>
      </w:r>
      <w:r w:rsidR="43ED38DE" w:rsidRPr="791B8135">
        <w:rPr>
          <w:rFonts w:asciiTheme="majorHAnsi" w:hAnsiTheme="majorHAnsi" w:cstheme="majorBidi"/>
          <w:sz w:val="22"/>
          <w:szCs w:val="22"/>
          <w:lang w:val="en-GB"/>
        </w:rPr>
        <w:t xml:space="preserve"> </w:t>
      </w:r>
      <w:r w:rsidR="22EBA170" w:rsidRPr="791B8135">
        <w:rPr>
          <w:rFonts w:asciiTheme="majorHAnsi" w:hAnsiTheme="majorHAnsi" w:cstheme="majorBidi"/>
          <w:sz w:val="22"/>
          <w:szCs w:val="22"/>
          <w:lang w:val="en-GB"/>
        </w:rPr>
        <w:t xml:space="preserve">report from the </w:t>
      </w:r>
      <w:r w:rsidR="48ACF72F" w:rsidRPr="791B8135">
        <w:rPr>
          <w:rFonts w:asciiTheme="majorHAnsi" w:hAnsiTheme="majorHAnsi" w:cstheme="majorBidi"/>
          <w:sz w:val="22"/>
          <w:szCs w:val="22"/>
          <w:lang w:val="en-GB"/>
        </w:rPr>
        <w:t>Port of Rotterdam</w:t>
      </w:r>
      <w:r w:rsidR="47ADED17" w:rsidRPr="791B8135">
        <w:rPr>
          <w:rFonts w:asciiTheme="majorHAnsi" w:hAnsiTheme="majorHAnsi" w:cstheme="majorBidi"/>
          <w:sz w:val="22"/>
          <w:szCs w:val="22"/>
          <w:lang w:val="en-GB"/>
        </w:rPr>
        <w:t xml:space="preserve">, the </w:t>
      </w:r>
      <w:r w:rsidR="697FB8ED" w:rsidRPr="791B8135">
        <w:rPr>
          <w:rFonts w:asciiTheme="majorHAnsi" w:hAnsiTheme="majorHAnsi" w:cstheme="majorBidi"/>
          <w:sz w:val="22"/>
          <w:szCs w:val="22"/>
          <w:lang w:val="en-GB"/>
        </w:rPr>
        <w:t xml:space="preserve">following </w:t>
      </w:r>
      <w:r w:rsidR="48ACF72F" w:rsidRPr="791B8135">
        <w:rPr>
          <w:rFonts w:asciiTheme="majorHAnsi" w:hAnsiTheme="majorHAnsi" w:cstheme="majorBidi"/>
          <w:sz w:val="22"/>
          <w:szCs w:val="22"/>
          <w:lang w:val="en-GB"/>
        </w:rPr>
        <w:t>market size for the different sulphur fuels</w:t>
      </w:r>
      <w:r w:rsidR="47ADED17" w:rsidRPr="791B8135">
        <w:rPr>
          <w:rFonts w:asciiTheme="majorHAnsi" w:hAnsiTheme="majorHAnsi" w:cstheme="majorBidi"/>
          <w:sz w:val="22"/>
          <w:szCs w:val="22"/>
          <w:lang w:val="en-GB"/>
        </w:rPr>
        <w:t xml:space="preserve"> was calculated</w:t>
      </w:r>
      <w:r w:rsidR="662E51D3"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HSFO accounts for 30 </w:t>
      </w:r>
      <w:r w:rsidR="662E51D3"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40 % of total fuel </w:t>
      </w:r>
      <w:r w:rsidR="43ED38DE" w:rsidRPr="791B8135">
        <w:rPr>
          <w:rFonts w:asciiTheme="majorHAnsi" w:hAnsiTheme="majorHAnsi" w:cstheme="majorBidi"/>
          <w:sz w:val="22"/>
          <w:szCs w:val="22"/>
          <w:lang w:val="en-GB"/>
        </w:rPr>
        <w:t xml:space="preserve">oil </w:t>
      </w:r>
      <w:r w:rsidR="48ACF72F" w:rsidRPr="791B8135">
        <w:rPr>
          <w:rFonts w:asciiTheme="majorHAnsi" w:hAnsiTheme="majorHAnsi" w:cstheme="majorBidi"/>
          <w:sz w:val="22"/>
          <w:szCs w:val="22"/>
          <w:lang w:val="en-GB"/>
        </w:rPr>
        <w:t xml:space="preserve">sales, </w:t>
      </w:r>
      <w:r w:rsidR="00C3122B">
        <w:rPr>
          <w:rFonts w:asciiTheme="majorHAnsi" w:hAnsiTheme="majorHAnsi" w:cstheme="majorBidi"/>
          <w:sz w:val="22"/>
          <w:szCs w:val="22"/>
          <w:lang w:val="en-GB"/>
        </w:rPr>
        <w:t>V</w:t>
      </w:r>
      <w:r w:rsidR="48ACF72F" w:rsidRPr="791B8135">
        <w:rPr>
          <w:rFonts w:asciiTheme="majorHAnsi" w:hAnsiTheme="majorHAnsi" w:cstheme="majorBidi"/>
          <w:sz w:val="22"/>
          <w:szCs w:val="22"/>
          <w:lang w:val="en-GB"/>
        </w:rPr>
        <w:t xml:space="preserve">LSFO </w:t>
      </w:r>
      <w:r w:rsidR="43ED38DE" w:rsidRPr="791B8135">
        <w:rPr>
          <w:rFonts w:asciiTheme="majorHAnsi" w:hAnsiTheme="majorHAnsi" w:cstheme="majorBidi"/>
          <w:sz w:val="22"/>
          <w:szCs w:val="22"/>
          <w:lang w:val="en-GB"/>
        </w:rPr>
        <w:t xml:space="preserve">ranges from 40 </w:t>
      </w:r>
      <w:r w:rsidR="662E51D3" w:rsidRPr="791B8135">
        <w:rPr>
          <w:rFonts w:asciiTheme="majorHAnsi" w:hAnsiTheme="majorHAnsi" w:cstheme="majorBidi"/>
          <w:sz w:val="22"/>
          <w:szCs w:val="22"/>
          <w:lang w:val="en-GB"/>
        </w:rPr>
        <w:t xml:space="preserve">- </w:t>
      </w:r>
      <w:r w:rsidR="43ED38DE" w:rsidRPr="791B8135">
        <w:rPr>
          <w:rFonts w:asciiTheme="majorHAnsi" w:hAnsiTheme="majorHAnsi" w:cstheme="majorBidi"/>
          <w:sz w:val="22"/>
          <w:szCs w:val="22"/>
          <w:lang w:val="en-GB"/>
        </w:rPr>
        <w:t xml:space="preserve">50 % </w:t>
      </w:r>
      <w:r w:rsidR="48ACF72F" w:rsidRPr="791B8135">
        <w:rPr>
          <w:rFonts w:asciiTheme="majorHAnsi" w:hAnsiTheme="majorHAnsi" w:cstheme="majorBidi"/>
          <w:sz w:val="22"/>
          <w:szCs w:val="22"/>
          <w:lang w:val="en-GB"/>
        </w:rPr>
        <w:t>and ULSFO accounts for 10</w:t>
      </w:r>
      <w:r w:rsidR="662E51D3"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15 %</w:t>
      </w:r>
      <w:r w:rsidR="662E51D3" w:rsidRPr="791B8135">
        <w:rPr>
          <w:rFonts w:asciiTheme="majorHAnsi" w:hAnsiTheme="majorHAnsi" w:cstheme="majorBidi"/>
          <w:sz w:val="22"/>
          <w:szCs w:val="22"/>
          <w:lang w:val="en-GB"/>
        </w:rPr>
        <w:t xml:space="preserve"> of the sales</w:t>
      </w:r>
      <w:r w:rsidR="00643BE2">
        <w:rPr>
          <w:rFonts w:asciiTheme="majorHAnsi" w:hAnsiTheme="majorHAnsi" w:cstheme="majorBidi"/>
          <w:sz w:val="22"/>
          <w:szCs w:val="22"/>
          <w:lang w:val="en-GB"/>
        </w:rPr>
        <w:t xml:space="preserve"> </w:t>
      </w:r>
      <w:r w:rsidR="00213D1A">
        <w:rPr>
          <w:rFonts w:asciiTheme="majorHAnsi" w:hAnsiTheme="majorHAnsi" w:cstheme="majorBidi"/>
          <w:sz w:val="22"/>
          <w:szCs w:val="22"/>
          <w:lang w:val="en-GB"/>
        </w:rPr>
        <w:fldChar w:fldCharType="begin" w:fldLock="1"/>
      </w:r>
      <w:r w:rsidR="0058663D">
        <w:rPr>
          <w:rFonts w:asciiTheme="majorHAnsi" w:hAnsiTheme="majorHAnsi" w:cstheme="majorBidi"/>
          <w:sz w:val="22"/>
          <w:szCs w:val="22"/>
          <w:lang w:val="en-GB"/>
        </w:rPr>
        <w:instrText>ADDIN CSL_CITATION {"citationItems":[{"id":"ITEM-1","itemData":{"URL":"https://www.portofrotterdam.com/sites/default/files/2021-08/bunker-sales-2018-2021.pdf","accessed":{"date-parts":[["2021","9","10"]]},"author":[{"dropping-particle":"","family":"Port of Rotterdam","given":"","non-dropping-particle":"","parse-names":false,"suffix":""}],"id":"ITEM-1","issued":{"date-parts":[["2021"]]},"title":"Port of Rotterdam Bunker Sales","type":"webpage"},"uris":["http://www.mendeley.com/documents/?uuid=c6679f6a-9a45-495c-bee3-96e875ed63dd"]}],"mendeley":{"formattedCitation":"(Port of Rotterdam, 2021)","plainTextFormattedCitation":"(Port of Rotterdam, 2021)","previouslyFormattedCitation":"(Port of Rotterdam, 2021)"},"properties":{"noteIndex":0},"schema":"https://github.com/citation-style-language/schema/raw/master/csl-citation.json"}</w:instrText>
      </w:r>
      <w:r w:rsidR="00213D1A">
        <w:rPr>
          <w:rFonts w:asciiTheme="majorHAnsi" w:hAnsiTheme="majorHAnsi" w:cstheme="majorBidi"/>
          <w:sz w:val="22"/>
          <w:szCs w:val="22"/>
          <w:lang w:val="en-GB"/>
        </w:rPr>
        <w:fldChar w:fldCharType="separate"/>
      </w:r>
      <w:r w:rsidR="00213D1A" w:rsidRPr="00213D1A">
        <w:rPr>
          <w:rFonts w:asciiTheme="majorHAnsi" w:hAnsiTheme="majorHAnsi" w:cstheme="majorBidi"/>
          <w:noProof/>
          <w:sz w:val="22"/>
          <w:szCs w:val="22"/>
          <w:lang w:val="en-GB"/>
        </w:rPr>
        <w:t>(Port of Rotterdam, 2021)</w:t>
      </w:r>
      <w:r w:rsidR="00213D1A">
        <w:rPr>
          <w:rFonts w:asciiTheme="majorHAnsi" w:hAnsiTheme="majorHAnsi" w:cstheme="majorBidi"/>
          <w:sz w:val="22"/>
          <w:szCs w:val="22"/>
          <w:lang w:val="en-GB"/>
        </w:rPr>
        <w:fldChar w:fldCharType="end"/>
      </w:r>
      <w:r w:rsidR="48ACF72F" w:rsidRPr="791B8135">
        <w:rPr>
          <w:rFonts w:asciiTheme="majorHAnsi" w:hAnsiTheme="majorHAnsi" w:cstheme="majorBidi"/>
          <w:sz w:val="22"/>
          <w:szCs w:val="22"/>
          <w:lang w:val="en-GB"/>
        </w:rPr>
        <w:t>.</w:t>
      </w:r>
      <w:r w:rsidR="1E484C32" w:rsidRPr="791B8135">
        <w:rPr>
          <w:rFonts w:asciiTheme="majorHAnsi" w:hAnsiTheme="majorHAnsi" w:cstheme="majorBidi"/>
          <w:sz w:val="22"/>
          <w:szCs w:val="22"/>
          <w:lang w:val="en-GB"/>
        </w:rPr>
        <w:t xml:space="preserve"> </w:t>
      </w:r>
    </w:p>
    <w:p w14:paraId="5A5CB396" w14:textId="00C56E3F" w:rsidR="65215FB1" w:rsidRPr="008D543C" w:rsidRDefault="68773E9F" w:rsidP="00DC3405">
      <w:pPr>
        <w:spacing w:after="120" w:line="360" w:lineRule="auto"/>
        <w:rPr>
          <w:rFonts w:asciiTheme="majorHAnsi" w:hAnsiTheme="majorHAnsi" w:cstheme="majorBidi"/>
          <w:sz w:val="22"/>
          <w:szCs w:val="22"/>
          <w:lang w:val="en-GB"/>
        </w:rPr>
      </w:pPr>
      <w:r w:rsidRPr="5937A937">
        <w:rPr>
          <w:rFonts w:asciiTheme="majorHAnsi" w:hAnsiTheme="majorHAnsi" w:cstheme="majorBidi"/>
          <w:sz w:val="22"/>
          <w:szCs w:val="22"/>
          <w:lang w:val="en-GB"/>
        </w:rPr>
        <w:t xml:space="preserve">Table </w:t>
      </w:r>
      <w:r w:rsidR="005A6766">
        <w:rPr>
          <w:rFonts w:asciiTheme="majorHAnsi" w:hAnsiTheme="majorHAnsi" w:cstheme="majorBidi"/>
          <w:sz w:val="22"/>
          <w:szCs w:val="22"/>
          <w:lang w:val="en-GB"/>
        </w:rPr>
        <w:t>2</w:t>
      </w:r>
      <w:r w:rsidRPr="5937A937">
        <w:rPr>
          <w:rFonts w:asciiTheme="majorHAnsi" w:hAnsiTheme="majorHAnsi" w:cstheme="majorBidi"/>
          <w:sz w:val="22"/>
          <w:szCs w:val="22"/>
          <w:lang w:val="en-GB"/>
        </w:rPr>
        <w:t xml:space="preserve"> </w:t>
      </w:r>
      <w:r w:rsidR="7E25AD6D" w:rsidRPr="5937A937">
        <w:rPr>
          <w:rFonts w:asciiTheme="majorHAnsi" w:hAnsiTheme="majorHAnsi" w:cstheme="majorBidi"/>
          <w:sz w:val="22"/>
          <w:szCs w:val="22"/>
          <w:lang w:val="en-GB"/>
        </w:rPr>
        <w:t>summarizes</w:t>
      </w:r>
      <w:r w:rsidRPr="5937A937">
        <w:rPr>
          <w:rFonts w:asciiTheme="majorHAnsi" w:hAnsiTheme="majorHAnsi" w:cstheme="majorBidi"/>
          <w:sz w:val="22"/>
          <w:szCs w:val="22"/>
          <w:lang w:val="en-GB"/>
        </w:rPr>
        <w:t xml:space="preserve"> the key parameters for </w:t>
      </w:r>
      <w:r w:rsidR="00E64032">
        <w:rPr>
          <w:rFonts w:asciiTheme="majorHAnsi" w:hAnsiTheme="majorHAnsi" w:cstheme="majorBidi"/>
          <w:sz w:val="22"/>
          <w:szCs w:val="22"/>
          <w:lang w:val="en-GB"/>
        </w:rPr>
        <w:t>RME</w:t>
      </w:r>
      <w:r w:rsidRPr="5937A937">
        <w:rPr>
          <w:rFonts w:asciiTheme="majorHAnsi" w:hAnsiTheme="majorHAnsi" w:cstheme="majorBidi"/>
          <w:sz w:val="22"/>
          <w:szCs w:val="22"/>
          <w:lang w:val="en-GB"/>
        </w:rPr>
        <w:t xml:space="preserve"> 180, </w:t>
      </w:r>
      <w:r w:rsidR="00E64032">
        <w:rPr>
          <w:rFonts w:asciiTheme="majorHAnsi" w:hAnsiTheme="majorHAnsi" w:cstheme="majorBidi"/>
          <w:sz w:val="22"/>
          <w:szCs w:val="22"/>
          <w:lang w:val="en-GB"/>
        </w:rPr>
        <w:t>RMG</w:t>
      </w:r>
      <w:r w:rsidRPr="5937A937">
        <w:rPr>
          <w:rFonts w:asciiTheme="majorHAnsi" w:hAnsiTheme="majorHAnsi" w:cstheme="majorBidi"/>
          <w:sz w:val="22"/>
          <w:szCs w:val="22"/>
          <w:lang w:val="en-GB"/>
        </w:rPr>
        <w:t xml:space="preserve"> 380 and MGO</w:t>
      </w:r>
      <w:r w:rsidR="09EAE9F0" w:rsidRPr="5937A937">
        <w:rPr>
          <w:rFonts w:asciiTheme="majorHAnsi" w:hAnsiTheme="majorHAnsi" w:cstheme="majorBidi"/>
          <w:sz w:val="22"/>
          <w:szCs w:val="22"/>
          <w:lang w:val="en-GB"/>
        </w:rPr>
        <w:t xml:space="preserve"> (DMA)</w:t>
      </w:r>
      <w:r w:rsidR="3F6E528B" w:rsidRPr="5937A937">
        <w:rPr>
          <w:rFonts w:asciiTheme="majorHAnsi" w:hAnsiTheme="majorHAnsi" w:cstheme="majorBidi"/>
          <w:sz w:val="22"/>
          <w:szCs w:val="22"/>
          <w:lang w:val="en-GB"/>
        </w:rPr>
        <w:t xml:space="preserve"> according </w:t>
      </w:r>
      <w:r w:rsidR="2D0AB0C1" w:rsidRPr="5937A937">
        <w:rPr>
          <w:rFonts w:asciiTheme="majorHAnsi" w:hAnsiTheme="majorHAnsi" w:cstheme="majorBidi"/>
          <w:sz w:val="22"/>
          <w:szCs w:val="22"/>
          <w:lang w:val="en-GB"/>
        </w:rPr>
        <w:t>to</w:t>
      </w:r>
      <w:r w:rsidR="3EA0CCDF" w:rsidRPr="5937A937">
        <w:rPr>
          <w:rFonts w:asciiTheme="majorHAnsi" w:hAnsiTheme="majorHAnsi" w:cstheme="majorBidi"/>
          <w:sz w:val="22"/>
          <w:szCs w:val="22"/>
          <w:lang w:val="en-GB"/>
        </w:rPr>
        <w:t xml:space="preserve"> ISO</w:t>
      </w:r>
      <w:r w:rsidR="6044C821" w:rsidRPr="5937A937">
        <w:rPr>
          <w:rFonts w:asciiTheme="majorHAnsi" w:hAnsiTheme="majorHAnsi" w:cstheme="majorBidi"/>
          <w:sz w:val="22"/>
          <w:szCs w:val="22"/>
          <w:lang w:val="en-GB"/>
        </w:rPr>
        <w:t xml:space="preserve"> </w:t>
      </w:r>
      <w:r w:rsidR="3EA0CCDF" w:rsidRPr="5937A937">
        <w:rPr>
          <w:rFonts w:asciiTheme="majorHAnsi" w:hAnsiTheme="majorHAnsi" w:cstheme="majorBidi"/>
          <w:sz w:val="22"/>
          <w:szCs w:val="22"/>
          <w:lang w:val="en-GB"/>
        </w:rPr>
        <w:t>8217</w:t>
      </w:r>
      <w:r w:rsidR="2D0AB0C1" w:rsidRPr="5937A937">
        <w:rPr>
          <w:rFonts w:asciiTheme="majorHAnsi" w:hAnsiTheme="majorHAnsi" w:cstheme="majorBidi"/>
          <w:sz w:val="22"/>
          <w:szCs w:val="22"/>
          <w:lang w:val="en-GB"/>
        </w:rPr>
        <w:t>.</w:t>
      </w:r>
    </w:p>
    <w:p w14:paraId="2EE71D25" w14:textId="3DE90AAB" w:rsidR="008D543C" w:rsidRDefault="008D543C" w:rsidP="008D543C">
      <w:pPr>
        <w:pStyle w:val="Caption"/>
        <w:keepNext/>
      </w:pPr>
      <w:bookmarkStart w:id="22" w:name="_Toc85627888"/>
      <w:bookmarkStart w:id="23" w:name="_Toc85627894"/>
      <w:r>
        <w:t xml:space="preserve">Table </w:t>
      </w:r>
      <w:fldSimple w:instr=" SEQ Table \* ARABIC ">
        <w:r w:rsidR="009C66F7">
          <w:rPr>
            <w:noProof/>
          </w:rPr>
          <w:t>2</w:t>
        </w:r>
      </w:fldSimple>
      <w:r>
        <w:t xml:space="preserve">. </w:t>
      </w:r>
      <w:r w:rsidR="008230C0">
        <w:t>M</w:t>
      </w:r>
      <w:r w:rsidRPr="0036016A">
        <w:t>arine gas oil (MGO) and marine diesel oil (MDO)</w:t>
      </w:r>
      <w:r w:rsidR="003F16EA">
        <w:t xml:space="preserve"> specifications.</w:t>
      </w:r>
      <w:bookmarkEnd w:id="22"/>
      <w:bookmarkEnd w:id="23"/>
    </w:p>
    <w:tbl>
      <w:tblPr>
        <w:tblStyle w:val="TableGrid"/>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A0" w:firstRow="1" w:lastRow="0" w:firstColumn="1" w:lastColumn="0" w:noHBand="1" w:noVBand="1"/>
      </w:tblPr>
      <w:tblGrid>
        <w:gridCol w:w="2835"/>
        <w:gridCol w:w="1017"/>
        <w:gridCol w:w="1590"/>
        <w:gridCol w:w="1650"/>
        <w:gridCol w:w="1785"/>
      </w:tblGrid>
      <w:tr w:rsidR="65215FB1" w14:paraId="61D2DFD1" w14:textId="77777777" w:rsidTr="5937A937">
        <w:trPr>
          <w:jc w:val="center"/>
        </w:trPr>
        <w:tc>
          <w:tcPr>
            <w:tcW w:w="2835" w:type="dxa"/>
            <w:tcBorders>
              <w:top w:val="single" w:sz="4" w:space="0" w:color="000000"/>
              <w:bottom w:val="single" w:sz="4" w:space="0" w:color="000000"/>
            </w:tcBorders>
            <w:vAlign w:val="center"/>
          </w:tcPr>
          <w:p w14:paraId="2A6B3703" w14:textId="381474BA" w:rsidR="3A451002" w:rsidRPr="00AF0B9C" w:rsidRDefault="3A451002" w:rsidP="65215FB1">
            <w:pPr>
              <w:jc w:val="center"/>
              <w:rPr>
                <w:rFonts w:asciiTheme="minorHAnsi" w:hAnsiTheme="minorHAnsi" w:cstheme="minorHAnsi"/>
                <w:b/>
                <w:bCs/>
                <w:sz w:val="18"/>
                <w:szCs w:val="18"/>
                <w:lang w:val="en-GB"/>
              </w:rPr>
            </w:pPr>
            <w:r w:rsidRPr="00AF0B9C">
              <w:rPr>
                <w:rFonts w:asciiTheme="minorHAnsi" w:hAnsiTheme="minorHAnsi" w:cstheme="minorHAnsi"/>
                <w:b/>
                <w:bCs/>
                <w:sz w:val="18"/>
                <w:szCs w:val="18"/>
                <w:lang w:val="en-GB"/>
              </w:rPr>
              <w:t>Specification</w:t>
            </w:r>
          </w:p>
        </w:tc>
        <w:tc>
          <w:tcPr>
            <w:tcW w:w="1017" w:type="dxa"/>
            <w:tcBorders>
              <w:top w:val="single" w:sz="4" w:space="0" w:color="000000"/>
              <w:bottom w:val="single" w:sz="4" w:space="0" w:color="000000"/>
            </w:tcBorders>
            <w:vAlign w:val="center"/>
          </w:tcPr>
          <w:p w14:paraId="57FBA24E" w14:textId="6B3A86BC" w:rsidR="3A451002" w:rsidRPr="00AF0B9C" w:rsidRDefault="3A451002" w:rsidP="65215FB1">
            <w:pPr>
              <w:jc w:val="center"/>
              <w:rPr>
                <w:rFonts w:asciiTheme="minorHAnsi" w:hAnsiTheme="minorHAnsi" w:cstheme="minorHAnsi"/>
                <w:b/>
                <w:bCs/>
                <w:sz w:val="18"/>
                <w:szCs w:val="18"/>
                <w:lang w:val="en-GB"/>
              </w:rPr>
            </w:pPr>
            <w:r w:rsidRPr="00AF0B9C">
              <w:rPr>
                <w:rFonts w:asciiTheme="minorHAnsi" w:hAnsiTheme="minorHAnsi" w:cstheme="minorHAnsi"/>
                <w:b/>
                <w:bCs/>
                <w:sz w:val="18"/>
                <w:szCs w:val="18"/>
                <w:lang w:val="en-GB"/>
              </w:rPr>
              <w:t>Limit</w:t>
            </w:r>
          </w:p>
        </w:tc>
        <w:tc>
          <w:tcPr>
            <w:tcW w:w="1590" w:type="dxa"/>
            <w:tcBorders>
              <w:top w:val="single" w:sz="4" w:space="0" w:color="000000"/>
              <w:bottom w:val="single" w:sz="4" w:space="0" w:color="000000"/>
            </w:tcBorders>
            <w:vAlign w:val="center"/>
          </w:tcPr>
          <w:p w14:paraId="382CB88C" w14:textId="0505F46A" w:rsidR="3A451002" w:rsidRPr="00AF0B9C" w:rsidRDefault="3A451002" w:rsidP="65215FB1">
            <w:pPr>
              <w:jc w:val="center"/>
              <w:rPr>
                <w:rFonts w:asciiTheme="minorHAnsi" w:hAnsiTheme="minorHAnsi" w:cstheme="minorHAnsi"/>
                <w:b/>
                <w:bCs/>
                <w:sz w:val="18"/>
                <w:szCs w:val="18"/>
                <w:lang w:val="en-GB"/>
              </w:rPr>
            </w:pPr>
            <w:r w:rsidRPr="00AF0B9C">
              <w:rPr>
                <w:rFonts w:asciiTheme="minorHAnsi" w:hAnsiTheme="minorHAnsi" w:cstheme="minorHAnsi"/>
                <w:b/>
                <w:bCs/>
                <w:sz w:val="18"/>
                <w:szCs w:val="18"/>
                <w:lang w:val="en-GB"/>
              </w:rPr>
              <w:t>MGO (DMA)</w:t>
            </w:r>
          </w:p>
        </w:tc>
        <w:tc>
          <w:tcPr>
            <w:tcW w:w="1650" w:type="dxa"/>
            <w:tcBorders>
              <w:top w:val="single" w:sz="4" w:space="0" w:color="000000"/>
              <w:bottom w:val="single" w:sz="4" w:space="0" w:color="000000"/>
            </w:tcBorders>
            <w:vAlign w:val="center"/>
          </w:tcPr>
          <w:p w14:paraId="690F360D" w14:textId="1758550E" w:rsidR="3A451002" w:rsidRPr="00AF0B9C" w:rsidRDefault="00A4799E" w:rsidP="65215FB1">
            <w:pPr>
              <w:jc w:val="center"/>
              <w:rPr>
                <w:rFonts w:asciiTheme="minorHAnsi" w:hAnsiTheme="minorHAnsi" w:cstheme="minorHAnsi"/>
                <w:b/>
                <w:bCs/>
                <w:sz w:val="18"/>
                <w:szCs w:val="18"/>
                <w:lang w:val="en-GB"/>
              </w:rPr>
            </w:pPr>
            <w:r>
              <w:rPr>
                <w:rFonts w:asciiTheme="minorHAnsi" w:hAnsiTheme="minorHAnsi" w:cstheme="minorHAnsi"/>
                <w:b/>
                <w:bCs/>
                <w:sz w:val="18"/>
                <w:szCs w:val="18"/>
                <w:lang w:val="en-GB"/>
              </w:rPr>
              <w:t>RME</w:t>
            </w:r>
            <w:r w:rsidR="009E392F">
              <w:rPr>
                <w:rFonts w:asciiTheme="minorHAnsi" w:hAnsiTheme="minorHAnsi" w:cstheme="minorHAnsi"/>
                <w:b/>
                <w:bCs/>
                <w:sz w:val="18"/>
                <w:szCs w:val="18"/>
                <w:lang w:val="en-GB"/>
              </w:rPr>
              <w:t xml:space="preserve"> 180</w:t>
            </w:r>
          </w:p>
        </w:tc>
        <w:tc>
          <w:tcPr>
            <w:tcW w:w="1785" w:type="dxa"/>
            <w:tcBorders>
              <w:top w:val="single" w:sz="4" w:space="0" w:color="000000"/>
              <w:bottom w:val="single" w:sz="4" w:space="0" w:color="000000"/>
            </w:tcBorders>
            <w:vAlign w:val="center"/>
          </w:tcPr>
          <w:p w14:paraId="0706CBAD" w14:textId="32C3B7E7" w:rsidR="3A451002" w:rsidRPr="00AF0B9C" w:rsidRDefault="009E392F" w:rsidP="65215FB1">
            <w:pPr>
              <w:jc w:val="center"/>
              <w:rPr>
                <w:rFonts w:asciiTheme="minorHAnsi" w:hAnsiTheme="minorHAnsi" w:cstheme="minorHAnsi"/>
                <w:b/>
                <w:bCs/>
                <w:sz w:val="18"/>
                <w:szCs w:val="18"/>
                <w:lang w:val="en-GB"/>
              </w:rPr>
            </w:pPr>
            <w:r>
              <w:rPr>
                <w:rFonts w:asciiTheme="minorHAnsi" w:hAnsiTheme="minorHAnsi" w:cstheme="minorHAnsi"/>
                <w:b/>
                <w:bCs/>
                <w:sz w:val="18"/>
                <w:szCs w:val="18"/>
                <w:lang w:val="en-GB"/>
              </w:rPr>
              <w:t>RMG</w:t>
            </w:r>
            <w:r w:rsidR="3A451002" w:rsidRPr="00AF0B9C">
              <w:rPr>
                <w:rFonts w:asciiTheme="minorHAnsi" w:hAnsiTheme="minorHAnsi" w:cstheme="minorHAnsi"/>
                <w:b/>
                <w:bCs/>
                <w:sz w:val="18"/>
                <w:szCs w:val="18"/>
                <w:lang w:val="en-GB"/>
              </w:rPr>
              <w:t xml:space="preserve"> 380</w:t>
            </w:r>
          </w:p>
        </w:tc>
      </w:tr>
      <w:tr w:rsidR="65215FB1" w14:paraId="61AC3F3E" w14:textId="77777777" w:rsidTr="5937A937">
        <w:trPr>
          <w:jc w:val="center"/>
        </w:trPr>
        <w:tc>
          <w:tcPr>
            <w:tcW w:w="2835" w:type="dxa"/>
            <w:tcBorders>
              <w:top w:val="single" w:sz="4" w:space="0" w:color="000000"/>
            </w:tcBorders>
            <w:vAlign w:val="center"/>
          </w:tcPr>
          <w:p w14:paraId="5AAAAC69" w14:textId="75FD67EB"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Kinematic viscosity</w:t>
            </w:r>
            <w:r w:rsidR="597FFD73" w:rsidRPr="00AF0B9C">
              <w:rPr>
                <w:rFonts w:asciiTheme="minorHAnsi" w:hAnsiTheme="minorHAnsi" w:cstheme="minorHAnsi"/>
                <w:sz w:val="18"/>
                <w:szCs w:val="18"/>
                <w:lang w:val="en-GB"/>
              </w:rPr>
              <w:t xml:space="preserve"> </w:t>
            </w:r>
            <w:r w:rsidRPr="00AF0B9C">
              <w:rPr>
                <w:rFonts w:asciiTheme="minorHAnsi" w:hAnsiTheme="minorHAnsi" w:cstheme="minorHAnsi"/>
                <w:sz w:val="18"/>
                <w:szCs w:val="18"/>
                <w:lang w:val="en-GB"/>
              </w:rPr>
              <w:t>(centistoke)</w:t>
            </w:r>
          </w:p>
        </w:tc>
        <w:tc>
          <w:tcPr>
            <w:tcW w:w="1017" w:type="dxa"/>
            <w:tcBorders>
              <w:top w:val="single" w:sz="4" w:space="0" w:color="000000"/>
            </w:tcBorders>
            <w:vAlign w:val="center"/>
          </w:tcPr>
          <w:p w14:paraId="1FFBB685" w14:textId="72688572" w:rsidR="3A451002" w:rsidRPr="00AF0B9C" w:rsidRDefault="3A451002"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Min - Max</w:t>
            </w:r>
          </w:p>
        </w:tc>
        <w:tc>
          <w:tcPr>
            <w:tcW w:w="1590" w:type="dxa"/>
            <w:tcBorders>
              <w:top w:val="single" w:sz="4" w:space="0" w:color="000000"/>
            </w:tcBorders>
            <w:vAlign w:val="center"/>
          </w:tcPr>
          <w:p w14:paraId="7B7B677C" w14:textId="03107454"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2.00 - 6.00</w:t>
            </w:r>
            <w:r w:rsidR="5B226DE2" w:rsidRPr="00AF0B9C">
              <w:rPr>
                <w:rFonts w:asciiTheme="minorHAnsi" w:hAnsiTheme="minorHAnsi" w:cstheme="minorHAnsi"/>
                <w:sz w:val="18"/>
                <w:szCs w:val="18"/>
                <w:lang w:val="en-GB"/>
              </w:rPr>
              <w:t xml:space="preserve"> at 40 °C</w:t>
            </w:r>
          </w:p>
        </w:tc>
        <w:tc>
          <w:tcPr>
            <w:tcW w:w="1650" w:type="dxa"/>
            <w:tcBorders>
              <w:top w:val="single" w:sz="4" w:space="0" w:color="000000"/>
            </w:tcBorders>
            <w:vAlign w:val="center"/>
          </w:tcPr>
          <w:p w14:paraId="551FA663" w14:textId="1FC5EDA7" w:rsidR="10DBFF80" w:rsidRPr="00AF0B9C" w:rsidRDefault="10DBFF8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180</w:t>
            </w:r>
            <w:r w:rsidR="1BAF401F" w:rsidRPr="00AF0B9C">
              <w:rPr>
                <w:rFonts w:asciiTheme="minorHAnsi" w:hAnsiTheme="minorHAnsi" w:cstheme="minorHAnsi"/>
                <w:sz w:val="18"/>
                <w:szCs w:val="18"/>
                <w:lang w:val="en-GB"/>
              </w:rPr>
              <w:t xml:space="preserve"> at </w:t>
            </w:r>
            <w:r w:rsidR="2A2FDF7C" w:rsidRPr="00AF0B9C">
              <w:rPr>
                <w:rFonts w:asciiTheme="minorHAnsi" w:hAnsiTheme="minorHAnsi" w:cstheme="minorHAnsi"/>
                <w:sz w:val="18"/>
                <w:szCs w:val="18"/>
                <w:lang w:val="en-GB"/>
              </w:rPr>
              <w:t>5</w:t>
            </w:r>
            <w:r w:rsidR="1BAF401F" w:rsidRPr="00AF0B9C">
              <w:rPr>
                <w:rFonts w:asciiTheme="minorHAnsi" w:hAnsiTheme="minorHAnsi" w:cstheme="minorHAnsi"/>
                <w:sz w:val="18"/>
                <w:szCs w:val="18"/>
                <w:lang w:val="en-GB"/>
              </w:rPr>
              <w:t>0 °C</w:t>
            </w:r>
          </w:p>
        </w:tc>
        <w:tc>
          <w:tcPr>
            <w:tcW w:w="1785" w:type="dxa"/>
            <w:tcBorders>
              <w:top w:val="single" w:sz="4" w:space="0" w:color="000000"/>
            </w:tcBorders>
            <w:vAlign w:val="center"/>
          </w:tcPr>
          <w:p w14:paraId="2176961E" w14:textId="7AA5B75F" w:rsidR="10DBFF80" w:rsidRPr="00AF0B9C" w:rsidRDefault="10DBFF8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380</w:t>
            </w:r>
            <w:r w:rsidR="1180FFA4" w:rsidRPr="00AF0B9C">
              <w:rPr>
                <w:rFonts w:asciiTheme="minorHAnsi" w:hAnsiTheme="minorHAnsi" w:cstheme="minorHAnsi"/>
                <w:sz w:val="18"/>
                <w:szCs w:val="18"/>
                <w:lang w:val="en-GB"/>
              </w:rPr>
              <w:t xml:space="preserve"> at 50 °C</w:t>
            </w:r>
          </w:p>
        </w:tc>
      </w:tr>
      <w:tr w:rsidR="65215FB1" w14:paraId="07A51610" w14:textId="77777777" w:rsidTr="5937A937">
        <w:trPr>
          <w:jc w:val="center"/>
        </w:trPr>
        <w:tc>
          <w:tcPr>
            <w:tcW w:w="2835" w:type="dxa"/>
            <w:vAlign w:val="center"/>
          </w:tcPr>
          <w:p w14:paraId="7CBF8D11" w14:textId="51BCCFAB" w:rsidR="3A451002" w:rsidRPr="00AF0B9C" w:rsidRDefault="35D90D98" w:rsidP="5937A937">
            <w:pPr>
              <w:spacing w:after="120"/>
              <w:jc w:val="center"/>
              <w:rPr>
                <w:rFonts w:asciiTheme="minorHAnsi" w:hAnsiTheme="minorHAnsi" w:cstheme="minorBidi"/>
                <w:sz w:val="18"/>
                <w:szCs w:val="18"/>
                <w:lang w:val="en-GB"/>
              </w:rPr>
            </w:pPr>
            <w:r w:rsidRPr="5937A937">
              <w:rPr>
                <w:rFonts w:asciiTheme="minorHAnsi" w:hAnsiTheme="minorHAnsi" w:cstheme="minorBidi"/>
                <w:sz w:val="18"/>
                <w:szCs w:val="18"/>
                <w:lang w:val="en-GB"/>
              </w:rPr>
              <w:t>Density at 15 °C (kg/m</w:t>
            </w:r>
            <w:r w:rsidRPr="5937A937">
              <w:rPr>
                <w:rFonts w:asciiTheme="minorHAnsi" w:hAnsiTheme="minorHAnsi" w:cstheme="minorBidi"/>
                <w:sz w:val="18"/>
                <w:szCs w:val="18"/>
                <w:vertAlign w:val="superscript"/>
                <w:lang w:val="en-GB"/>
              </w:rPr>
              <w:t>3</w:t>
            </w:r>
            <w:r w:rsidRPr="5937A937">
              <w:rPr>
                <w:rFonts w:asciiTheme="minorHAnsi" w:hAnsiTheme="minorHAnsi" w:cstheme="minorBidi"/>
                <w:sz w:val="18"/>
                <w:szCs w:val="18"/>
                <w:lang w:val="en-GB"/>
              </w:rPr>
              <w:t>)</w:t>
            </w:r>
          </w:p>
        </w:tc>
        <w:tc>
          <w:tcPr>
            <w:tcW w:w="1017" w:type="dxa"/>
            <w:vAlign w:val="center"/>
          </w:tcPr>
          <w:p w14:paraId="4A59BE2F" w14:textId="1B040CBC"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5FE124D2" w14:textId="2DE7FB36"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890</w:t>
            </w:r>
          </w:p>
        </w:tc>
        <w:tc>
          <w:tcPr>
            <w:tcW w:w="1650" w:type="dxa"/>
            <w:vAlign w:val="center"/>
          </w:tcPr>
          <w:p w14:paraId="3B32BE5D" w14:textId="5E5BFBB0" w:rsidR="320DBF09" w:rsidRPr="00AF0B9C" w:rsidRDefault="320DBF09"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991</w:t>
            </w:r>
          </w:p>
        </w:tc>
        <w:tc>
          <w:tcPr>
            <w:tcW w:w="1785" w:type="dxa"/>
            <w:vAlign w:val="center"/>
          </w:tcPr>
          <w:p w14:paraId="0615C7C6" w14:textId="74366A5E" w:rsidR="320DBF09" w:rsidRPr="00AF0B9C" w:rsidRDefault="320DBF09"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991</w:t>
            </w:r>
          </w:p>
        </w:tc>
      </w:tr>
      <w:tr w:rsidR="65215FB1" w14:paraId="25D71388" w14:textId="77777777" w:rsidTr="5937A937">
        <w:trPr>
          <w:jc w:val="center"/>
        </w:trPr>
        <w:tc>
          <w:tcPr>
            <w:tcW w:w="2835" w:type="dxa"/>
            <w:vAlign w:val="center"/>
          </w:tcPr>
          <w:p w14:paraId="32E4FC20" w14:textId="510D8F93"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Cetane number</w:t>
            </w:r>
          </w:p>
        </w:tc>
        <w:tc>
          <w:tcPr>
            <w:tcW w:w="1017" w:type="dxa"/>
            <w:vAlign w:val="center"/>
          </w:tcPr>
          <w:p w14:paraId="7A0BC19E" w14:textId="57192793"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Min</w:t>
            </w:r>
          </w:p>
        </w:tc>
        <w:tc>
          <w:tcPr>
            <w:tcW w:w="1590" w:type="dxa"/>
            <w:vAlign w:val="center"/>
          </w:tcPr>
          <w:p w14:paraId="586F0021" w14:textId="2509C829"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40</w:t>
            </w:r>
          </w:p>
        </w:tc>
        <w:tc>
          <w:tcPr>
            <w:tcW w:w="1650" w:type="dxa"/>
            <w:vAlign w:val="center"/>
          </w:tcPr>
          <w:p w14:paraId="002D8F45" w14:textId="3CCB4EBB" w:rsidR="4589E750" w:rsidRPr="00AF0B9C" w:rsidRDefault="4589E75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w:t>
            </w:r>
          </w:p>
        </w:tc>
        <w:tc>
          <w:tcPr>
            <w:tcW w:w="1785" w:type="dxa"/>
            <w:vAlign w:val="center"/>
          </w:tcPr>
          <w:p w14:paraId="1C520588" w14:textId="73A9E71A" w:rsidR="4589E750" w:rsidRPr="00AF0B9C" w:rsidRDefault="4589E75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w:t>
            </w:r>
          </w:p>
        </w:tc>
      </w:tr>
      <w:tr w:rsidR="65215FB1" w14:paraId="72C6C7A1" w14:textId="77777777" w:rsidTr="5937A937">
        <w:trPr>
          <w:jc w:val="center"/>
        </w:trPr>
        <w:tc>
          <w:tcPr>
            <w:tcW w:w="2835" w:type="dxa"/>
            <w:vAlign w:val="center"/>
          </w:tcPr>
          <w:p w14:paraId="3A10C04D" w14:textId="328ECB24"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Sulphur (% w/w)</w:t>
            </w:r>
          </w:p>
        </w:tc>
        <w:tc>
          <w:tcPr>
            <w:tcW w:w="1017" w:type="dxa"/>
            <w:vAlign w:val="center"/>
          </w:tcPr>
          <w:p w14:paraId="0F3E1653" w14:textId="6488162E"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443668E2" w14:textId="56E1C160"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1.5</w:t>
            </w:r>
          </w:p>
        </w:tc>
        <w:tc>
          <w:tcPr>
            <w:tcW w:w="3435" w:type="dxa"/>
            <w:gridSpan w:val="2"/>
            <w:vAlign w:val="center"/>
          </w:tcPr>
          <w:p w14:paraId="026C5B93" w14:textId="34D0C783" w:rsidR="31373AE7" w:rsidRPr="00AF0B9C" w:rsidRDefault="31373AE7"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3.5 %</w:t>
            </w:r>
            <w:r w:rsidR="007D04E3">
              <w:rPr>
                <w:rFonts w:asciiTheme="minorHAnsi" w:hAnsiTheme="minorHAnsi" w:cstheme="minorHAnsi"/>
                <w:sz w:val="18"/>
                <w:szCs w:val="18"/>
                <w:vertAlign w:val="superscript"/>
                <w:lang w:val="en-GB"/>
              </w:rPr>
              <w:t>*</w:t>
            </w:r>
          </w:p>
        </w:tc>
      </w:tr>
      <w:tr w:rsidR="65215FB1" w14:paraId="73E7114A" w14:textId="77777777" w:rsidTr="5937A937">
        <w:trPr>
          <w:jc w:val="center"/>
        </w:trPr>
        <w:tc>
          <w:tcPr>
            <w:tcW w:w="2835" w:type="dxa"/>
            <w:vAlign w:val="center"/>
          </w:tcPr>
          <w:p w14:paraId="0C9F6C3C" w14:textId="3F62E667"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Flash Point (°C)</w:t>
            </w:r>
          </w:p>
        </w:tc>
        <w:tc>
          <w:tcPr>
            <w:tcW w:w="1017" w:type="dxa"/>
            <w:vAlign w:val="center"/>
          </w:tcPr>
          <w:p w14:paraId="4B9296A9" w14:textId="4132AAF9"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Min</w:t>
            </w:r>
          </w:p>
        </w:tc>
        <w:tc>
          <w:tcPr>
            <w:tcW w:w="1590" w:type="dxa"/>
            <w:vAlign w:val="center"/>
          </w:tcPr>
          <w:p w14:paraId="72D4E06B" w14:textId="3866C99C"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60</w:t>
            </w:r>
          </w:p>
        </w:tc>
        <w:tc>
          <w:tcPr>
            <w:tcW w:w="1650" w:type="dxa"/>
            <w:vAlign w:val="center"/>
          </w:tcPr>
          <w:p w14:paraId="48166DE3" w14:textId="64B3A2EA" w:rsidR="5E031330" w:rsidRPr="00AF0B9C" w:rsidRDefault="5E03133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60</w:t>
            </w:r>
          </w:p>
        </w:tc>
        <w:tc>
          <w:tcPr>
            <w:tcW w:w="1785" w:type="dxa"/>
            <w:vAlign w:val="center"/>
          </w:tcPr>
          <w:p w14:paraId="2B113D24" w14:textId="1A40052A" w:rsidR="5E031330" w:rsidRPr="00AF0B9C" w:rsidRDefault="5E03133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60</w:t>
            </w:r>
          </w:p>
        </w:tc>
      </w:tr>
      <w:tr w:rsidR="65215FB1" w14:paraId="4410108A" w14:textId="77777777" w:rsidTr="5937A937">
        <w:trPr>
          <w:jc w:val="center"/>
        </w:trPr>
        <w:tc>
          <w:tcPr>
            <w:tcW w:w="2835" w:type="dxa"/>
            <w:vAlign w:val="center"/>
          </w:tcPr>
          <w:p w14:paraId="3889BEB7" w14:textId="17913A6E"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Acid Number (mg KOH/g)</w:t>
            </w:r>
          </w:p>
        </w:tc>
        <w:tc>
          <w:tcPr>
            <w:tcW w:w="1017" w:type="dxa"/>
            <w:vAlign w:val="center"/>
          </w:tcPr>
          <w:p w14:paraId="1B78FA12" w14:textId="39DA8771"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67B9B388" w14:textId="693829CA"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0.5</w:t>
            </w:r>
          </w:p>
        </w:tc>
        <w:tc>
          <w:tcPr>
            <w:tcW w:w="1650" w:type="dxa"/>
            <w:vAlign w:val="center"/>
          </w:tcPr>
          <w:p w14:paraId="7F4EAF07" w14:textId="40FC5370" w:rsidR="2050195E" w:rsidRPr="00AF0B9C" w:rsidRDefault="2050195E"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2.5</w:t>
            </w:r>
          </w:p>
        </w:tc>
        <w:tc>
          <w:tcPr>
            <w:tcW w:w="1785" w:type="dxa"/>
            <w:vAlign w:val="center"/>
          </w:tcPr>
          <w:p w14:paraId="7C49E1C9" w14:textId="6FF1DBCD" w:rsidR="2050195E" w:rsidRPr="00AF0B9C" w:rsidRDefault="2050195E"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2.5</w:t>
            </w:r>
          </w:p>
        </w:tc>
      </w:tr>
      <w:tr w:rsidR="65215FB1" w14:paraId="01FB1A6D" w14:textId="77777777" w:rsidTr="5937A937">
        <w:trPr>
          <w:jc w:val="center"/>
        </w:trPr>
        <w:tc>
          <w:tcPr>
            <w:tcW w:w="2835" w:type="dxa"/>
            <w:vAlign w:val="center"/>
          </w:tcPr>
          <w:p w14:paraId="0ED2AE1C" w14:textId="14FBCA8E" w:rsidR="3A451002" w:rsidRPr="00AF0B9C" w:rsidRDefault="3A451002"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Oxygen Stability (g/m</w:t>
            </w:r>
            <w:r w:rsidRPr="00AF0B9C">
              <w:rPr>
                <w:rFonts w:asciiTheme="minorHAnsi" w:hAnsiTheme="minorHAnsi" w:cstheme="minorHAnsi"/>
                <w:sz w:val="18"/>
                <w:szCs w:val="18"/>
                <w:vertAlign w:val="superscript"/>
                <w:lang w:val="en-GB"/>
              </w:rPr>
              <w:t>3</w:t>
            </w:r>
            <w:r w:rsidRPr="00AF0B9C">
              <w:rPr>
                <w:rFonts w:asciiTheme="minorHAnsi" w:hAnsiTheme="minorHAnsi" w:cstheme="minorHAnsi"/>
                <w:sz w:val="18"/>
                <w:szCs w:val="18"/>
                <w:lang w:val="en-GB"/>
              </w:rPr>
              <w:t>)</w:t>
            </w:r>
          </w:p>
        </w:tc>
        <w:tc>
          <w:tcPr>
            <w:tcW w:w="1017" w:type="dxa"/>
            <w:vAlign w:val="center"/>
          </w:tcPr>
          <w:p w14:paraId="739F9402" w14:textId="1D83CBDE"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7FAE1D05" w14:textId="0712E7B4"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25</w:t>
            </w:r>
          </w:p>
        </w:tc>
        <w:tc>
          <w:tcPr>
            <w:tcW w:w="1650" w:type="dxa"/>
            <w:vAlign w:val="center"/>
          </w:tcPr>
          <w:p w14:paraId="5C0AF7A0" w14:textId="2CC764C7" w:rsidR="5DC31B48" w:rsidRPr="00AF0B9C" w:rsidRDefault="5DC31B48"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c>
          <w:tcPr>
            <w:tcW w:w="1785" w:type="dxa"/>
            <w:vAlign w:val="center"/>
          </w:tcPr>
          <w:p w14:paraId="7377DCA1" w14:textId="77C4C406" w:rsidR="2F97306C" w:rsidRPr="00AF0B9C" w:rsidRDefault="2F97306C"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r>
      <w:tr w:rsidR="65215FB1" w14:paraId="4D3F6912" w14:textId="77777777" w:rsidTr="5937A937">
        <w:trPr>
          <w:jc w:val="center"/>
        </w:trPr>
        <w:tc>
          <w:tcPr>
            <w:tcW w:w="2835" w:type="dxa"/>
            <w:vAlign w:val="center"/>
          </w:tcPr>
          <w:p w14:paraId="763390B2" w14:textId="487DC5EF"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lastRenderedPageBreak/>
              <w:t>Lubricity</w:t>
            </w:r>
            <w:r w:rsidR="7368D9D7" w:rsidRPr="00AF0B9C">
              <w:rPr>
                <w:rFonts w:asciiTheme="minorHAnsi" w:hAnsiTheme="minorHAnsi" w:cstheme="minorHAnsi"/>
                <w:sz w:val="18"/>
                <w:szCs w:val="18"/>
                <w:lang w:val="en-GB"/>
              </w:rPr>
              <w:t xml:space="preserve"> (µm)</w:t>
            </w:r>
          </w:p>
        </w:tc>
        <w:tc>
          <w:tcPr>
            <w:tcW w:w="1017" w:type="dxa"/>
            <w:vAlign w:val="center"/>
          </w:tcPr>
          <w:p w14:paraId="22029C4F" w14:textId="09863CFD" w:rsidR="7368D9D7" w:rsidRPr="00AF0B9C" w:rsidRDefault="7368D9D7"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1F345096" w14:textId="4255E2F4" w:rsidR="7368D9D7" w:rsidRPr="00AF0B9C" w:rsidRDefault="7368D9D7"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520</w:t>
            </w:r>
          </w:p>
        </w:tc>
        <w:tc>
          <w:tcPr>
            <w:tcW w:w="1650" w:type="dxa"/>
            <w:vAlign w:val="center"/>
          </w:tcPr>
          <w:p w14:paraId="5E224DC6" w14:textId="0F025693" w:rsidR="2FDC57BE" w:rsidRPr="00AF0B9C" w:rsidRDefault="2FDC57BE"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c>
          <w:tcPr>
            <w:tcW w:w="1785" w:type="dxa"/>
            <w:vAlign w:val="center"/>
          </w:tcPr>
          <w:p w14:paraId="119B6EA1" w14:textId="0E92C5A7" w:rsidR="2FDC57BE" w:rsidRPr="00AF0B9C" w:rsidRDefault="2FDC57BE"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r>
      <w:tr w:rsidR="65215FB1" w14:paraId="270A8171" w14:textId="77777777" w:rsidTr="5937A937">
        <w:trPr>
          <w:jc w:val="center"/>
        </w:trPr>
        <w:tc>
          <w:tcPr>
            <w:tcW w:w="2835" w:type="dxa"/>
            <w:tcBorders>
              <w:bottom w:val="nil"/>
            </w:tcBorders>
            <w:vAlign w:val="center"/>
          </w:tcPr>
          <w:p w14:paraId="77722A71" w14:textId="41AE304A"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Pour Point</w:t>
            </w:r>
            <w:r w:rsidR="2C3178F8" w:rsidRPr="00AF0B9C">
              <w:rPr>
                <w:rFonts w:asciiTheme="minorHAnsi" w:hAnsiTheme="minorHAnsi" w:cstheme="minorHAnsi"/>
                <w:sz w:val="18"/>
                <w:szCs w:val="18"/>
                <w:lang w:val="en-GB"/>
              </w:rPr>
              <w:t xml:space="preserve"> (°C)</w:t>
            </w:r>
          </w:p>
        </w:tc>
        <w:tc>
          <w:tcPr>
            <w:tcW w:w="1017" w:type="dxa"/>
            <w:tcBorders>
              <w:bottom w:val="nil"/>
            </w:tcBorders>
            <w:vAlign w:val="center"/>
          </w:tcPr>
          <w:p w14:paraId="7187412E" w14:textId="701674E5" w:rsidR="2C3178F8" w:rsidRPr="00AF0B9C" w:rsidRDefault="2C3178F8"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tcBorders>
              <w:bottom w:val="nil"/>
            </w:tcBorders>
            <w:vAlign w:val="center"/>
          </w:tcPr>
          <w:p w14:paraId="17939623" w14:textId="12A81A8C" w:rsidR="2C3178F8" w:rsidRPr="00AF0B9C" w:rsidRDefault="2C3178F8"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 to 0</w:t>
            </w:r>
          </w:p>
        </w:tc>
        <w:tc>
          <w:tcPr>
            <w:tcW w:w="1650" w:type="dxa"/>
            <w:tcBorders>
              <w:bottom w:val="nil"/>
            </w:tcBorders>
            <w:vAlign w:val="center"/>
          </w:tcPr>
          <w:p w14:paraId="3327DEAB" w14:textId="48D05AD8" w:rsidR="56428022" w:rsidRPr="00AF0B9C" w:rsidRDefault="5642802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30</w:t>
            </w:r>
          </w:p>
        </w:tc>
        <w:tc>
          <w:tcPr>
            <w:tcW w:w="1785" w:type="dxa"/>
            <w:tcBorders>
              <w:bottom w:val="nil"/>
            </w:tcBorders>
            <w:vAlign w:val="center"/>
          </w:tcPr>
          <w:p w14:paraId="318E122B" w14:textId="03AD50FB" w:rsidR="56428022" w:rsidRPr="00AF0B9C" w:rsidRDefault="5642802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30</w:t>
            </w:r>
          </w:p>
        </w:tc>
      </w:tr>
      <w:tr w:rsidR="65215FB1" w14:paraId="75BA7A9F" w14:textId="77777777" w:rsidTr="5937A937">
        <w:trPr>
          <w:jc w:val="center"/>
        </w:trPr>
        <w:tc>
          <w:tcPr>
            <w:tcW w:w="2835" w:type="dxa"/>
            <w:tcBorders>
              <w:top w:val="nil"/>
              <w:left w:val="nil"/>
              <w:bottom w:val="single" w:sz="4" w:space="0" w:color="auto"/>
              <w:right w:val="nil"/>
            </w:tcBorders>
            <w:vAlign w:val="center"/>
          </w:tcPr>
          <w:p w14:paraId="70598BE5" w14:textId="648F03EE"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Carbon Residue – micro method (% w/w)</w:t>
            </w:r>
          </w:p>
        </w:tc>
        <w:tc>
          <w:tcPr>
            <w:tcW w:w="1017" w:type="dxa"/>
            <w:tcBorders>
              <w:top w:val="nil"/>
              <w:left w:val="nil"/>
              <w:bottom w:val="single" w:sz="4" w:space="0" w:color="auto"/>
              <w:right w:val="nil"/>
            </w:tcBorders>
            <w:vAlign w:val="center"/>
          </w:tcPr>
          <w:p w14:paraId="53046BEA" w14:textId="5766020E"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tcBorders>
              <w:top w:val="nil"/>
              <w:left w:val="nil"/>
              <w:bottom w:val="single" w:sz="4" w:space="0" w:color="auto"/>
              <w:right w:val="nil"/>
            </w:tcBorders>
            <w:vAlign w:val="center"/>
          </w:tcPr>
          <w:p w14:paraId="4C92333B" w14:textId="0B1ABC7D"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0.3</w:t>
            </w:r>
          </w:p>
        </w:tc>
        <w:tc>
          <w:tcPr>
            <w:tcW w:w="1650" w:type="dxa"/>
            <w:tcBorders>
              <w:top w:val="nil"/>
              <w:left w:val="nil"/>
              <w:bottom w:val="single" w:sz="4" w:space="0" w:color="auto"/>
              <w:right w:val="nil"/>
            </w:tcBorders>
            <w:vAlign w:val="center"/>
          </w:tcPr>
          <w:p w14:paraId="4A1C89AB" w14:textId="7074F753"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18</w:t>
            </w:r>
          </w:p>
        </w:tc>
        <w:tc>
          <w:tcPr>
            <w:tcW w:w="1785" w:type="dxa"/>
            <w:tcBorders>
              <w:top w:val="nil"/>
              <w:left w:val="nil"/>
              <w:bottom w:val="single" w:sz="4" w:space="0" w:color="auto"/>
              <w:right w:val="nil"/>
            </w:tcBorders>
            <w:vAlign w:val="center"/>
          </w:tcPr>
          <w:p w14:paraId="1B59DC3C" w14:textId="45107799"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18</w:t>
            </w:r>
          </w:p>
        </w:tc>
      </w:tr>
      <w:tr w:rsidR="008D543C" w14:paraId="79B35681" w14:textId="77777777" w:rsidTr="5937A937">
        <w:trPr>
          <w:jc w:val="center"/>
        </w:trPr>
        <w:tc>
          <w:tcPr>
            <w:tcW w:w="8877" w:type="dxa"/>
            <w:gridSpan w:val="5"/>
            <w:tcBorders>
              <w:top w:val="single" w:sz="4" w:space="0" w:color="auto"/>
              <w:left w:val="nil"/>
              <w:bottom w:val="nil"/>
              <w:right w:val="nil"/>
            </w:tcBorders>
            <w:vAlign w:val="center"/>
          </w:tcPr>
          <w:p w14:paraId="039B5909" w14:textId="7ABCB74C" w:rsidR="008D543C" w:rsidRPr="00AF0B9C" w:rsidRDefault="007D04E3" w:rsidP="007D04E3">
            <w:pPr>
              <w:spacing w:after="120"/>
              <w:jc w:val="left"/>
              <w:rPr>
                <w:rFonts w:asciiTheme="minorHAnsi" w:hAnsiTheme="minorHAnsi" w:cstheme="minorHAnsi"/>
                <w:sz w:val="18"/>
                <w:szCs w:val="18"/>
                <w:lang w:val="en-GB"/>
              </w:rPr>
            </w:pPr>
            <w:r>
              <w:rPr>
                <w:rFonts w:asciiTheme="minorHAnsi" w:hAnsiTheme="minorHAnsi" w:cstheme="minorHAnsi"/>
                <w:sz w:val="18"/>
                <w:szCs w:val="18"/>
                <w:lang w:val="en-GB"/>
              </w:rPr>
              <w:t>*</w:t>
            </w:r>
            <w:r w:rsidRPr="00AF0B9C">
              <w:rPr>
                <w:rFonts w:asciiTheme="minorHAnsi" w:hAnsiTheme="minorHAnsi" w:cstheme="minorHAnsi"/>
                <w:sz w:val="18"/>
                <w:szCs w:val="18"/>
                <w:lang w:val="en-GB"/>
              </w:rPr>
              <w:t xml:space="preserve"> </w:t>
            </w:r>
            <w:r>
              <w:rPr>
                <w:rFonts w:asciiTheme="minorHAnsi" w:hAnsiTheme="minorHAnsi" w:cstheme="minorHAnsi"/>
                <w:sz w:val="18"/>
                <w:szCs w:val="18"/>
                <w:lang w:val="en-GB"/>
              </w:rPr>
              <w:t>O</w:t>
            </w:r>
            <w:r w:rsidRPr="00AF0B9C">
              <w:rPr>
                <w:rFonts w:asciiTheme="minorHAnsi" w:hAnsiTheme="minorHAnsi" w:cstheme="minorHAnsi"/>
                <w:sz w:val="18"/>
                <w:szCs w:val="18"/>
                <w:lang w:val="en-GB"/>
              </w:rPr>
              <w:t>r as required in ECA zone</w:t>
            </w:r>
          </w:p>
        </w:tc>
      </w:tr>
    </w:tbl>
    <w:p w14:paraId="5740E9AA" w14:textId="3DE256E2" w:rsidR="65215FB1" w:rsidRDefault="65215FB1" w:rsidP="65215FB1">
      <w:pPr>
        <w:spacing w:line="360" w:lineRule="auto"/>
        <w:ind w:firstLine="720"/>
        <w:rPr>
          <w:rFonts w:ascii="Times New Roman" w:hAnsi="Times New Roman"/>
          <w:sz w:val="22"/>
          <w:szCs w:val="22"/>
          <w:lang w:val="en-GB"/>
        </w:rPr>
      </w:pPr>
    </w:p>
    <w:p w14:paraId="5473E7E8" w14:textId="44108BEE" w:rsidR="00BA28AF" w:rsidRDefault="00BA28AF" w:rsidP="002F7E75">
      <w:pPr>
        <w:pStyle w:val="Heading2"/>
      </w:pPr>
      <w:bookmarkStart w:id="24" w:name="_Toc85627864"/>
      <w:r>
        <w:t>Alternative Fuels</w:t>
      </w:r>
      <w:bookmarkEnd w:id="24"/>
    </w:p>
    <w:p w14:paraId="1FA2A874" w14:textId="29BACD07" w:rsidR="00BA28AF" w:rsidRPr="000D7D19" w:rsidRDefault="6170CE0A" w:rsidP="791B8135">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The discussion about</w:t>
      </w:r>
      <w:r w:rsidR="182BA598" w:rsidRPr="5937A937">
        <w:rPr>
          <w:rFonts w:asciiTheme="majorHAnsi" w:hAnsiTheme="majorHAnsi" w:cstheme="majorBidi"/>
          <w:sz w:val="22"/>
          <w:szCs w:val="22"/>
          <w:lang w:val="en-GB"/>
        </w:rPr>
        <w:t xml:space="preserve"> decarbonization </w:t>
      </w:r>
      <w:r w:rsidR="7EA680AF" w:rsidRPr="5937A937">
        <w:rPr>
          <w:rFonts w:asciiTheme="majorHAnsi" w:hAnsiTheme="majorHAnsi" w:cstheme="majorBidi"/>
          <w:sz w:val="22"/>
          <w:szCs w:val="22"/>
          <w:lang w:val="en-GB"/>
        </w:rPr>
        <w:t>put on</w:t>
      </w:r>
      <w:r w:rsidR="182BA598" w:rsidRPr="5937A937">
        <w:rPr>
          <w:rFonts w:asciiTheme="majorHAnsi" w:hAnsiTheme="majorHAnsi" w:cstheme="majorBidi"/>
          <w:sz w:val="22"/>
          <w:szCs w:val="22"/>
          <w:lang w:val="en-GB"/>
        </w:rPr>
        <w:t xml:space="preserve"> d</w:t>
      </w:r>
      <w:r w:rsidR="4783DE98" w:rsidRPr="5937A937">
        <w:rPr>
          <w:rFonts w:asciiTheme="majorHAnsi" w:hAnsiTheme="majorHAnsi" w:cstheme="majorBidi"/>
          <w:sz w:val="22"/>
          <w:szCs w:val="22"/>
          <w:lang w:val="en-GB"/>
        </w:rPr>
        <w:t xml:space="preserve">ebate </w:t>
      </w:r>
      <w:r w:rsidR="182BA598" w:rsidRPr="5937A937">
        <w:rPr>
          <w:rFonts w:asciiTheme="majorHAnsi" w:hAnsiTheme="majorHAnsi" w:cstheme="majorBidi"/>
          <w:sz w:val="22"/>
          <w:szCs w:val="22"/>
          <w:lang w:val="en-GB"/>
        </w:rPr>
        <w:t xml:space="preserve">the use of alternative energy carriers </w:t>
      </w:r>
      <w:r w:rsidR="4E441BDB" w:rsidRPr="5937A937">
        <w:rPr>
          <w:rFonts w:asciiTheme="majorHAnsi" w:hAnsiTheme="majorHAnsi" w:cstheme="majorBidi"/>
          <w:sz w:val="22"/>
          <w:szCs w:val="22"/>
          <w:lang w:val="en-GB"/>
        </w:rPr>
        <w:t>for</w:t>
      </w:r>
      <w:r w:rsidR="182BA598" w:rsidRPr="5937A937">
        <w:rPr>
          <w:rFonts w:asciiTheme="majorHAnsi" w:hAnsiTheme="majorHAnsi" w:cstheme="majorBidi"/>
          <w:sz w:val="22"/>
          <w:szCs w:val="22"/>
          <w:lang w:val="en-GB"/>
        </w:rPr>
        <w:t xml:space="preserve"> marine use. Among them</w:t>
      </w:r>
      <w:r w:rsidR="4E441BDB" w:rsidRPr="5937A937">
        <w:rPr>
          <w:rFonts w:asciiTheme="majorHAnsi" w:hAnsiTheme="majorHAnsi" w:cstheme="majorBidi"/>
          <w:sz w:val="22"/>
          <w:szCs w:val="22"/>
          <w:lang w:val="en-GB"/>
        </w:rPr>
        <w:t xml:space="preserve"> </w:t>
      </w:r>
      <w:r w:rsidR="182BA598" w:rsidRPr="5937A937">
        <w:rPr>
          <w:rFonts w:asciiTheme="majorHAnsi" w:hAnsiTheme="majorHAnsi" w:cstheme="majorBidi"/>
          <w:sz w:val="22"/>
          <w:szCs w:val="22"/>
          <w:lang w:val="en-GB"/>
        </w:rPr>
        <w:t>LNG</w:t>
      </w:r>
      <w:r w:rsidR="4A503B74" w:rsidRPr="5937A937">
        <w:rPr>
          <w:rFonts w:asciiTheme="majorHAnsi" w:hAnsiTheme="majorHAnsi" w:cstheme="majorBidi"/>
          <w:sz w:val="22"/>
          <w:szCs w:val="22"/>
          <w:lang w:val="en-GB"/>
        </w:rPr>
        <w:t xml:space="preserve">, </w:t>
      </w:r>
      <w:r w:rsidR="4BEFFF09" w:rsidRPr="5937A937">
        <w:rPr>
          <w:rFonts w:asciiTheme="majorHAnsi" w:hAnsiTheme="majorHAnsi" w:cstheme="majorBidi"/>
          <w:sz w:val="22"/>
          <w:szCs w:val="22"/>
          <w:lang w:val="en-GB"/>
        </w:rPr>
        <w:t>LPG</w:t>
      </w:r>
      <w:r w:rsidR="13544EB1" w:rsidRPr="5937A937">
        <w:rPr>
          <w:rFonts w:asciiTheme="majorHAnsi" w:hAnsiTheme="majorHAnsi" w:cstheme="majorBidi"/>
          <w:sz w:val="22"/>
          <w:szCs w:val="22"/>
          <w:lang w:val="en-GB"/>
        </w:rPr>
        <w:t>,</w:t>
      </w:r>
      <w:r w:rsidR="4BEFFF09" w:rsidRPr="5937A937">
        <w:rPr>
          <w:rFonts w:asciiTheme="majorHAnsi" w:hAnsiTheme="majorHAnsi" w:cstheme="majorBidi"/>
          <w:sz w:val="22"/>
          <w:szCs w:val="22"/>
          <w:lang w:val="en-GB"/>
        </w:rPr>
        <w:t xml:space="preserve"> </w:t>
      </w:r>
      <w:r w:rsidR="4A503B74" w:rsidRPr="5937A937">
        <w:rPr>
          <w:rFonts w:asciiTheme="majorHAnsi" w:hAnsiTheme="majorHAnsi" w:cstheme="majorBidi"/>
          <w:sz w:val="22"/>
          <w:szCs w:val="22"/>
          <w:lang w:val="en-GB"/>
        </w:rPr>
        <w:t>ammonia, hydrogen, methanol and biofuels</w:t>
      </w:r>
      <w:r w:rsidR="4E441BDB" w:rsidRPr="5937A937">
        <w:rPr>
          <w:rFonts w:asciiTheme="majorHAnsi" w:hAnsiTheme="majorHAnsi" w:cstheme="majorBidi"/>
          <w:sz w:val="22"/>
          <w:szCs w:val="22"/>
          <w:lang w:val="en-GB"/>
        </w:rPr>
        <w:t xml:space="preserve"> can be listed. Below </w:t>
      </w:r>
      <w:r w:rsidR="45B1FDBB" w:rsidRPr="5937A937">
        <w:rPr>
          <w:rFonts w:asciiTheme="majorHAnsi" w:hAnsiTheme="majorHAnsi" w:cstheme="majorBidi"/>
          <w:sz w:val="22"/>
          <w:szCs w:val="22"/>
          <w:lang w:val="en-GB"/>
        </w:rPr>
        <w:t>those fuels are</w:t>
      </w:r>
      <w:r w:rsidR="678508D7" w:rsidRPr="5937A937">
        <w:rPr>
          <w:rFonts w:asciiTheme="majorHAnsi" w:hAnsiTheme="majorHAnsi" w:cstheme="majorBidi"/>
          <w:sz w:val="22"/>
          <w:szCs w:val="22"/>
          <w:lang w:val="en-GB"/>
        </w:rPr>
        <w:t xml:space="preserve"> further discussed.</w:t>
      </w:r>
    </w:p>
    <w:p w14:paraId="4B7BC9E4" w14:textId="73202786" w:rsidR="00020333" w:rsidRDefault="007659BF" w:rsidP="00020333">
      <w:pPr>
        <w:spacing w:after="120" w:line="360" w:lineRule="auto"/>
        <w:rPr>
          <w:rFonts w:asciiTheme="majorHAnsi" w:hAnsiTheme="majorHAnsi" w:cstheme="majorBidi"/>
          <w:sz w:val="22"/>
          <w:szCs w:val="22"/>
          <w:lang w:val="en-GB"/>
        </w:rPr>
      </w:pPr>
      <w:r w:rsidRPr="000D7D19">
        <w:rPr>
          <w:rFonts w:asciiTheme="majorHAnsi" w:hAnsiTheme="majorHAnsi" w:cstheme="majorHAnsi"/>
          <w:sz w:val="22"/>
          <w:szCs w:val="22"/>
          <w:lang w:val="en-GB"/>
        </w:rPr>
        <w:tab/>
      </w:r>
      <w:r w:rsidR="43ED38DE" w:rsidRPr="791B8135">
        <w:rPr>
          <w:rFonts w:asciiTheme="majorHAnsi" w:hAnsiTheme="majorHAnsi" w:cstheme="majorBidi"/>
          <w:b/>
          <w:bCs/>
          <w:sz w:val="22"/>
          <w:szCs w:val="22"/>
          <w:lang w:val="en-GB"/>
        </w:rPr>
        <w:t>LNG</w:t>
      </w:r>
      <w:r w:rsidR="43ED38DE" w:rsidRPr="791B8135">
        <w:rPr>
          <w:rFonts w:asciiTheme="majorHAnsi" w:hAnsiTheme="majorHAnsi" w:cstheme="majorBidi"/>
          <w:sz w:val="22"/>
          <w:szCs w:val="22"/>
          <w:lang w:val="en-GB"/>
        </w:rPr>
        <w:t xml:space="preserve"> has been discussed as an </w:t>
      </w:r>
      <w:r w:rsidR="15425B57" w:rsidRPr="791B8135">
        <w:rPr>
          <w:rFonts w:asciiTheme="majorHAnsi" w:hAnsiTheme="majorHAnsi" w:cstheme="majorBidi"/>
          <w:sz w:val="22"/>
          <w:szCs w:val="22"/>
          <w:lang w:val="en-GB"/>
        </w:rPr>
        <w:t>early</w:t>
      </w:r>
      <w:r w:rsidR="43ED38DE" w:rsidRPr="791B8135">
        <w:rPr>
          <w:rFonts w:asciiTheme="majorHAnsi" w:hAnsiTheme="majorHAnsi" w:cstheme="majorBidi"/>
          <w:sz w:val="22"/>
          <w:szCs w:val="22"/>
          <w:lang w:val="en-GB"/>
        </w:rPr>
        <w:t xml:space="preserve"> alternative</w:t>
      </w:r>
      <w:r w:rsidR="15425B57" w:rsidRPr="791B8135">
        <w:rPr>
          <w:rFonts w:asciiTheme="majorHAnsi" w:hAnsiTheme="majorHAnsi" w:cstheme="majorBidi"/>
          <w:sz w:val="22"/>
          <w:szCs w:val="22"/>
          <w:lang w:val="en-GB"/>
        </w:rPr>
        <w:t xml:space="preserve"> to reduce </w:t>
      </w:r>
      <w:r w:rsidR="69F8775C" w:rsidRPr="791B8135">
        <w:rPr>
          <w:rFonts w:asciiTheme="majorHAnsi" w:hAnsiTheme="majorHAnsi" w:cstheme="majorBidi"/>
          <w:sz w:val="22"/>
          <w:szCs w:val="22"/>
          <w:lang w:val="en-GB"/>
        </w:rPr>
        <w:t xml:space="preserve">direct </w:t>
      </w:r>
      <w:r w:rsidR="15425B57" w:rsidRPr="791B8135">
        <w:rPr>
          <w:rFonts w:asciiTheme="majorHAnsi" w:hAnsiTheme="majorHAnsi" w:cstheme="majorBidi"/>
          <w:sz w:val="22"/>
          <w:szCs w:val="22"/>
          <w:lang w:val="en-GB"/>
        </w:rPr>
        <w:t>emissions</w:t>
      </w:r>
      <w:r w:rsidR="69F8775C" w:rsidRPr="791B8135">
        <w:rPr>
          <w:rFonts w:asciiTheme="majorHAnsi" w:hAnsiTheme="majorHAnsi" w:cstheme="majorBidi"/>
          <w:sz w:val="22"/>
          <w:szCs w:val="22"/>
          <w:lang w:val="en-GB"/>
        </w:rPr>
        <w:t xml:space="preserve"> from engines</w:t>
      </w:r>
      <w:r w:rsidR="15425B57" w:rsidRPr="791B8135">
        <w:rPr>
          <w:rFonts w:asciiTheme="majorHAnsi" w:hAnsiTheme="majorHAnsi" w:cstheme="majorBidi"/>
          <w:sz w:val="22"/>
          <w:szCs w:val="22"/>
          <w:lang w:val="en-GB"/>
        </w:rPr>
        <w:t>, e.g, C</w:t>
      </w:r>
      <w:r w:rsidR="69F8775C" w:rsidRPr="791B8135">
        <w:rPr>
          <w:rFonts w:asciiTheme="majorHAnsi" w:hAnsiTheme="majorHAnsi" w:cstheme="majorBidi"/>
          <w:sz w:val="22"/>
          <w:szCs w:val="22"/>
          <w:lang w:val="en-GB"/>
        </w:rPr>
        <w:t>O</w:t>
      </w:r>
      <w:r w:rsidR="15425B57" w:rsidRPr="791B8135">
        <w:rPr>
          <w:rFonts w:asciiTheme="majorHAnsi" w:hAnsiTheme="majorHAnsi" w:cstheme="majorBidi"/>
          <w:sz w:val="22"/>
          <w:szCs w:val="22"/>
          <w:lang w:val="en-GB"/>
        </w:rPr>
        <w:t>x, NOx, S</w:t>
      </w:r>
      <w:r w:rsidR="005B4BC3" w:rsidRPr="791B8135">
        <w:rPr>
          <w:rFonts w:asciiTheme="majorHAnsi" w:hAnsiTheme="majorHAnsi" w:cstheme="majorBidi"/>
          <w:sz w:val="22"/>
          <w:szCs w:val="22"/>
          <w:lang w:val="en-GB"/>
        </w:rPr>
        <w:t>O</w:t>
      </w:r>
      <w:r w:rsidR="15425B57" w:rsidRPr="791B8135">
        <w:rPr>
          <w:rFonts w:asciiTheme="majorHAnsi" w:hAnsiTheme="majorHAnsi" w:cstheme="majorBidi"/>
          <w:sz w:val="22"/>
          <w:szCs w:val="22"/>
          <w:lang w:val="en-GB"/>
        </w:rPr>
        <w:t>x</w:t>
      </w:r>
      <w:r w:rsidR="74DE1A68" w:rsidRPr="791B8135">
        <w:rPr>
          <w:rFonts w:asciiTheme="majorHAnsi" w:hAnsiTheme="majorHAnsi" w:cstheme="majorBidi"/>
          <w:sz w:val="22"/>
          <w:szCs w:val="22"/>
          <w:lang w:val="en-GB"/>
        </w:rPr>
        <w:t>. P</w:t>
      </w:r>
      <w:r w:rsidR="15425B57" w:rsidRPr="791B8135">
        <w:rPr>
          <w:rFonts w:asciiTheme="majorHAnsi" w:hAnsiTheme="majorHAnsi" w:cstheme="majorBidi"/>
          <w:sz w:val="22"/>
          <w:szCs w:val="22"/>
          <w:lang w:val="en-GB"/>
        </w:rPr>
        <w:t xml:space="preserve">roduct, transport infrastructure and engine technology are readily available. </w:t>
      </w:r>
      <w:r w:rsidR="69F8775C" w:rsidRPr="791B8135">
        <w:rPr>
          <w:rFonts w:asciiTheme="majorHAnsi" w:hAnsiTheme="majorHAnsi" w:cstheme="majorBidi"/>
          <w:sz w:val="22"/>
          <w:szCs w:val="22"/>
          <w:lang w:val="en-GB"/>
        </w:rPr>
        <w:t>LNG consist</w:t>
      </w:r>
      <w:r w:rsidR="23EA0443" w:rsidRPr="791B8135">
        <w:rPr>
          <w:rFonts w:asciiTheme="majorHAnsi" w:hAnsiTheme="majorHAnsi" w:cstheme="majorBidi"/>
          <w:sz w:val="22"/>
          <w:szCs w:val="22"/>
          <w:lang w:val="en-GB"/>
        </w:rPr>
        <w:t>s</w:t>
      </w:r>
      <w:r w:rsidR="69F8775C" w:rsidRPr="791B8135">
        <w:rPr>
          <w:rFonts w:asciiTheme="majorHAnsi" w:hAnsiTheme="majorHAnsi" w:cstheme="majorBidi"/>
          <w:sz w:val="22"/>
          <w:szCs w:val="22"/>
          <w:lang w:val="en-GB"/>
        </w:rPr>
        <w:t xml:space="preserve"> of methane in its majority, </w:t>
      </w:r>
      <w:r w:rsidR="30BA3EB9" w:rsidRPr="791B8135">
        <w:rPr>
          <w:rFonts w:asciiTheme="majorHAnsi" w:hAnsiTheme="majorHAnsi" w:cstheme="majorBidi"/>
          <w:sz w:val="22"/>
          <w:szCs w:val="22"/>
          <w:lang w:val="en-GB"/>
        </w:rPr>
        <w:t>with a small fraction</w:t>
      </w:r>
      <w:r w:rsidR="69F8775C" w:rsidRPr="791B8135">
        <w:rPr>
          <w:rFonts w:asciiTheme="majorHAnsi" w:hAnsiTheme="majorHAnsi" w:cstheme="majorBidi"/>
          <w:sz w:val="22"/>
          <w:szCs w:val="22"/>
          <w:lang w:val="en-GB"/>
        </w:rPr>
        <w:t xml:space="preserve"> of nitrogen, ethane, propane and butane. </w:t>
      </w:r>
      <w:r w:rsidR="52C01F03" w:rsidRPr="791B8135">
        <w:rPr>
          <w:rFonts w:asciiTheme="majorHAnsi" w:hAnsiTheme="majorHAnsi" w:cstheme="majorBidi"/>
          <w:sz w:val="22"/>
          <w:szCs w:val="22"/>
          <w:lang w:val="en-GB"/>
        </w:rPr>
        <w:t xml:space="preserve"> </w:t>
      </w:r>
      <w:r w:rsidR="00963F36">
        <w:rPr>
          <w:rStyle w:val="normaltextrun"/>
          <w:rFonts w:cs="Calibri"/>
          <w:color w:val="1F1F1F"/>
          <w:sz w:val="22"/>
          <w:szCs w:val="22"/>
          <w:shd w:val="clear" w:color="auto" w:fill="FFFFFF"/>
          <w:lang w:val="en-GB"/>
        </w:rPr>
        <w:t>When cooled down to -160 ˚C, the gas is liquefied and reduces its volume, occupying 1/600</w:t>
      </w:r>
      <w:r w:rsidR="00963F36">
        <w:rPr>
          <w:rStyle w:val="normaltextrun"/>
          <w:rFonts w:cs="Calibri"/>
          <w:color w:val="1F1F1F"/>
          <w:sz w:val="17"/>
          <w:szCs w:val="17"/>
          <w:shd w:val="clear" w:color="auto" w:fill="FFFFFF"/>
          <w:vertAlign w:val="superscript"/>
          <w:lang w:val="en-GB"/>
        </w:rPr>
        <w:t>th</w:t>
      </w:r>
      <w:r w:rsidR="00963F36">
        <w:rPr>
          <w:rStyle w:val="normaltextrun"/>
          <w:rFonts w:cs="Calibri"/>
          <w:color w:val="1F1F1F"/>
          <w:sz w:val="22"/>
          <w:szCs w:val="22"/>
          <w:shd w:val="clear" w:color="auto" w:fill="FFFFFF"/>
          <w:lang w:val="en-GB"/>
        </w:rPr>
        <w:t> of its original space</w:t>
      </w:r>
      <w:r w:rsidR="69F8775C" w:rsidRPr="791B8135">
        <w:rPr>
          <w:rFonts w:asciiTheme="majorHAnsi" w:hAnsiTheme="majorHAnsi" w:cstheme="majorBidi"/>
          <w:sz w:val="22"/>
          <w:szCs w:val="22"/>
          <w:lang w:val="en-GB"/>
        </w:rPr>
        <w:t xml:space="preserve">. The liquefaction process usually </w:t>
      </w:r>
      <w:r w:rsidR="00121EAE">
        <w:rPr>
          <w:rFonts w:asciiTheme="majorHAnsi" w:hAnsiTheme="majorHAnsi" w:cstheme="majorBidi"/>
          <w:sz w:val="22"/>
          <w:szCs w:val="22"/>
          <w:lang w:val="en-GB"/>
        </w:rPr>
        <w:t>consumes</w:t>
      </w:r>
      <w:r w:rsidR="69F8775C"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 xml:space="preserve">8% to </w:t>
      </w:r>
      <w:r w:rsidR="69F8775C" w:rsidRPr="791B8135">
        <w:rPr>
          <w:rFonts w:asciiTheme="majorHAnsi" w:hAnsiTheme="majorHAnsi" w:cstheme="majorBidi"/>
          <w:sz w:val="22"/>
          <w:szCs w:val="22"/>
          <w:lang w:val="en-GB"/>
        </w:rPr>
        <w:t>25% of the</w:t>
      </w:r>
      <w:r w:rsidR="56F8E294" w:rsidRPr="791B8135">
        <w:rPr>
          <w:rFonts w:asciiTheme="majorHAnsi" w:hAnsiTheme="majorHAnsi" w:cstheme="majorBidi"/>
          <w:sz w:val="22"/>
          <w:szCs w:val="22"/>
          <w:lang w:val="en-GB"/>
        </w:rPr>
        <w:t xml:space="preserve"> </w:t>
      </w:r>
      <w:r w:rsidR="69F8775C" w:rsidRPr="791B8135">
        <w:rPr>
          <w:rFonts w:asciiTheme="majorHAnsi" w:hAnsiTheme="majorHAnsi" w:cstheme="majorBidi"/>
          <w:sz w:val="22"/>
          <w:szCs w:val="22"/>
          <w:lang w:val="en-GB"/>
        </w:rPr>
        <w:t xml:space="preserve">energy </w:t>
      </w:r>
      <w:r w:rsidR="00121EAE">
        <w:rPr>
          <w:rFonts w:asciiTheme="majorHAnsi" w:hAnsiTheme="majorHAnsi" w:cstheme="majorBidi"/>
          <w:sz w:val="22"/>
          <w:szCs w:val="22"/>
          <w:lang w:val="en-GB"/>
        </w:rPr>
        <w:t xml:space="preserve"> used to produce </w:t>
      </w:r>
      <w:r w:rsidR="69F8775C" w:rsidRPr="791B8135">
        <w:rPr>
          <w:rFonts w:asciiTheme="majorHAnsi" w:hAnsiTheme="majorHAnsi" w:cstheme="majorBidi"/>
          <w:sz w:val="22"/>
          <w:szCs w:val="22"/>
          <w:lang w:val="en-GB"/>
        </w:rPr>
        <w:t>LNG</w:t>
      </w:r>
      <w:r w:rsidR="4B0AA93F" w:rsidRPr="791B8135">
        <w:rPr>
          <w:rFonts w:asciiTheme="majorHAnsi" w:hAnsiTheme="majorHAnsi" w:cstheme="majorBidi"/>
          <w:sz w:val="22"/>
          <w:szCs w:val="22"/>
          <w:lang w:val="en-GB"/>
        </w:rPr>
        <w:t xml:space="preserve"> </w:t>
      </w:r>
      <w:r w:rsidR="005525CB" w:rsidRPr="791B8135">
        <w:rPr>
          <w:rFonts w:asciiTheme="majorHAnsi" w:hAnsiTheme="majorHAnsi" w:cstheme="majorBidi"/>
          <w:sz w:val="22"/>
          <w:szCs w:val="22"/>
          <w:lang w:val="en-GB"/>
        </w:rPr>
        <w:fldChar w:fldCharType="begin" w:fldLock="1"/>
      </w:r>
      <w:r w:rsidR="00C72DA0" w:rsidRPr="791B8135">
        <w:rPr>
          <w:rFonts w:asciiTheme="majorHAnsi" w:hAnsiTheme="majorHAnsi" w:cstheme="majorBidi"/>
          <w:sz w:val="22"/>
          <w:szCs w:val="22"/>
          <w:lang w:val="en-GB"/>
        </w:rPr>
        <w:instrText>ADDIN CSL_CITATION {"citationItems":[{"id":"ITEM-1","itemData":{"URL":"https://www.oiltanking.com/en/news-info/glossary/details/term/lng-liquefied-natural-gas.html","accessed":{"date-parts":[["2021","9","20"]]},"author":[{"dropping-particle":"","family":"Oiltanking GmbH","given":"","non-dropping-particle":"","parse-names":false,"suffix":""}],"id":"ITEM-1","issued":{"date-parts":[["0"]]},"title":"Important Terms from A to Z","type":"webpage"},"uris":["http://www.mendeley.com/documents/?uuid=af4dbd65-d916-4cdd-ab29-21ac7ff36c99"]},{"id":"ITEM-2","itemData":{"DOI":"10.1016/j.enconman.2018.12.080","ISSN":"01968904","abstract":"International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Management","id":"ITEM-2","issue":"December 2018","issued":{"date-parts":[["2019"]]},"page":"72-88","title":"How to decarbonise international shipping: Options for fuels, technologies and policies","type":"article-journal","volume":"182"},"uris":["http://www.mendeley.com/documents/?uuid=96546af7-7da1-41da-8ebe-86d293776d81"]}],"mendeley":{"formattedCitation":"(Balcombe et al., 2019; Oiltanking GmbH, n.d.)","plainTextFormattedCitation":"(Balcombe et al., 2019; Oiltanking GmbH, n.d.)","previouslyFormattedCitation":"(Balcombe et al., 2019; Oiltanking GmbH, n.d.)"},"properties":{"noteIndex":0},"schema":"https://github.com/citation-style-language/schema/raw/master/csl-citation.json"}</w:instrText>
      </w:r>
      <w:r w:rsidR="005525CB" w:rsidRPr="791B8135">
        <w:rPr>
          <w:rFonts w:asciiTheme="majorHAnsi" w:hAnsiTheme="majorHAnsi" w:cstheme="majorBidi"/>
          <w:sz w:val="22"/>
          <w:szCs w:val="22"/>
          <w:lang w:val="en-GB"/>
        </w:rPr>
        <w:fldChar w:fldCharType="separate"/>
      </w:r>
      <w:r w:rsidR="4B0AA93F" w:rsidRPr="791B8135">
        <w:rPr>
          <w:rFonts w:asciiTheme="majorHAnsi" w:hAnsiTheme="majorHAnsi" w:cstheme="majorBidi"/>
          <w:noProof/>
          <w:sz w:val="22"/>
          <w:szCs w:val="22"/>
          <w:lang w:val="en-GB"/>
        </w:rPr>
        <w:t>(Balcombe et al., 2019; Oiltanking GmbH, n.d.)</w:t>
      </w:r>
      <w:r w:rsidR="005525CB" w:rsidRPr="791B8135">
        <w:rPr>
          <w:rFonts w:asciiTheme="majorHAnsi" w:hAnsiTheme="majorHAnsi" w:cstheme="majorBidi"/>
          <w:sz w:val="22"/>
          <w:szCs w:val="22"/>
          <w:lang w:val="en-GB"/>
        </w:rPr>
        <w:fldChar w:fldCharType="end"/>
      </w:r>
      <w:r w:rsidR="69F8775C" w:rsidRPr="791B8135">
        <w:rPr>
          <w:rFonts w:asciiTheme="majorHAnsi" w:hAnsiTheme="majorHAnsi" w:cstheme="majorBidi"/>
          <w:sz w:val="22"/>
          <w:szCs w:val="22"/>
          <w:lang w:val="en-GB"/>
        </w:rPr>
        <w:t>.</w:t>
      </w:r>
      <w:r w:rsidR="6B7E2614" w:rsidRPr="791B8135">
        <w:rPr>
          <w:rFonts w:asciiTheme="majorHAnsi" w:hAnsiTheme="majorHAnsi" w:cstheme="majorBidi"/>
          <w:sz w:val="22"/>
          <w:szCs w:val="22"/>
          <w:lang w:val="en-GB"/>
        </w:rPr>
        <w:t xml:space="preserve"> </w:t>
      </w:r>
      <w:r w:rsidR="4A532B7D" w:rsidRPr="791B8135">
        <w:rPr>
          <w:rFonts w:asciiTheme="majorHAnsi" w:hAnsiTheme="majorHAnsi" w:cstheme="majorBidi"/>
          <w:sz w:val="22"/>
          <w:szCs w:val="22"/>
          <w:lang w:val="en-GB"/>
        </w:rPr>
        <w:t>LNG</w:t>
      </w:r>
      <w:r w:rsidR="6B7E2614" w:rsidRPr="791B8135">
        <w:rPr>
          <w:rFonts w:asciiTheme="majorHAnsi" w:hAnsiTheme="majorHAnsi" w:cstheme="majorBidi"/>
          <w:sz w:val="22"/>
          <w:szCs w:val="22"/>
          <w:lang w:val="en-GB"/>
        </w:rPr>
        <w:t xml:space="preserve"> can </w:t>
      </w:r>
      <w:r w:rsidR="7348B0EF" w:rsidRPr="791B8135">
        <w:rPr>
          <w:rFonts w:asciiTheme="majorHAnsi" w:hAnsiTheme="majorHAnsi" w:cstheme="majorBidi"/>
          <w:sz w:val="22"/>
          <w:szCs w:val="22"/>
          <w:lang w:val="en-GB"/>
        </w:rPr>
        <w:t>be used</w:t>
      </w:r>
      <w:r w:rsidR="6B7E2614" w:rsidRPr="791B8135">
        <w:rPr>
          <w:rFonts w:asciiTheme="majorHAnsi" w:hAnsiTheme="majorHAnsi" w:cstheme="majorBidi"/>
          <w:sz w:val="22"/>
          <w:szCs w:val="22"/>
          <w:lang w:val="en-GB"/>
        </w:rPr>
        <w:t xml:space="preserve"> </w:t>
      </w:r>
      <w:r w:rsidR="4AE5DCBC" w:rsidRPr="791B8135">
        <w:rPr>
          <w:rFonts w:asciiTheme="majorHAnsi" w:hAnsiTheme="majorHAnsi" w:cstheme="majorBidi"/>
          <w:sz w:val="22"/>
          <w:szCs w:val="22"/>
          <w:lang w:val="en-GB"/>
        </w:rPr>
        <w:t xml:space="preserve">namely </w:t>
      </w:r>
      <w:r w:rsidR="6B7E2614" w:rsidRPr="791B8135">
        <w:rPr>
          <w:rFonts w:asciiTheme="majorHAnsi" w:hAnsiTheme="majorHAnsi" w:cstheme="majorBidi"/>
          <w:sz w:val="22"/>
          <w:szCs w:val="22"/>
          <w:lang w:val="en-GB"/>
        </w:rPr>
        <w:t>lean-burn spark ignition, 2 and 4 st</w:t>
      </w:r>
      <w:r w:rsidR="50C15610" w:rsidRPr="791B8135">
        <w:rPr>
          <w:rFonts w:asciiTheme="majorHAnsi" w:hAnsiTheme="majorHAnsi" w:cstheme="majorBidi"/>
          <w:sz w:val="22"/>
          <w:szCs w:val="22"/>
          <w:lang w:val="en-GB"/>
        </w:rPr>
        <w:t>r</w:t>
      </w:r>
      <w:r w:rsidR="6B7E2614" w:rsidRPr="791B8135">
        <w:rPr>
          <w:rFonts w:asciiTheme="majorHAnsi" w:hAnsiTheme="majorHAnsi" w:cstheme="majorBidi"/>
          <w:sz w:val="22"/>
          <w:szCs w:val="22"/>
          <w:lang w:val="en-GB"/>
        </w:rPr>
        <w:t xml:space="preserve">okes low pressure dual-fuel, </w:t>
      </w:r>
      <w:r w:rsidR="4AE5DCBC" w:rsidRPr="791B8135">
        <w:rPr>
          <w:rFonts w:asciiTheme="majorHAnsi" w:hAnsiTheme="majorHAnsi" w:cstheme="majorBidi"/>
          <w:sz w:val="22"/>
          <w:szCs w:val="22"/>
          <w:lang w:val="en-GB"/>
        </w:rPr>
        <w:t xml:space="preserve">and </w:t>
      </w:r>
      <w:r w:rsidR="01C5D94B" w:rsidRPr="791B8135">
        <w:rPr>
          <w:rFonts w:asciiTheme="majorHAnsi" w:hAnsiTheme="majorHAnsi" w:cstheme="majorBidi"/>
          <w:sz w:val="22"/>
          <w:szCs w:val="22"/>
          <w:lang w:val="en-GB"/>
        </w:rPr>
        <w:t>high-pressure</w:t>
      </w:r>
      <w:r w:rsidR="6B7E2614" w:rsidRPr="791B8135">
        <w:rPr>
          <w:rFonts w:asciiTheme="majorHAnsi" w:hAnsiTheme="majorHAnsi" w:cstheme="majorBidi"/>
          <w:sz w:val="22"/>
          <w:szCs w:val="22"/>
          <w:lang w:val="en-GB"/>
        </w:rPr>
        <w:t xml:space="preserve"> dual-fuel and gas turbine</w:t>
      </w:r>
      <w:r w:rsidR="40CF2A36" w:rsidRPr="791B8135">
        <w:rPr>
          <w:rFonts w:asciiTheme="majorHAnsi" w:hAnsiTheme="majorHAnsi" w:cstheme="majorBidi"/>
          <w:sz w:val="22"/>
          <w:szCs w:val="22"/>
          <w:lang w:val="en-GB"/>
        </w:rPr>
        <w:t>.</w:t>
      </w:r>
      <w:r w:rsidR="04F018E5"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 xml:space="preserve">Dual-fuel engines have been used for the past 40 years by LNG </w:t>
      </w:r>
      <w:r w:rsidR="3E528D59" w:rsidRPr="791B8135">
        <w:rPr>
          <w:rFonts w:asciiTheme="majorHAnsi" w:hAnsiTheme="majorHAnsi" w:cstheme="majorBidi"/>
          <w:sz w:val="22"/>
          <w:szCs w:val="22"/>
          <w:lang w:val="en-GB"/>
        </w:rPr>
        <w:t>carriers</w:t>
      </w:r>
      <w:r w:rsidR="2F7258BB" w:rsidRPr="791B8135">
        <w:rPr>
          <w:rFonts w:asciiTheme="majorHAnsi" w:hAnsiTheme="majorHAnsi" w:cstheme="majorBidi"/>
          <w:sz w:val="22"/>
          <w:szCs w:val="22"/>
          <w:lang w:val="en-GB"/>
        </w:rPr>
        <w:t>. I was</w:t>
      </w:r>
      <w:r w:rsidR="40CF2A36" w:rsidRPr="791B8135">
        <w:rPr>
          <w:rFonts w:asciiTheme="majorHAnsi" w:hAnsiTheme="majorHAnsi" w:cstheme="majorBidi"/>
          <w:sz w:val="22"/>
          <w:szCs w:val="22"/>
          <w:lang w:val="en-GB"/>
        </w:rPr>
        <w:t xml:space="preserve"> the first dedicated engine being constructed in 2000</w:t>
      </w:r>
      <w:r w:rsidR="04F018E5" w:rsidRPr="791B8135">
        <w:rPr>
          <w:rFonts w:asciiTheme="majorHAnsi" w:hAnsiTheme="majorHAnsi" w:cstheme="majorBidi"/>
          <w:sz w:val="22"/>
          <w:szCs w:val="22"/>
          <w:lang w:val="en-GB"/>
        </w:rPr>
        <w:t>.</w:t>
      </w:r>
      <w:r w:rsidR="6B7E2614"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 xml:space="preserve">Although LNG </w:t>
      </w:r>
      <w:r w:rsidR="277E3315" w:rsidRPr="791B8135">
        <w:rPr>
          <w:rFonts w:asciiTheme="majorHAnsi" w:hAnsiTheme="majorHAnsi" w:cstheme="majorBidi"/>
          <w:sz w:val="22"/>
          <w:szCs w:val="22"/>
          <w:lang w:val="en-GB"/>
        </w:rPr>
        <w:t>technology benefit</w:t>
      </w:r>
      <w:r w:rsidR="135CCA84" w:rsidRPr="791B8135">
        <w:rPr>
          <w:rFonts w:asciiTheme="majorHAnsi" w:hAnsiTheme="majorHAnsi" w:cstheme="majorBidi"/>
          <w:sz w:val="22"/>
          <w:szCs w:val="22"/>
          <w:lang w:val="en-GB"/>
        </w:rPr>
        <w:t>s</w:t>
      </w:r>
      <w:r w:rsidR="277E3315" w:rsidRPr="791B8135">
        <w:rPr>
          <w:rFonts w:asciiTheme="majorHAnsi" w:hAnsiTheme="majorHAnsi" w:cstheme="majorBidi"/>
          <w:sz w:val="22"/>
          <w:szCs w:val="22"/>
          <w:lang w:val="en-GB"/>
        </w:rPr>
        <w:t xml:space="preserve"> by lower </w:t>
      </w:r>
      <w:r w:rsidR="2B43174F" w:rsidRPr="791B8135">
        <w:rPr>
          <w:rFonts w:asciiTheme="majorHAnsi" w:hAnsiTheme="majorHAnsi" w:cstheme="majorBidi"/>
          <w:sz w:val="22"/>
          <w:szCs w:val="22"/>
          <w:lang w:val="en-GB"/>
        </w:rPr>
        <w:t>tank to wake</w:t>
      </w:r>
      <w:r w:rsidR="40CF2A36" w:rsidRPr="791B8135">
        <w:rPr>
          <w:rFonts w:asciiTheme="majorHAnsi" w:hAnsiTheme="majorHAnsi" w:cstheme="majorBidi"/>
          <w:sz w:val="22"/>
          <w:szCs w:val="22"/>
          <w:lang w:val="en-GB"/>
        </w:rPr>
        <w:t xml:space="preserve"> emissions</w:t>
      </w:r>
      <w:r w:rsidR="277E3315"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20% - 30 %</w:t>
      </w:r>
      <w:r w:rsidR="277E3315" w:rsidRPr="791B8135">
        <w:rPr>
          <w:rFonts w:asciiTheme="majorHAnsi" w:hAnsiTheme="majorHAnsi" w:cstheme="majorBidi"/>
          <w:sz w:val="22"/>
          <w:szCs w:val="22"/>
          <w:lang w:val="en-GB"/>
        </w:rPr>
        <w:t xml:space="preserve"> reduction in comparison with liquid fossil fuels, the energy consumed during upstream </w:t>
      </w:r>
      <w:r w:rsidR="41B83420" w:rsidRPr="791B8135">
        <w:rPr>
          <w:rFonts w:asciiTheme="majorHAnsi" w:hAnsiTheme="majorHAnsi" w:cstheme="majorBidi"/>
          <w:sz w:val="22"/>
          <w:szCs w:val="22"/>
          <w:lang w:val="en-GB"/>
        </w:rPr>
        <w:t>has a negative impact on</w:t>
      </w:r>
      <w:r w:rsidR="277E3315" w:rsidRPr="791B8135">
        <w:rPr>
          <w:rFonts w:asciiTheme="majorHAnsi" w:hAnsiTheme="majorHAnsi" w:cstheme="majorBidi"/>
          <w:sz w:val="22"/>
          <w:szCs w:val="22"/>
          <w:lang w:val="en-GB"/>
        </w:rPr>
        <w:t xml:space="preserve"> the overall emissions</w:t>
      </w:r>
      <w:r w:rsidR="00882970">
        <w:rPr>
          <w:rFonts w:asciiTheme="majorHAnsi" w:hAnsiTheme="majorHAnsi" w:cstheme="majorBidi"/>
          <w:sz w:val="22"/>
          <w:szCs w:val="22"/>
          <w:lang w:val="en-GB"/>
        </w:rPr>
        <w:t xml:space="preserve"> </w:t>
      </w:r>
      <w:r w:rsidR="00882970" w:rsidRPr="791B8135">
        <w:rPr>
          <w:rFonts w:asciiTheme="majorHAnsi" w:hAnsiTheme="majorHAnsi" w:cstheme="majorBidi"/>
          <w:sz w:val="22"/>
          <w:szCs w:val="22"/>
          <w:lang w:val="en-GB"/>
        </w:rPr>
        <w:fldChar w:fldCharType="begin" w:fldLock="1"/>
      </w:r>
      <w:r w:rsidR="00882970" w:rsidRPr="791B8135">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882970" w:rsidRPr="791B8135">
        <w:rPr>
          <w:rFonts w:asciiTheme="majorHAnsi" w:hAnsiTheme="majorHAnsi" w:cstheme="majorBidi"/>
          <w:sz w:val="22"/>
          <w:szCs w:val="22"/>
          <w:lang w:val="en-GB"/>
        </w:rPr>
        <w:fldChar w:fldCharType="separate"/>
      </w:r>
      <w:r w:rsidR="00882970" w:rsidRPr="791B8135">
        <w:rPr>
          <w:rFonts w:asciiTheme="majorHAnsi" w:hAnsiTheme="majorHAnsi" w:cstheme="majorBidi"/>
          <w:noProof/>
          <w:sz w:val="22"/>
          <w:szCs w:val="22"/>
          <w:lang w:val="en-GB"/>
        </w:rPr>
        <w:t>(Balcombe et al., 2019)</w:t>
      </w:r>
      <w:r w:rsidR="00882970" w:rsidRPr="791B8135">
        <w:rPr>
          <w:rFonts w:asciiTheme="majorHAnsi" w:hAnsiTheme="majorHAnsi" w:cstheme="majorBidi"/>
          <w:sz w:val="22"/>
          <w:szCs w:val="22"/>
          <w:lang w:val="en-GB"/>
        </w:rPr>
        <w:fldChar w:fldCharType="end"/>
      </w:r>
      <w:r w:rsidR="00020333">
        <w:rPr>
          <w:rFonts w:asciiTheme="majorHAnsi" w:hAnsiTheme="majorHAnsi" w:cstheme="majorBidi"/>
          <w:sz w:val="22"/>
          <w:szCs w:val="22"/>
          <w:lang w:val="en-GB"/>
        </w:rPr>
        <w:t xml:space="preserve"> Moreover, there is the downside of upstream methane leakage and downstream methane slip from LNG</w:t>
      </w:r>
      <w:r w:rsidR="00020333" w:rsidRPr="791B8135">
        <w:rPr>
          <w:rFonts w:asciiTheme="majorHAnsi" w:hAnsiTheme="majorHAnsi" w:cstheme="majorBidi"/>
          <w:sz w:val="22"/>
          <w:szCs w:val="22"/>
          <w:lang w:val="en-GB"/>
        </w:rPr>
        <w:t xml:space="preserve">. </w:t>
      </w:r>
      <w:r w:rsidR="00020333">
        <w:rPr>
          <w:rFonts w:asciiTheme="majorHAnsi" w:hAnsiTheme="majorHAnsi" w:cstheme="majorBidi"/>
          <w:sz w:val="22"/>
          <w:szCs w:val="22"/>
          <w:lang w:val="en-GB"/>
        </w:rPr>
        <w:t>When this slip emission are accounted in the life cycle (</w:t>
      </w:r>
      <w:r w:rsidR="00020333" w:rsidRPr="791B8135">
        <w:rPr>
          <w:rFonts w:asciiTheme="majorHAnsi" w:hAnsiTheme="majorHAnsi" w:cstheme="majorBidi"/>
          <w:sz w:val="22"/>
          <w:szCs w:val="22"/>
          <w:lang w:val="en-GB"/>
        </w:rPr>
        <w:t>well-to-wake emissions</w:t>
      </w:r>
      <w:r w:rsidR="00020333">
        <w:rPr>
          <w:rFonts w:asciiTheme="majorHAnsi" w:hAnsiTheme="majorHAnsi" w:cstheme="majorBidi"/>
          <w:sz w:val="22"/>
          <w:szCs w:val="22"/>
          <w:lang w:val="en-GB"/>
        </w:rPr>
        <w:t xml:space="preserve">), the emissions result higher than when using MGO, depending on the engine the increment could range from 17 % to 62% </w:t>
      </w:r>
      <w:r w:rsidR="00020333">
        <w:rPr>
          <w:rFonts w:asciiTheme="majorHAnsi" w:hAnsiTheme="majorHAnsi" w:cstheme="majorBidi"/>
          <w:sz w:val="22"/>
          <w:szCs w:val="22"/>
          <w:lang w:val="en-GB"/>
        </w:rPr>
        <w:fldChar w:fldCharType="begin" w:fldLock="1"/>
      </w:r>
      <w:r w:rsidR="003500DA">
        <w:rPr>
          <w:rFonts w:asciiTheme="majorHAnsi" w:hAnsiTheme="majorHAnsi" w:cstheme="majorBidi"/>
          <w:sz w:val="22"/>
          <w:szCs w:val="22"/>
          <w:lang w:val="en-GB"/>
        </w:rPr>
        <w:instrText>ADDIN CSL_CITATION {"citationItems":[{"id":"ITEM-1","itemData":{"author":[{"dropping-particle":"","family":"Pavlenko","given":"Authors Nikita","non-dropping-particle":"","parse-names":false,"suffix":""},{"dropping-particle":"","family":"Comer","given":"Bryan","non-dropping-particle":"","parse-names":false,"suffix":""},{"dropping-particle":"","family":"Zhou","given":"Yuanrong","non-dropping-particle":"","parse-names":false,"suffix":""},{"dropping-particle":"","family":"Clark","given":"Nigel","non-dropping-particle":"","parse-names":false,"suffix":""},{"dropping-particle":"","family":"Rutherford","given":"Dan","non-dropping-particle":"","parse-names":false,"suffix":""}],"id":"ITEM-1","issue":"January","issued":{"date-parts":[["2020"]]},"title":"The climate implications of using LNG as a marine fuel","type":"article-journal"},"uris":["http://www.mendeley.com/documents/?uuid=4935b8aa-fbec-4a26-b961-f8001214862b"]}],"mendeley":{"formattedCitation":"(Pavlenko et al., 2020)","plainTextFormattedCitation":"(Pavlenko et al., 2020)","previouslyFormattedCitation":"(Pavlenko et al., 2020)"},"properties":{"noteIndex":0},"schema":"https://github.com/citation-style-language/schema/raw/master/csl-citation.json"}</w:instrText>
      </w:r>
      <w:r w:rsidR="00020333">
        <w:rPr>
          <w:rFonts w:asciiTheme="majorHAnsi" w:hAnsiTheme="majorHAnsi" w:cstheme="majorBidi"/>
          <w:sz w:val="22"/>
          <w:szCs w:val="22"/>
          <w:lang w:val="en-GB"/>
        </w:rPr>
        <w:fldChar w:fldCharType="separate"/>
      </w:r>
      <w:r w:rsidR="00020333" w:rsidRPr="00882970">
        <w:rPr>
          <w:rFonts w:asciiTheme="majorHAnsi" w:hAnsiTheme="majorHAnsi" w:cstheme="majorBidi"/>
          <w:noProof/>
          <w:sz w:val="22"/>
          <w:szCs w:val="22"/>
          <w:lang w:val="en-GB"/>
        </w:rPr>
        <w:t>(Pavlenko et al., 2020)</w:t>
      </w:r>
      <w:r w:rsidR="00020333">
        <w:rPr>
          <w:rFonts w:asciiTheme="majorHAnsi" w:hAnsiTheme="majorHAnsi" w:cstheme="majorBidi"/>
          <w:sz w:val="22"/>
          <w:szCs w:val="22"/>
          <w:lang w:val="en-GB"/>
        </w:rPr>
        <w:fldChar w:fldCharType="end"/>
      </w:r>
      <w:r w:rsidR="00020333">
        <w:rPr>
          <w:rFonts w:asciiTheme="majorHAnsi" w:hAnsiTheme="majorHAnsi" w:cstheme="majorBidi"/>
          <w:sz w:val="22"/>
          <w:szCs w:val="22"/>
          <w:lang w:val="en-GB"/>
        </w:rPr>
        <w:t xml:space="preserve"> </w:t>
      </w:r>
    </w:p>
    <w:p w14:paraId="2121A01E" w14:textId="67CA96C7" w:rsidR="00D377B1" w:rsidRPr="000D7D19" w:rsidRDefault="277E3315" w:rsidP="00E37C84">
      <w:pPr>
        <w:spacing w:after="120" w:line="360" w:lineRule="auto"/>
        <w:ind w:firstLine="720"/>
        <w:rPr>
          <w:szCs w:val="21"/>
          <w:lang w:val="en-GB"/>
        </w:rPr>
      </w:pPr>
      <w:r w:rsidRPr="791B8135">
        <w:rPr>
          <w:rFonts w:asciiTheme="majorHAnsi" w:hAnsiTheme="majorHAnsi" w:cstheme="majorBidi"/>
          <w:sz w:val="22"/>
          <w:szCs w:val="22"/>
          <w:lang w:val="en-GB"/>
        </w:rPr>
        <w:t xml:space="preserve"> </w:t>
      </w:r>
      <w:r w:rsidRPr="59587566">
        <w:rPr>
          <w:rFonts w:asciiTheme="majorHAnsi" w:hAnsiTheme="majorHAnsi" w:cstheme="majorBidi"/>
          <w:b/>
          <w:bCs/>
          <w:sz w:val="22"/>
          <w:szCs w:val="22"/>
          <w:lang w:val="en-GB"/>
        </w:rPr>
        <w:t>Bio-LNG</w:t>
      </w:r>
      <w:r w:rsidRPr="59587566">
        <w:rPr>
          <w:rFonts w:asciiTheme="majorHAnsi" w:hAnsiTheme="majorHAnsi" w:cstheme="majorBidi"/>
          <w:sz w:val="22"/>
          <w:szCs w:val="22"/>
          <w:lang w:val="en-GB"/>
        </w:rPr>
        <w:t xml:space="preserve"> could be an alternative to fossil LNG</w:t>
      </w:r>
      <w:r w:rsidR="4D6FA5B0" w:rsidRPr="59587566">
        <w:rPr>
          <w:rFonts w:asciiTheme="majorHAnsi" w:hAnsiTheme="majorHAnsi" w:cstheme="majorBidi"/>
          <w:sz w:val="22"/>
          <w:szCs w:val="22"/>
          <w:lang w:val="en-GB"/>
        </w:rPr>
        <w:t xml:space="preserve">, reducing overall emission to less than half </w:t>
      </w:r>
      <w:r w:rsidR="5B0A515A" w:rsidRPr="59587566">
        <w:rPr>
          <w:rFonts w:asciiTheme="majorHAnsi" w:hAnsiTheme="majorHAnsi" w:cstheme="majorBidi"/>
          <w:sz w:val="22"/>
          <w:szCs w:val="22"/>
          <w:lang w:val="en-GB"/>
        </w:rPr>
        <w:t>compare with its</w:t>
      </w:r>
      <w:r w:rsidR="4D6FA5B0" w:rsidRPr="59587566">
        <w:rPr>
          <w:rFonts w:asciiTheme="majorHAnsi" w:hAnsiTheme="majorHAnsi" w:cstheme="majorBidi"/>
          <w:sz w:val="22"/>
          <w:szCs w:val="22"/>
          <w:lang w:val="en-GB"/>
        </w:rPr>
        <w:t xml:space="preserve"> fossil </w:t>
      </w:r>
      <w:r w:rsidR="5B0A515A" w:rsidRPr="59587566">
        <w:rPr>
          <w:rFonts w:asciiTheme="majorHAnsi" w:hAnsiTheme="majorHAnsi" w:cstheme="majorBidi"/>
          <w:sz w:val="22"/>
          <w:szCs w:val="22"/>
          <w:lang w:val="en-GB"/>
        </w:rPr>
        <w:t xml:space="preserve">equivalent </w:t>
      </w:r>
      <w:r w:rsidR="005260B5" w:rsidRPr="59587566">
        <w:rPr>
          <w:rFonts w:asciiTheme="majorHAnsi" w:hAnsiTheme="majorHAnsi" w:cstheme="majorBidi"/>
          <w:sz w:val="22"/>
          <w:szCs w:val="22"/>
          <w:lang w:val="en-GB"/>
        </w:rPr>
        <w:fldChar w:fldCharType="begin" w:fldLock="1"/>
      </w:r>
      <w:r w:rsidR="005260B5" w:rsidRPr="59587566">
        <w:rPr>
          <w:rFonts w:asciiTheme="majorHAnsi" w:hAnsiTheme="majorHAnsi" w:cstheme="majorBidi"/>
          <w:sz w:val="22"/>
          <w:szCs w:val="22"/>
          <w:lang w:val="en-GB"/>
        </w:rPr>
        <w:instrText>ADDIN CSL_CITATION {"citationItems":[{"id":"ITEM-1","itemData":{"DOI":"10.1016/j.jclepro.2014.03.052","ISSN":"09596526","abstract":"The combined effort of reducing the emissions of sulphur dioxide, nitrogen oxides and greenhouse gases to comply with future regulations and reduce impact on climate change will require a significant change in ship propulsion. One alternative is to change fuels. In this study we compare the life cycle environmental performance of liquefied natural gas (LNG), liquefied biogas (LBG), methanol and bio-methanol. We also highlight a number of important aspects to consider when selecting marine fuels. A transition to use of LNG or methanol produced from natural gas would significantly improve the overall environmental performance. However, the impact on climate change is of the same order of magnitude as with use of heavy fuel oil. It is only the use of LBG and bio-methanol that has the potential to reduce the climate impact. The analysis did not show any significant differences in environmental performance between methane and methanol when produced from the same raw materials, but the performance of the methanol engines are yet to be validated. © 2014 Elsevier Ltd. All rights reserved.","author":[{"dropping-particle":"","family":"Brynolf","given":"Selma","non-dropping-particle":"","parse-names":false,"suffix":""},{"dropping-particle":"","family":"Fridell","given":"Erik","non-dropping-particle":"","parse-names":false,"suffix":""},{"dropping-particle":"","family":"Andersson","given":"Karin","non-dropping-particle":"","parse-names":false,"suffix":""}],"container-title":"Journal of Cleaner Production","id":"ITEM-1","issue":"X","issued":{"date-parts":[["2014"]]},"page":"86-95","title":"Environmental assessment of marine fuels: Liquefied natural gas, liquefied biogas, methanol and bio-methanol","type":"article-journal","volume":"74"},"uris":["http://www.mendeley.com/documents/?uuid=4b4b5665-fff8-4dd6-a44a-12c90be3c561"]}],"mendeley":{"formattedCitation":"(Brynolf et al., 2014)","plainTextFormattedCitation":"(Brynolf et al., 2014)","previouslyFormattedCitation":"(Brynolf et al., 2014)"},"properties":{"noteIndex":0},"schema":"https://github.com/citation-style-language/schema/raw/master/csl-citation.json"}</w:instrText>
      </w:r>
      <w:r w:rsidR="005260B5" w:rsidRPr="59587566">
        <w:rPr>
          <w:rFonts w:asciiTheme="majorHAnsi" w:hAnsiTheme="majorHAnsi" w:cstheme="majorBidi"/>
          <w:sz w:val="22"/>
          <w:szCs w:val="22"/>
          <w:lang w:val="en-GB"/>
        </w:rPr>
        <w:fldChar w:fldCharType="separate"/>
      </w:r>
      <w:r w:rsidR="6E8C627C" w:rsidRPr="59587566">
        <w:rPr>
          <w:rFonts w:asciiTheme="majorHAnsi" w:hAnsiTheme="majorHAnsi" w:cstheme="majorBidi"/>
          <w:noProof/>
          <w:sz w:val="22"/>
          <w:szCs w:val="22"/>
          <w:lang w:val="en-GB"/>
        </w:rPr>
        <w:t>(Brynolf et al., 2014)</w:t>
      </w:r>
      <w:r w:rsidR="005260B5" w:rsidRPr="59587566">
        <w:rPr>
          <w:rFonts w:asciiTheme="majorHAnsi" w:hAnsiTheme="majorHAnsi" w:cstheme="majorBidi"/>
          <w:sz w:val="22"/>
          <w:szCs w:val="22"/>
          <w:lang w:val="en-GB"/>
        </w:rPr>
        <w:fldChar w:fldCharType="end"/>
      </w:r>
      <w:r w:rsidRPr="59587566">
        <w:rPr>
          <w:rFonts w:asciiTheme="majorHAnsi" w:hAnsiTheme="majorHAnsi" w:cstheme="majorBidi"/>
          <w:sz w:val="22"/>
          <w:szCs w:val="22"/>
          <w:lang w:val="en-GB"/>
        </w:rPr>
        <w:t>. Bio-LNG is mostly produced from methanogenesis of organic material, from which a methane rich stream (</w:t>
      </w:r>
      <w:r w:rsidR="4D6FA5B0" w:rsidRPr="59587566">
        <w:rPr>
          <w:rFonts w:asciiTheme="majorHAnsi" w:hAnsiTheme="majorHAnsi" w:cstheme="majorBidi"/>
          <w:sz w:val="22"/>
          <w:szCs w:val="22"/>
          <w:lang w:val="en-GB"/>
        </w:rPr>
        <w:t>up to 50 %) can be obtained. After upgrade, Bio-LGN can be used as a drop-in for fossil-based LNG.</w:t>
      </w:r>
      <w:r w:rsidRPr="59587566">
        <w:rPr>
          <w:rFonts w:asciiTheme="majorHAnsi" w:hAnsiTheme="majorHAnsi" w:cstheme="majorBidi"/>
          <w:sz w:val="22"/>
          <w:szCs w:val="22"/>
          <w:lang w:val="en-GB"/>
        </w:rPr>
        <w:t xml:space="preserve"> </w:t>
      </w:r>
      <w:r w:rsidR="40368B8D" w:rsidRPr="59587566">
        <w:rPr>
          <w:rFonts w:asciiTheme="majorHAnsi" w:hAnsiTheme="majorHAnsi" w:cstheme="majorBidi"/>
          <w:sz w:val="22"/>
          <w:szCs w:val="22"/>
          <w:lang w:val="en-GB"/>
        </w:rPr>
        <w:t xml:space="preserve"> Nevertheless, </w:t>
      </w:r>
      <w:r w:rsidR="06173069" w:rsidRPr="59587566">
        <w:rPr>
          <w:rFonts w:asciiTheme="majorHAnsi" w:hAnsiTheme="majorHAnsi" w:cstheme="majorBidi"/>
          <w:sz w:val="22"/>
          <w:szCs w:val="22"/>
          <w:lang w:val="en-GB"/>
        </w:rPr>
        <w:t>for both</w:t>
      </w:r>
      <w:r w:rsidR="62233090" w:rsidRPr="59587566">
        <w:rPr>
          <w:rFonts w:asciiTheme="majorHAnsi" w:hAnsiTheme="majorHAnsi" w:cstheme="majorBidi"/>
          <w:sz w:val="22"/>
          <w:szCs w:val="22"/>
          <w:lang w:val="en-GB"/>
        </w:rPr>
        <w:t>,</w:t>
      </w:r>
      <w:r w:rsidR="06173069" w:rsidRPr="59587566">
        <w:rPr>
          <w:rFonts w:asciiTheme="majorHAnsi" w:hAnsiTheme="majorHAnsi" w:cstheme="majorBidi"/>
          <w:sz w:val="22"/>
          <w:szCs w:val="22"/>
          <w:lang w:val="en-GB"/>
        </w:rPr>
        <w:t xml:space="preserve"> Bio and fossil LNG</w:t>
      </w:r>
      <w:r w:rsidR="051CE30A" w:rsidRPr="59587566">
        <w:rPr>
          <w:rFonts w:asciiTheme="majorHAnsi" w:hAnsiTheme="majorHAnsi" w:cstheme="majorBidi"/>
          <w:sz w:val="22"/>
          <w:szCs w:val="22"/>
          <w:lang w:val="en-GB"/>
        </w:rPr>
        <w:t>,</w:t>
      </w:r>
      <w:r w:rsidR="06173069" w:rsidRPr="59587566">
        <w:rPr>
          <w:rFonts w:asciiTheme="majorHAnsi" w:hAnsiTheme="majorHAnsi" w:cstheme="majorBidi"/>
          <w:sz w:val="22"/>
          <w:szCs w:val="22"/>
          <w:lang w:val="en-GB"/>
        </w:rPr>
        <w:t xml:space="preserve"> methane slips during upstream and combustion might represent a threat to </w:t>
      </w:r>
      <w:r w:rsidR="014D1895" w:rsidRPr="59587566">
        <w:rPr>
          <w:rFonts w:asciiTheme="majorHAnsi" w:hAnsiTheme="majorHAnsi" w:cstheme="majorBidi"/>
          <w:sz w:val="22"/>
          <w:szCs w:val="22"/>
          <w:lang w:val="en-GB"/>
        </w:rPr>
        <w:t>the environment and market use</w:t>
      </w:r>
      <w:r w:rsidR="06173069" w:rsidRPr="59587566">
        <w:rPr>
          <w:rFonts w:asciiTheme="majorHAnsi" w:hAnsiTheme="majorHAnsi" w:cstheme="majorBidi"/>
          <w:sz w:val="22"/>
          <w:szCs w:val="22"/>
          <w:lang w:val="en-GB"/>
        </w:rPr>
        <w:t>. Methane is</w:t>
      </w:r>
      <w:r w:rsidR="2D606006" w:rsidRPr="59587566">
        <w:rPr>
          <w:rFonts w:asciiTheme="majorHAnsi" w:hAnsiTheme="majorHAnsi" w:cstheme="majorBidi"/>
          <w:sz w:val="22"/>
          <w:szCs w:val="22"/>
          <w:lang w:val="en-GB"/>
        </w:rPr>
        <w:t>,</w:t>
      </w:r>
      <w:r w:rsidR="06173069" w:rsidRPr="59587566">
        <w:rPr>
          <w:rFonts w:asciiTheme="majorHAnsi" w:hAnsiTheme="majorHAnsi" w:cstheme="majorBidi"/>
          <w:sz w:val="22"/>
          <w:szCs w:val="22"/>
          <w:lang w:val="en-GB"/>
        </w:rPr>
        <w:t xml:space="preserve"> </w:t>
      </w:r>
      <w:r w:rsidR="48EDFFA4" w:rsidRPr="59587566">
        <w:rPr>
          <w:rFonts w:asciiTheme="majorHAnsi" w:hAnsiTheme="majorHAnsi" w:cstheme="majorBidi"/>
          <w:sz w:val="22"/>
          <w:szCs w:val="22"/>
          <w:lang w:val="en-GB"/>
        </w:rPr>
        <w:t>approximately</w:t>
      </w:r>
      <w:r w:rsidR="3911AF53" w:rsidRPr="59587566">
        <w:rPr>
          <w:rFonts w:asciiTheme="majorHAnsi" w:hAnsiTheme="majorHAnsi" w:cstheme="majorBidi"/>
          <w:sz w:val="22"/>
          <w:szCs w:val="22"/>
          <w:lang w:val="en-GB"/>
        </w:rPr>
        <w:t>,</w:t>
      </w:r>
      <w:r w:rsidR="48EDFFA4" w:rsidRPr="59587566">
        <w:rPr>
          <w:rFonts w:asciiTheme="majorHAnsi" w:hAnsiTheme="majorHAnsi" w:cstheme="majorBidi"/>
          <w:sz w:val="22"/>
          <w:szCs w:val="22"/>
          <w:lang w:val="en-GB"/>
        </w:rPr>
        <w:t xml:space="preserve"> 30</w:t>
      </w:r>
      <w:r w:rsidR="06173069" w:rsidRPr="59587566">
        <w:rPr>
          <w:rFonts w:asciiTheme="majorHAnsi" w:hAnsiTheme="majorHAnsi" w:cstheme="majorBidi"/>
          <w:sz w:val="22"/>
          <w:szCs w:val="22"/>
          <w:lang w:val="en-GB"/>
        </w:rPr>
        <w:t xml:space="preserve"> times more impacting greenhouse</w:t>
      </w:r>
      <w:r w:rsidR="0208BC7E" w:rsidRPr="59587566">
        <w:rPr>
          <w:rFonts w:asciiTheme="majorHAnsi" w:hAnsiTheme="majorHAnsi" w:cstheme="majorBidi"/>
          <w:sz w:val="22"/>
          <w:szCs w:val="22"/>
          <w:lang w:val="en-GB"/>
        </w:rPr>
        <w:t xml:space="preserve"> gas</w:t>
      </w:r>
      <w:r w:rsidR="06173069" w:rsidRPr="59587566">
        <w:rPr>
          <w:rFonts w:asciiTheme="majorHAnsi" w:hAnsiTheme="majorHAnsi" w:cstheme="majorBidi"/>
          <w:sz w:val="22"/>
          <w:szCs w:val="22"/>
          <w:lang w:val="en-GB"/>
        </w:rPr>
        <w:t xml:space="preserve"> than CO</w:t>
      </w:r>
      <w:r w:rsidR="06173069" w:rsidRPr="59587566">
        <w:rPr>
          <w:rFonts w:asciiTheme="majorHAnsi" w:hAnsiTheme="majorHAnsi" w:cstheme="majorBidi"/>
          <w:sz w:val="22"/>
          <w:szCs w:val="22"/>
          <w:vertAlign w:val="subscript"/>
          <w:lang w:val="en-GB"/>
        </w:rPr>
        <w:t>2</w:t>
      </w:r>
      <w:r w:rsidR="0058663D">
        <w:rPr>
          <w:rFonts w:asciiTheme="majorHAnsi" w:hAnsiTheme="majorHAnsi" w:cstheme="majorBidi"/>
          <w:sz w:val="22"/>
          <w:szCs w:val="22"/>
          <w:vertAlign w:val="subscript"/>
          <w:lang w:val="en-GB"/>
        </w:rPr>
        <w:t xml:space="preserve"> </w:t>
      </w:r>
      <w:r w:rsidR="0058663D">
        <w:rPr>
          <w:rFonts w:asciiTheme="majorHAnsi" w:hAnsiTheme="majorHAnsi" w:cstheme="majorBidi"/>
          <w:sz w:val="22"/>
          <w:szCs w:val="22"/>
          <w:vertAlign w:val="subscript"/>
          <w:lang w:val="en-GB"/>
        </w:rPr>
        <w:fldChar w:fldCharType="begin" w:fldLock="1"/>
      </w:r>
      <w:r w:rsidR="005A6766">
        <w:rPr>
          <w:rFonts w:asciiTheme="majorHAnsi" w:hAnsiTheme="majorHAnsi" w:cstheme="majorBidi"/>
          <w:sz w:val="22"/>
          <w:szCs w:val="22"/>
          <w:vertAlign w:val="subscript"/>
          <w:lang w:val="en-GB"/>
        </w:rPr>
        <w:instrText>ADDIN CSL_CITATION {"citationItems":[{"id":"ITEM-1","itemData":{"abstract":"Contribution of Working Group I to the Fifth Assessment Report of the Intergovernmental","author":[{"dropping-particle":"","family":"Myhre, G.","given":"D.","non-dropping-particle":"","parse-names":false,"suffix":""},{"dropping-particle":"","family":"Shindell","given":"F.‐M.","non-dropping-particle":"","parse-names":false,"suffix":""},{"dropping-particle":"","family":"Bréon","given":"W.","non-dropping-particle":"","parse-names":false,"suffix":""},{"dropping-particle":"","family":"Collins","given":"J.","non-dropping-particle":"","parse-names":false,"suffix":""},{"dropping-particle":"","family":"Fuglestvedt","given":"J.","non-dropping-particle":"","parse-names":false,"suffix":""},{"dropping-particle":"","family":"Huang","given":"D.","non-dropping-particle":"","parse-names":false,"suffix":""},{"dropping-particle":"","family":"Koch","given":"J.‐F.","non-dropping-particle":"","parse-names":false,"suffix":""},{"dropping-particle":"","family":"Lamarque","given":"D.","non-dropping-particle":"","parse-names":false,"suffix":""},{"dropping-particle":"","family":"Lee","given":"B.","non-dropping-particle":"","parse-names":false,"suffix":""},{"dropping-particle":"","family":"Mendoza","given":"T.","non-dropping-particle":"","parse-names":false,"suffix":""},{"dropping-particle":"","family":"Nakajima","given":"A.","non-dropping-particle":"","parse-names":false,"suffix":""},{"dropping-particle":"","family":"Robock","given":"G.","non-dropping-particle":"","parse-names":false,"suffix":""},{"dropping-particle":"","family":"Stephens","given":"T.","non-dropping-particle":"","parse-names":false,"suffix":""},{"dropping-particle":"","family":"Takemura","given":"","non-dropping-particle":"","parse-names":false,"suffix":""},{"dropping-particle":"","family":"Zhang","given":"H.","non-dropping-particle":"","parse-names":false,"suffix":""}],"container-title":"Greenhouse Gas Protocol","id":"ITEM-1","issue":"1995","issued":{"date-parts":[["2015"]]},"page":"2-5","title":"Global Warming Potential Values","type":"article-journal","volume":"2014"},"uris":["http://www.mendeley.com/documents/?uuid=7aee5742-ab6d-4f1b-94ba-1fcbc5cd8013"]}],"mendeley":{"formattedCitation":"(Myhre, G. et al., 2015)","plainTextFormattedCitation":"(Myhre, G. et al., 2015)","previouslyFormattedCitation":"(Myhre, G. et al., 2015)"},"properties":{"noteIndex":0},"schema":"https://github.com/citation-style-language/schema/raw/master/csl-citation.json"}</w:instrText>
      </w:r>
      <w:r w:rsidR="0058663D">
        <w:rPr>
          <w:rFonts w:asciiTheme="majorHAnsi" w:hAnsiTheme="majorHAnsi" w:cstheme="majorBidi"/>
          <w:sz w:val="22"/>
          <w:szCs w:val="22"/>
          <w:vertAlign w:val="subscript"/>
          <w:lang w:val="en-GB"/>
        </w:rPr>
        <w:fldChar w:fldCharType="separate"/>
      </w:r>
      <w:r w:rsidR="0058663D" w:rsidRPr="0058663D">
        <w:rPr>
          <w:rFonts w:asciiTheme="majorHAnsi" w:hAnsiTheme="majorHAnsi" w:cstheme="majorBidi"/>
          <w:noProof/>
          <w:sz w:val="22"/>
          <w:szCs w:val="22"/>
          <w:lang w:val="en-GB"/>
        </w:rPr>
        <w:t>(Myhre, G. et al., 2015)</w:t>
      </w:r>
      <w:r w:rsidR="0058663D">
        <w:rPr>
          <w:rFonts w:asciiTheme="majorHAnsi" w:hAnsiTheme="majorHAnsi" w:cstheme="majorBidi"/>
          <w:sz w:val="22"/>
          <w:szCs w:val="22"/>
          <w:vertAlign w:val="subscript"/>
          <w:lang w:val="en-GB"/>
        </w:rPr>
        <w:fldChar w:fldCharType="end"/>
      </w:r>
      <w:r w:rsidR="06173069" w:rsidRPr="59587566">
        <w:rPr>
          <w:rFonts w:asciiTheme="majorHAnsi" w:hAnsiTheme="majorHAnsi" w:cstheme="majorBidi"/>
          <w:sz w:val="22"/>
          <w:szCs w:val="22"/>
          <w:lang w:val="en-GB"/>
        </w:rPr>
        <w:t>.</w:t>
      </w:r>
    </w:p>
    <w:p w14:paraId="63681F20" w14:textId="0E3DB3D6" w:rsidR="007659BF" w:rsidRPr="000D7D19" w:rsidRDefault="4BEFFF09"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b/>
          <w:bCs/>
          <w:sz w:val="22"/>
          <w:szCs w:val="22"/>
          <w:lang w:val="en-GB"/>
        </w:rPr>
        <w:t xml:space="preserve">LPG </w:t>
      </w:r>
      <w:r w:rsidRPr="5937A937">
        <w:rPr>
          <w:rFonts w:asciiTheme="majorHAnsi" w:hAnsiTheme="majorHAnsi" w:cstheme="majorBidi"/>
          <w:sz w:val="22"/>
          <w:szCs w:val="22"/>
          <w:lang w:val="en-GB"/>
        </w:rPr>
        <w:t>is a mixture of propane</w:t>
      </w:r>
      <w:r w:rsidRPr="5937A937">
        <w:rPr>
          <w:rFonts w:asciiTheme="majorHAnsi" w:hAnsiTheme="majorHAnsi" w:cstheme="majorBidi"/>
          <w:b/>
          <w:bCs/>
          <w:sz w:val="22"/>
          <w:szCs w:val="22"/>
          <w:lang w:val="en-GB"/>
        </w:rPr>
        <w:t xml:space="preserve"> </w:t>
      </w:r>
      <w:r w:rsidRPr="5937A937">
        <w:rPr>
          <w:rFonts w:asciiTheme="majorHAnsi" w:hAnsiTheme="majorHAnsi" w:cstheme="majorBidi"/>
          <w:sz w:val="22"/>
          <w:szCs w:val="22"/>
          <w:lang w:val="en-GB"/>
        </w:rPr>
        <w:t>and butane in liquid form, which proportion</w:t>
      </w:r>
      <w:r w:rsidR="00F1369C">
        <w:rPr>
          <w:rFonts w:asciiTheme="majorHAnsi" w:hAnsiTheme="majorHAnsi" w:cstheme="majorBidi"/>
          <w:sz w:val="22"/>
          <w:szCs w:val="22"/>
          <w:lang w:val="en-GB"/>
        </w:rPr>
        <w:t xml:space="preserve"> is</w:t>
      </w:r>
      <w:r w:rsidRPr="5937A937">
        <w:rPr>
          <w:rFonts w:asciiTheme="majorHAnsi" w:hAnsiTheme="majorHAnsi" w:cstheme="majorBidi"/>
          <w:sz w:val="22"/>
          <w:szCs w:val="22"/>
          <w:lang w:val="en-GB"/>
        </w:rPr>
        <w:t xml:space="preserve"> </w:t>
      </w:r>
      <w:r w:rsidR="23ADAEB0" w:rsidRPr="5937A937">
        <w:rPr>
          <w:rFonts w:asciiTheme="majorHAnsi" w:hAnsiTheme="majorHAnsi" w:cstheme="majorBidi"/>
          <w:sz w:val="22"/>
          <w:szCs w:val="22"/>
          <w:lang w:val="en-GB"/>
        </w:rPr>
        <w:t xml:space="preserve">adapted according to the </w:t>
      </w:r>
      <w:r w:rsidRPr="5937A937">
        <w:rPr>
          <w:rFonts w:asciiTheme="majorHAnsi" w:hAnsiTheme="majorHAnsi" w:cstheme="majorBidi"/>
          <w:sz w:val="22"/>
          <w:szCs w:val="22"/>
          <w:lang w:val="en-GB"/>
        </w:rPr>
        <w:t xml:space="preserve">specifications. It is </w:t>
      </w:r>
      <w:r w:rsidR="23ADAEB0" w:rsidRPr="5937A937">
        <w:rPr>
          <w:rFonts w:asciiTheme="majorHAnsi" w:hAnsiTheme="majorHAnsi" w:cstheme="majorBidi"/>
          <w:sz w:val="22"/>
          <w:szCs w:val="22"/>
          <w:lang w:val="en-GB"/>
        </w:rPr>
        <w:t>obtained</w:t>
      </w:r>
      <w:r w:rsidRPr="5937A937">
        <w:rPr>
          <w:rFonts w:asciiTheme="majorHAnsi" w:hAnsiTheme="majorHAnsi" w:cstheme="majorBidi"/>
          <w:sz w:val="22"/>
          <w:szCs w:val="22"/>
          <w:lang w:val="en-GB"/>
        </w:rPr>
        <w:t xml:space="preserve"> as by-product of oil and gas extraction or during refining. </w:t>
      </w:r>
      <w:r w:rsidR="7CA23B9A" w:rsidRPr="5937A937">
        <w:rPr>
          <w:rFonts w:asciiTheme="majorHAnsi" w:hAnsiTheme="majorHAnsi" w:cstheme="majorBidi"/>
          <w:sz w:val="22"/>
          <w:szCs w:val="22"/>
          <w:lang w:val="en-GB"/>
        </w:rPr>
        <w:t>It requ</w:t>
      </w:r>
      <w:r w:rsidR="00F1369C">
        <w:rPr>
          <w:rFonts w:asciiTheme="majorHAnsi" w:hAnsiTheme="majorHAnsi" w:cstheme="majorBidi"/>
          <w:sz w:val="22"/>
          <w:szCs w:val="22"/>
          <w:lang w:val="en-GB"/>
        </w:rPr>
        <w:t>ires</w:t>
      </w:r>
      <w:r w:rsidR="7CA23B9A" w:rsidRPr="5937A937">
        <w:rPr>
          <w:rFonts w:asciiTheme="majorHAnsi" w:hAnsiTheme="majorHAnsi" w:cstheme="majorBidi"/>
          <w:sz w:val="22"/>
          <w:szCs w:val="22"/>
          <w:lang w:val="en-GB"/>
        </w:rPr>
        <w:t xml:space="preserve"> lower pressures </w:t>
      </w:r>
      <w:r w:rsidR="190B92B6" w:rsidRPr="5937A937">
        <w:rPr>
          <w:rFonts w:asciiTheme="majorHAnsi" w:hAnsiTheme="majorHAnsi" w:cstheme="majorBidi"/>
          <w:sz w:val="22"/>
          <w:szCs w:val="22"/>
          <w:lang w:val="en-GB"/>
        </w:rPr>
        <w:t>for</w:t>
      </w:r>
      <w:r w:rsidR="7CA23B9A" w:rsidRPr="5937A937">
        <w:rPr>
          <w:rFonts w:asciiTheme="majorHAnsi" w:hAnsiTheme="majorHAnsi" w:cstheme="majorBidi"/>
          <w:sz w:val="22"/>
          <w:szCs w:val="22"/>
          <w:lang w:val="en-GB"/>
        </w:rPr>
        <w:t xml:space="preserve"> liquefaction</w:t>
      </w:r>
      <w:r w:rsidR="248E16A7" w:rsidRPr="5937A937">
        <w:rPr>
          <w:rFonts w:asciiTheme="majorHAnsi" w:hAnsiTheme="majorHAnsi" w:cstheme="majorBidi"/>
          <w:sz w:val="22"/>
          <w:szCs w:val="22"/>
          <w:lang w:val="en-GB"/>
        </w:rPr>
        <w:t xml:space="preserve"> </w:t>
      </w:r>
      <w:r w:rsidR="55F15B94" w:rsidRPr="5937A937">
        <w:rPr>
          <w:rFonts w:asciiTheme="majorHAnsi" w:hAnsiTheme="majorHAnsi" w:cstheme="majorBidi"/>
          <w:sz w:val="22"/>
          <w:szCs w:val="22"/>
          <w:lang w:val="en-GB"/>
        </w:rPr>
        <w:t>t</w:t>
      </w:r>
      <w:r w:rsidR="248E16A7" w:rsidRPr="5937A937">
        <w:rPr>
          <w:rFonts w:asciiTheme="majorHAnsi" w:hAnsiTheme="majorHAnsi" w:cstheme="majorBidi"/>
          <w:sz w:val="22"/>
          <w:szCs w:val="22"/>
          <w:lang w:val="en-GB"/>
        </w:rPr>
        <w:t>han LNG</w:t>
      </w:r>
      <w:r w:rsidR="7CA23B9A" w:rsidRPr="5937A937">
        <w:rPr>
          <w:rFonts w:asciiTheme="majorHAnsi" w:hAnsiTheme="majorHAnsi" w:cstheme="majorBidi"/>
          <w:sz w:val="22"/>
          <w:szCs w:val="22"/>
          <w:lang w:val="en-GB"/>
        </w:rPr>
        <w:t xml:space="preserve">, 8.4 bar and 1.2 bar </w:t>
      </w:r>
      <w:r w:rsidR="248E16A7" w:rsidRPr="5937A937">
        <w:rPr>
          <w:rFonts w:asciiTheme="majorHAnsi" w:hAnsiTheme="majorHAnsi" w:cstheme="majorBidi"/>
          <w:sz w:val="22"/>
          <w:szCs w:val="22"/>
          <w:lang w:val="en-GB"/>
        </w:rPr>
        <w:t>f</w:t>
      </w:r>
      <w:r w:rsidR="7CA23B9A" w:rsidRPr="5937A937">
        <w:rPr>
          <w:rFonts w:asciiTheme="majorHAnsi" w:hAnsiTheme="majorHAnsi" w:cstheme="majorBidi"/>
          <w:sz w:val="22"/>
          <w:szCs w:val="22"/>
          <w:lang w:val="en-GB"/>
        </w:rPr>
        <w:t xml:space="preserve">or </w:t>
      </w:r>
      <w:r w:rsidR="248E16A7" w:rsidRPr="5937A937">
        <w:rPr>
          <w:rFonts w:asciiTheme="majorHAnsi" w:hAnsiTheme="majorHAnsi" w:cstheme="majorBidi"/>
          <w:sz w:val="22"/>
          <w:szCs w:val="22"/>
          <w:lang w:val="en-GB"/>
        </w:rPr>
        <w:t>propane and butene, respectively</w:t>
      </w:r>
      <w:r w:rsidR="190B92B6" w:rsidRPr="5937A937">
        <w:rPr>
          <w:rFonts w:asciiTheme="majorHAnsi" w:hAnsiTheme="majorHAnsi" w:cstheme="majorBidi"/>
          <w:sz w:val="22"/>
          <w:szCs w:val="22"/>
          <w:lang w:val="en-GB"/>
        </w:rPr>
        <w:t xml:space="preserve"> </w:t>
      </w:r>
      <w:r w:rsidR="00D377B1" w:rsidRPr="5937A937">
        <w:rPr>
          <w:rFonts w:asciiTheme="majorHAnsi" w:hAnsiTheme="majorHAnsi" w:cstheme="majorBidi"/>
          <w:sz w:val="22"/>
          <w:szCs w:val="22"/>
          <w:lang w:val="en-GB"/>
        </w:rPr>
        <w:fldChar w:fldCharType="begin" w:fldLock="1"/>
      </w:r>
      <w:r w:rsidR="00D377B1" w:rsidRPr="5937A937">
        <w:rPr>
          <w:rFonts w:asciiTheme="majorHAnsi" w:hAnsiTheme="majorHAnsi" w:cstheme="majorBid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D377B1" w:rsidRPr="5937A937">
        <w:rPr>
          <w:rFonts w:asciiTheme="majorHAnsi" w:hAnsiTheme="majorHAnsi" w:cstheme="majorBidi"/>
          <w:sz w:val="22"/>
          <w:szCs w:val="22"/>
          <w:lang w:val="en-GB"/>
        </w:rPr>
        <w:fldChar w:fldCharType="separate"/>
      </w:r>
      <w:r w:rsidR="00AD30A7" w:rsidRPr="5937A937">
        <w:rPr>
          <w:rFonts w:asciiTheme="majorHAnsi" w:hAnsiTheme="majorHAnsi" w:cstheme="majorBidi"/>
          <w:noProof/>
          <w:sz w:val="22"/>
          <w:szCs w:val="22"/>
          <w:lang w:val="en-GB"/>
        </w:rPr>
        <w:t>(DNV GL, 2019)</w:t>
      </w:r>
      <w:r w:rsidR="00D377B1" w:rsidRPr="5937A937">
        <w:rPr>
          <w:rFonts w:asciiTheme="majorHAnsi" w:hAnsiTheme="majorHAnsi" w:cstheme="majorBidi"/>
          <w:sz w:val="22"/>
          <w:szCs w:val="22"/>
          <w:lang w:val="en-GB"/>
        </w:rPr>
        <w:fldChar w:fldCharType="end"/>
      </w:r>
      <w:r w:rsidR="00AD30A7" w:rsidRPr="5937A937">
        <w:rPr>
          <w:rFonts w:asciiTheme="majorHAnsi" w:hAnsiTheme="majorHAnsi" w:cstheme="majorBidi"/>
          <w:sz w:val="22"/>
          <w:szCs w:val="22"/>
          <w:lang w:val="en-GB"/>
        </w:rPr>
        <w:t xml:space="preserve">. </w:t>
      </w:r>
      <w:r w:rsidR="54706F16" w:rsidRPr="5937A937">
        <w:rPr>
          <w:rFonts w:asciiTheme="majorHAnsi" w:hAnsiTheme="majorHAnsi" w:cstheme="majorBidi"/>
          <w:sz w:val="22"/>
          <w:szCs w:val="22"/>
          <w:lang w:val="en-GB"/>
        </w:rPr>
        <w:t>Similar</w:t>
      </w:r>
      <w:r w:rsidR="248E16A7" w:rsidRPr="5937A937">
        <w:rPr>
          <w:rFonts w:asciiTheme="majorHAnsi" w:hAnsiTheme="majorHAnsi" w:cstheme="majorBidi"/>
          <w:sz w:val="22"/>
          <w:szCs w:val="22"/>
          <w:lang w:val="en-GB"/>
        </w:rPr>
        <w:t xml:space="preserve"> to LNG, LGP requ</w:t>
      </w:r>
      <w:r w:rsidR="588F2236" w:rsidRPr="5937A937">
        <w:rPr>
          <w:rFonts w:asciiTheme="majorHAnsi" w:hAnsiTheme="majorHAnsi" w:cstheme="majorBidi"/>
          <w:sz w:val="22"/>
          <w:szCs w:val="22"/>
          <w:lang w:val="en-GB"/>
        </w:rPr>
        <w:t>ires</w:t>
      </w:r>
      <w:r w:rsidR="248E16A7" w:rsidRPr="5937A937">
        <w:rPr>
          <w:rFonts w:asciiTheme="majorHAnsi" w:hAnsiTheme="majorHAnsi" w:cstheme="majorBidi"/>
          <w:sz w:val="22"/>
          <w:szCs w:val="22"/>
          <w:lang w:val="en-GB"/>
        </w:rPr>
        <w:t xml:space="preserve"> tanks 2-3 </w:t>
      </w:r>
      <w:r w:rsidR="1407A30D" w:rsidRPr="5937A937">
        <w:rPr>
          <w:rFonts w:asciiTheme="majorHAnsi" w:hAnsiTheme="majorHAnsi" w:cstheme="majorBidi"/>
          <w:sz w:val="22"/>
          <w:szCs w:val="22"/>
          <w:lang w:val="en-GB"/>
        </w:rPr>
        <w:t>fold times</w:t>
      </w:r>
      <w:r w:rsidR="248E16A7" w:rsidRPr="5937A937">
        <w:rPr>
          <w:rFonts w:asciiTheme="majorHAnsi" w:hAnsiTheme="majorHAnsi" w:cstheme="majorBidi"/>
          <w:sz w:val="22"/>
          <w:szCs w:val="22"/>
          <w:lang w:val="en-GB"/>
        </w:rPr>
        <w:t xml:space="preserve"> larger than </w:t>
      </w:r>
      <w:r w:rsidR="54706F16" w:rsidRPr="5937A937">
        <w:rPr>
          <w:rFonts w:asciiTheme="majorHAnsi" w:hAnsiTheme="majorHAnsi" w:cstheme="majorBidi"/>
          <w:sz w:val="22"/>
          <w:szCs w:val="22"/>
          <w:lang w:val="en-GB"/>
        </w:rPr>
        <w:t>liquid fossil-based</w:t>
      </w:r>
      <w:r w:rsidR="248E16A7" w:rsidRPr="5937A937">
        <w:rPr>
          <w:rFonts w:asciiTheme="majorHAnsi" w:hAnsiTheme="majorHAnsi" w:cstheme="majorBidi"/>
          <w:sz w:val="22"/>
          <w:szCs w:val="22"/>
          <w:lang w:val="en-GB"/>
        </w:rPr>
        <w:t xml:space="preserve"> equivalent. It can run in four kind of engines, </w:t>
      </w:r>
      <w:r w:rsidR="54706F16" w:rsidRPr="5937A937">
        <w:rPr>
          <w:rFonts w:asciiTheme="majorHAnsi" w:hAnsiTheme="majorHAnsi" w:cstheme="majorBidi"/>
          <w:sz w:val="22"/>
          <w:szCs w:val="22"/>
          <w:lang w:val="en-GB"/>
        </w:rPr>
        <w:t>namely</w:t>
      </w:r>
      <w:r w:rsidR="59F4C181" w:rsidRPr="5937A937">
        <w:rPr>
          <w:rFonts w:asciiTheme="majorHAnsi" w:hAnsiTheme="majorHAnsi" w:cstheme="majorBidi"/>
          <w:sz w:val="22"/>
          <w:szCs w:val="22"/>
          <w:lang w:val="en-GB"/>
        </w:rPr>
        <w:t xml:space="preserve"> 2-stroke diesel cycle and 4-stroke engines, lean burn Otto-cycle and gas turbine. </w:t>
      </w:r>
    </w:p>
    <w:p w14:paraId="3B6E73C6" w14:textId="3EA89740" w:rsidR="00C7292F" w:rsidRPr="000D7D19" w:rsidRDefault="04F018E5"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b/>
          <w:bCs/>
          <w:sz w:val="22"/>
          <w:szCs w:val="22"/>
          <w:lang w:val="en-GB"/>
        </w:rPr>
        <w:lastRenderedPageBreak/>
        <w:t>Ammonia</w:t>
      </w:r>
      <w:r w:rsidR="02EBB14B" w:rsidRPr="5937A937">
        <w:rPr>
          <w:rFonts w:asciiTheme="majorHAnsi" w:hAnsiTheme="majorHAnsi" w:cstheme="majorBidi"/>
          <w:sz w:val="22"/>
          <w:szCs w:val="22"/>
          <w:lang w:val="en-GB"/>
        </w:rPr>
        <w:t xml:space="preserve"> is</w:t>
      </w:r>
      <w:r w:rsidR="362825FA" w:rsidRPr="5937A937">
        <w:rPr>
          <w:rFonts w:asciiTheme="majorHAnsi" w:hAnsiTheme="majorHAnsi" w:cstheme="majorBidi"/>
          <w:sz w:val="22"/>
          <w:szCs w:val="22"/>
          <w:lang w:val="en-GB"/>
        </w:rPr>
        <w:t xml:space="preserve"> carbon free molecule which has </w:t>
      </w:r>
      <w:r w:rsidR="0D500EB4" w:rsidRPr="5937A937">
        <w:rPr>
          <w:rFonts w:asciiTheme="majorHAnsi" w:hAnsiTheme="majorHAnsi" w:cstheme="majorBidi"/>
          <w:sz w:val="22"/>
          <w:szCs w:val="22"/>
          <w:lang w:val="en-GB"/>
        </w:rPr>
        <w:t>been</w:t>
      </w:r>
      <w:r w:rsidR="362825FA" w:rsidRPr="5937A937">
        <w:rPr>
          <w:rFonts w:asciiTheme="majorHAnsi" w:hAnsiTheme="majorHAnsi" w:cstheme="majorBidi"/>
          <w:sz w:val="22"/>
          <w:szCs w:val="22"/>
          <w:lang w:val="en-GB"/>
        </w:rPr>
        <w:t xml:space="preserve"> widely discussed as promising alternative for marine fuel. Among others, one could highlight the strengths of ammonia such</w:t>
      </w:r>
      <w:r w:rsidR="6DC76113" w:rsidRPr="5937A937">
        <w:rPr>
          <w:rFonts w:asciiTheme="majorHAnsi" w:hAnsiTheme="majorHAnsi" w:cstheme="majorBidi"/>
          <w:sz w:val="22"/>
          <w:szCs w:val="22"/>
          <w:lang w:val="en-GB"/>
        </w:rPr>
        <w:t xml:space="preserve"> as</w:t>
      </w:r>
      <w:r w:rsidR="362825FA" w:rsidRPr="5937A937">
        <w:rPr>
          <w:rFonts w:asciiTheme="majorHAnsi" w:hAnsiTheme="majorHAnsi" w:cstheme="majorBidi"/>
          <w:sz w:val="22"/>
          <w:szCs w:val="22"/>
          <w:lang w:val="en-GB"/>
        </w:rPr>
        <w:t xml:space="preserve">: i) </w:t>
      </w:r>
      <w:r w:rsidR="6DC76113" w:rsidRPr="5937A937">
        <w:rPr>
          <w:rFonts w:asciiTheme="majorHAnsi" w:hAnsiTheme="majorHAnsi" w:cstheme="majorBidi"/>
          <w:sz w:val="22"/>
          <w:szCs w:val="22"/>
          <w:lang w:val="en-GB"/>
        </w:rPr>
        <w:t xml:space="preserve">it </w:t>
      </w:r>
      <w:r w:rsidR="362825FA" w:rsidRPr="5937A937">
        <w:rPr>
          <w:rFonts w:asciiTheme="majorHAnsi" w:hAnsiTheme="majorHAnsi" w:cstheme="majorBidi"/>
          <w:sz w:val="22"/>
          <w:szCs w:val="22"/>
          <w:lang w:val="en-GB"/>
        </w:rPr>
        <w:t xml:space="preserve">can be readily liquefied by compression (8 bar) at 20 ˚C or by cooling down (- 33 ˚C); ii) established production technology and infrastructure with a global production of 150 million tonnes in 2019; </w:t>
      </w:r>
      <w:r w:rsidR="6127EE57" w:rsidRPr="5937A937">
        <w:rPr>
          <w:rFonts w:asciiTheme="majorHAnsi" w:hAnsiTheme="majorHAnsi" w:cstheme="majorBidi"/>
          <w:sz w:val="22"/>
          <w:szCs w:val="22"/>
          <w:lang w:val="en-GB"/>
        </w:rPr>
        <w:t>iii) narrow flammability; iv) can be used in internal combustion engines and fuel cells</w:t>
      </w:r>
      <w:r w:rsidR="326B91C0" w:rsidRPr="5937A937">
        <w:rPr>
          <w:rFonts w:asciiTheme="majorHAnsi" w:hAnsiTheme="majorHAnsi" w:cstheme="majorBidi"/>
          <w:sz w:val="22"/>
          <w:szCs w:val="22"/>
          <w:lang w:val="en-GB"/>
        </w:rPr>
        <w:t xml:space="preserve"> </w:t>
      </w:r>
      <w:r w:rsidR="00420F25" w:rsidRPr="5937A937">
        <w:rPr>
          <w:rFonts w:asciiTheme="majorHAnsi" w:hAnsiTheme="majorHAnsi" w:cstheme="majorBidi"/>
          <w:sz w:val="22"/>
          <w:szCs w:val="22"/>
          <w:lang w:val="en-GB"/>
        </w:rPr>
        <w:fldChar w:fldCharType="begin" w:fldLock="1"/>
      </w:r>
      <w:r w:rsidR="00420F25" w:rsidRPr="5937A937">
        <w:rPr>
          <w:rFonts w:asciiTheme="majorHAnsi" w:hAnsiTheme="majorHAnsi" w:cstheme="majorBidi"/>
          <w:sz w:val="22"/>
          <w:szCs w:val="22"/>
          <w:lang w:val="en-GB"/>
        </w:rPr>
        <w:instrText>ADDIN CSL_CITATION {"citationItems":[{"id":"ITEM-1","itemData":{"DOI":"10.1016/j.coche.2021.100670","ISSN":"22113398","abstract":"Decarbonization of the maritime transportation fuels is a primary objective of the shipping industry. Ammonia is an attractive option because of its relatively low greenhouse gas (GHG) emissions, high energy density, competitive cost, and ubiquitous infrastructure for manufacturing, storage, and distribution. The environmental benefits are enhanced when the manufacture of ammonia is assisted by renewable energy and feedstocks. This paper evaluates the potential usage of ammonia, especially renewable ammonia, as a maritime transportation fuel. The assessment covers manufacturing approaches, energy and feedstock sources, economics, and environmental impact based on well-to-tank and tank-to-propeller bases. Comparison is also made with conventional fuels that are currently used in the shipping industry. Finally, the paper discusses future directions and impact of technological advances on the potential use of renewable ammonia as a transportation fuel.","author":[{"dropping-particle":"","family":"Al-Aboosi","given":"Fadhil Y.","non-dropping-particle":"","parse-names":false,"suffix":""},{"dropping-particle":"","family":"El-Halwagi","given":"Mahmoud M.","non-dropping-particle":"","parse-names":false,"suffix":""},{"dropping-particle":"","family":"Moore","given":"Margaux","non-dropping-particle":"","parse-names":false,"suffix":""},{"dropping-particle":"","family":"Nielsen","given":"Rasmus B.","non-dropping-particle":"","parse-names":false,"suffix":""}],"container-title":"Current Opinion in Chemical Engineering","id":"ITEM-1","issued":{"date-parts":[["2021"]]},"page":"100670","publisher":"Elsevier Ltd","title":"Renewable ammonia as an alternative fuel for the shipping industry","type":"article-journal","volume":"31"},"uris":["http://www.mendeley.com/documents/?uuid=49efc19c-d192-4c78-b1c4-4b8f9f3279c5"]}],"mendeley":{"formattedCitation":"(Al-Aboosi et al., 2021)","plainTextFormattedCitation":"(Al-Aboosi et al., 2021)","previouslyFormattedCitation":"(Al-Aboosi et al., 2021)"},"properties":{"noteIndex":0},"schema":"https://github.com/citation-style-language/schema/raw/master/csl-citation.json"}</w:instrText>
      </w:r>
      <w:r w:rsidR="00420F25" w:rsidRPr="5937A937">
        <w:rPr>
          <w:rFonts w:asciiTheme="majorHAnsi" w:hAnsiTheme="majorHAnsi" w:cstheme="majorBidi"/>
          <w:sz w:val="22"/>
          <w:szCs w:val="22"/>
          <w:lang w:val="en-GB"/>
        </w:rPr>
        <w:fldChar w:fldCharType="separate"/>
      </w:r>
      <w:r w:rsidR="326B91C0" w:rsidRPr="5937A937">
        <w:rPr>
          <w:rFonts w:asciiTheme="majorHAnsi" w:hAnsiTheme="majorHAnsi" w:cstheme="majorBidi"/>
          <w:noProof/>
          <w:sz w:val="22"/>
          <w:szCs w:val="22"/>
          <w:lang w:val="en-GB"/>
        </w:rPr>
        <w:t>(Al-Aboosi et al., 2021)</w:t>
      </w:r>
      <w:r w:rsidR="00420F25" w:rsidRPr="5937A937">
        <w:rPr>
          <w:rFonts w:asciiTheme="majorHAnsi" w:hAnsiTheme="majorHAnsi" w:cstheme="majorBidi"/>
          <w:sz w:val="22"/>
          <w:szCs w:val="22"/>
          <w:lang w:val="en-GB"/>
        </w:rPr>
        <w:fldChar w:fldCharType="end"/>
      </w:r>
      <w:r w:rsidR="6127EE57" w:rsidRPr="5937A937">
        <w:rPr>
          <w:rFonts w:asciiTheme="majorHAnsi" w:hAnsiTheme="majorHAnsi" w:cstheme="majorBidi"/>
          <w:sz w:val="22"/>
          <w:szCs w:val="22"/>
          <w:lang w:val="en-GB"/>
        </w:rPr>
        <w:t>.</w:t>
      </w:r>
      <w:r w:rsidR="59F4C181" w:rsidRPr="5937A937">
        <w:rPr>
          <w:rFonts w:asciiTheme="majorHAnsi" w:hAnsiTheme="majorHAnsi" w:cstheme="majorBidi"/>
          <w:sz w:val="22"/>
          <w:szCs w:val="22"/>
          <w:lang w:val="en-GB"/>
        </w:rPr>
        <w:t xml:space="preserve"> </w:t>
      </w:r>
      <w:r w:rsidR="7D766536" w:rsidRPr="5937A937">
        <w:rPr>
          <w:rFonts w:asciiTheme="majorHAnsi" w:hAnsiTheme="majorHAnsi" w:cstheme="majorBidi"/>
          <w:sz w:val="22"/>
          <w:szCs w:val="22"/>
          <w:lang w:val="en-GB"/>
        </w:rPr>
        <w:t xml:space="preserve">The </w:t>
      </w:r>
      <w:r w:rsidR="4595B4AA" w:rsidRPr="5937A937">
        <w:rPr>
          <w:rFonts w:asciiTheme="majorHAnsi" w:hAnsiTheme="majorHAnsi" w:cstheme="majorBidi"/>
          <w:sz w:val="22"/>
          <w:szCs w:val="22"/>
          <w:lang w:val="en-GB"/>
        </w:rPr>
        <w:t xml:space="preserve">first </w:t>
      </w:r>
      <w:r w:rsidR="7D766536" w:rsidRPr="5937A937">
        <w:rPr>
          <w:rFonts w:asciiTheme="majorHAnsi" w:hAnsiTheme="majorHAnsi" w:cstheme="majorBidi"/>
          <w:sz w:val="22"/>
          <w:szCs w:val="22"/>
          <w:lang w:val="en-GB"/>
        </w:rPr>
        <w:t xml:space="preserve">use of </w:t>
      </w:r>
      <w:r w:rsidR="4595B4AA" w:rsidRPr="5937A937">
        <w:rPr>
          <w:rFonts w:asciiTheme="majorHAnsi" w:hAnsiTheme="majorHAnsi" w:cstheme="majorBidi"/>
          <w:sz w:val="22"/>
          <w:szCs w:val="22"/>
          <w:lang w:val="en-GB"/>
        </w:rPr>
        <w:t>liquid</w:t>
      </w:r>
      <w:r w:rsidR="7D766536" w:rsidRPr="5937A937">
        <w:rPr>
          <w:rFonts w:asciiTheme="majorHAnsi" w:hAnsiTheme="majorHAnsi" w:cstheme="majorBidi"/>
          <w:sz w:val="22"/>
          <w:szCs w:val="22"/>
          <w:lang w:val="en-GB"/>
        </w:rPr>
        <w:t xml:space="preserve"> ammonia as fuel</w:t>
      </w:r>
      <w:r w:rsidR="4595B4AA" w:rsidRPr="5937A937">
        <w:rPr>
          <w:rFonts w:asciiTheme="majorHAnsi" w:hAnsiTheme="majorHAnsi" w:cstheme="majorBidi"/>
          <w:sz w:val="22"/>
          <w:szCs w:val="22"/>
          <w:lang w:val="en-GB"/>
        </w:rPr>
        <w:t xml:space="preserve"> </w:t>
      </w:r>
      <w:r w:rsidR="3574131A" w:rsidRPr="5937A937">
        <w:rPr>
          <w:rFonts w:asciiTheme="majorHAnsi" w:hAnsiTheme="majorHAnsi" w:cstheme="majorBidi"/>
          <w:sz w:val="22"/>
          <w:szCs w:val="22"/>
          <w:lang w:val="en-GB"/>
        </w:rPr>
        <w:t xml:space="preserve">dates back </w:t>
      </w:r>
      <w:r w:rsidR="15B71F9C" w:rsidRPr="5937A937">
        <w:rPr>
          <w:rFonts w:asciiTheme="majorHAnsi" w:hAnsiTheme="majorHAnsi" w:cstheme="majorBidi"/>
          <w:sz w:val="22"/>
          <w:szCs w:val="22"/>
          <w:lang w:val="en-GB"/>
        </w:rPr>
        <w:t xml:space="preserve">to </w:t>
      </w:r>
      <w:r w:rsidR="00181F4B">
        <w:rPr>
          <w:rFonts w:asciiTheme="majorHAnsi" w:hAnsiTheme="majorHAnsi" w:cstheme="majorBidi"/>
          <w:sz w:val="22"/>
          <w:szCs w:val="22"/>
          <w:lang w:val="en-GB"/>
        </w:rPr>
        <w:t>the</w:t>
      </w:r>
      <w:r w:rsidR="000808D9">
        <w:rPr>
          <w:rFonts w:asciiTheme="majorHAnsi" w:hAnsiTheme="majorHAnsi" w:cstheme="majorBidi"/>
          <w:sz w:val="22"/>
          <w:szCs w:val="22"/>
          <w:lang w:val="en-GB"/>
        </w:rPr>
        <w:t xml:space="preserve"> </w:t>
      </w:r>
      <w:r w:rsidR="7D766536" w:rsidRPr="5937A937">
        <w:rPr>
          <w:rFonts w:asciiTheme="majorHAnsi" w:hAnsiTheme="majorHAnsi" w:cstheme="majorBidi"/>
          <w:sz w:val="22"/>
          <w:szCs w:val="22"/>
          <w:lang w:val="en-GB"/>
        </w:rPr>
        <w:t>1940</w:t>
      </w:r>
      <w:r w:rsidR="00181F4B">
        <w:rPr>
          <w:rFonts w:asciiTheme="majorHAnsi" w:hAnsiTheme="majorHAnsi" w:cstheme="majorBidi"/>
          <w:sz w:val="22"/>
          <w:szCs w:val="22"/>
          <w:lang w:val="en-GB"/>
        </w:rPr>
        <w:t>’s</w:t>
      </w:r>
      <w:r w:rsidR="3574131A" w:rsidRPr="5937A937">
        <w:rPr>
          <w:rFonts w:asciiTheme="majorHAnsi" w:hAnsiTheme="majorHAnsi" w:cstheme="majorBidi"/>
          <w:sz w:val="22"/>
          <w:szCs w:val="22"/>
          <w:lang w:val="en-GB"/>
        </w:rPr>
        <w:t>, in buses. Although no critical issues from propulsion were reported, the use of ammonia in combustion engines has some disadvantages, e.g., low flame speed, high auto-ignition temperature, high heat of vaporization and toxicity</w:t>
      </w:r>
      <w:r w:rsidR="612BC2DB" w:rsidRPr="5937A937">
        <w:rPr>
          <w:rFonts w:asciiTheme="majorHAnsi" w:hAnsiTheme="majorHAnsi" w:cstheme="majorBidi"/>
          <w:sz w:val="22"/>
          <w:szCs w:val="22"/>
          <w:lang w:val="en-GB"/>
        </w:rPr>
        <w:t xml:space="preserve"> </w:t>
      </w:r>
      <w:r w:rsidR="00420F25" w:rsidRPr="5937A937">
        <w:rPr>
          <w:rFonts w:asciiTheme="majorHAnsi" w:hAnsiTheme="majorHAnsi" w:cstheme="majorBidi"/>
          <w:sz w:val="22"/>
          <w:szCs w:val="22"/>
          <w:lang w:val="en-GB"/>
        </w:rPr>
        <w:fldChar w:fldCharType="begin" w:fldLock="1"/>
      </w:r>
      <w:r w:rsidR="00420F25" w:rsidRPr="5937A937">
        <w:rPr>
          <w:rFonts w:asciiTheme="majorHAnsi" w:hAnsiTheme="majorHAnsi" w:cstheme="majorBid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420F25" w:rsidRPr="5937A937">
        <w:rPr>
          <w:rFonts w:asciiTheme="majorHAnsi" w:hAnsiTheme="majorHAnsi" w:cstheme="majorBidi"/>
          <w:sz w:val="22"/>
          <w:szCs w:val="22"/>
          <w:lang w:val="en-GB"/>
        </w:rPr>
        <w:fldChar w:fldCharType="separate"/>
      </w:r>
      <w:r w:rsidR="612BC2DB" w:rsidRPr="5937A937">
        <w:rPr>
          <w:rFonts w:asciiTheme="majorHAnsi" w:hAnsiTheme="majorHAnsi" w:cstheme="majorBidi"/>
          <w:noProof/>
          <w:sz w:val="22"/>
          <w:szCs w:val="22"/>
          <w:lang w:val="en-GB"/>
        </w:rPr>
        <w:t>(DNV GL, 2019)</w:t>
      </w:r>
      <w:r w:rsidR="00420F25" w:rsidRPr="5937A937">
        <w:rPr>
          <w:rFonts w:asciiTheme="majorHAnsi" w:hAnsiTheme="majorHAnsi" w:cstheme="majorBidi"/>
          <w:sz w:val="22"/>
          <w:szCs w:val="22"/>
          <w:lang w:val="en-GB"/>
        </w:rPr>
        <w:fldChar w:fldCharType="end"/>
      </w:r>
      <w:r w:rsidR="3574131A" w:rsidRPr="5937A937">
        <w:rPr>
          <w:rFonts w:asciiTheme="majorHAnsi" w:hAnsiTheme="majorHAnsi" w:cstheme="majorBidi"/>
          <w:sz w:val="22"/>
          <w:szCs w:val="22"/>
          <w:lang w:val="en-GB"/>
        </w:rPr>
        <w:t>. Alternatively, ammonia could be deployed in fuel cells</w:t>
      </w:r>
      <w:r w:rsidR="22B5DE90" w:rsidRPr="5937A937">
        <w:rPr>
          <w:rFonts w:asciiTheme="majorHAnsi" w:hAnsiTheme="majorHAnsi" w:cstheme="majorBidi"/>
          <w:sz w:val="22"/>
          <w:szCs w:val="22"/>
          <w:lang w:val="en-GB"/>
        </w:rPr>
        <w:t xml:space="preserve">; </w:t>
      </w:r>
      <w:r w:rsidR="491BBFB9" w:rsidRPr="5937A937">
        <w:rPr>
          <w:rFonts w:asciiTheme="majorHAnsi" w:hAnsiTheme="majorHAnsi" w:cstheme="majorBidi"/>
          <w:sz w:val="22"/>
          <w:szCs w:val="22"/>
          <w:lang w:val="en-GB"/>
        </w:rPr>
        <w:t>however, technology</w:t>
      </w:r>
      <w:r w:rsidR="3574131A" w:rsidRPr="5937A937">
        <w:rPr>
          <w:rFonts w:asciiTheme="majorHAnsi" w:hAnsiTheme="majorHAnsi" w:cstheme="majorBidi"/>
          <w:sz w:val="22"/>
          <w:szCs w:val="22"/>
          <w:lang w:val="en-GB"/>
        </w:rPr>
        <w:t xml:space="preserve"> development</w:t>
      </w:r>
      <w:r w:rsidR="22B5DE90" w:rsidRPr="5937A937">
        <w:rPr>
          <w:rFonts w:asciiTheme="majorHAnsi" w:hAnsiTheme="majorHAnsi" w:cstheme="majorBidi"/>
          <w:sz w:val="22"/>
          <w:szCs w:val="22"/>
          <w:lang w:val="en-GB"/>
        </w:rPr>
        <w:t xml:space="preserve"> </w:t>
      </w:r>
      <w:r w:rsidR="5611CE2C" w:rsidRPr="5937A937">
        <w:rPr>
          <w:rFonts w:asciiTheme="majorHAnsi" w:hAnsiTheme="majorHAnsi" w:cstheme="majorBidi"/>
          <w:sz w:val="22"/>
          <w:szCs w:val="22"/>
          <w:lang w:val="en-GB"/>
        </w:rPr>
        <w:t xml:space="preserve">is </w:t>
      </w:r>
      <w:r w:rsidR="3574131A" w:rsidRPr="5937A937">
        <w:rPr>
          <w:rFonts w:asciiTheme="majorHAnsi" w:hAnsiTheme="majorHAnsi" w:cstheme="majorBidi"/>
          <w:sz w:val="22"/>
          <w:szCs w:val="22"/>
          <w:lang w:val="en-GB"/>
        </w:rPr>
        <w:t>still necessary</w:t>
      </w:r>
      <w:r w:rsidR="7396239F" w:rsidRPr="5937A937">
        <w:rPr>
          <w:rFonts w:asciiTheme="majorHAnsi" w:hAnsiTheme="majorHAnsi" w:cstheme="majorBidi"/>
          <w:sz w:val="22"/>
          <w:szCs w:val="22"/>
          <w:lang w:val="en-GB"/>
        </w:rPr>
        <w:t xml:space="preserve"> due to its immaturity</w:t>
      </w:r>
      <w:r w:rsidR="3574131A" w:rsidRPr="5937A937">
        <w:rPr>
          <w:rFonts w:asciiTheme="majorHAnsi" w:hAnsiTheme="majorHAnsi" w:cstheme="majorBidi"/>
          <w:sz w:val="22"/>
          <w:szCs w:val="22"/>
          <w:lang w:val="en-GB"/>
        </w:rPr>
        <w:t>. Ammonia</w:t>
      </w:r>
      <w:r w:rsidR="59F4C181" w:rsidRPr="5937A937">
        <w:rPr>
          <w:rFonts w:asciiTheme="majorHAnsi" w:hAnsiTheme="majorHAnsi" w:cstheme="majorBidi"/>
          <w:sz w:val="22"/>
          <w:szCs w:val="22"/>
          <w:lang w:val="en-GB"/>
        </w:rPr>
        <w:t xml:space="preserve"> is mostly produced </w:t>
      </w:r>
      <w:r w:rsidR="75F2A7F5" w:rsidRPr="5937A937">
        <w:rPr>
          <w:rFonts w:asciiTheme="majorHAnsi" w:hAnsiTheme="majorHAnsi" w:cstheme="majorBidi"/>
          <w:sz w:val="22"/>
          <w:szCs w:val="22"/>
          <w:lang w:val="en-GB"/>
        </w:rPr>
        <w:t>through Haber-Bosch process</w:t>
      </w:r>
      <w:r w:rsidR="3574131A" w:rsidRPr="5937A937">
        <w:rPr>
          <w:rFonts w:asciiTheme="majorHAnsi" w:hAnsiTheme="majorHAnsi" w:cstheme="majorBidi"/>
          <w:sz w:val="22"/>
          <w:szCs w:val="22"/>
          <w:lang w:val="en-GB"/>
        </w:rPr>
        <w:t xml:space="preserve">, reacting </w:t>
      </w:r>
      <w:r w:rsidR="75F2A7F5" w:rsidRPr="5937A937">
        <w:rPr>
          <w:rFonts w:asciiTheme="majorHAnsi" w:hAnsiTheme="majorHAnsi" w:cstheme="majorBidi"/>
          <w:sz w:val="22"/>
          <w:szCs w:val="22"/>
          <w:lang w:val="en-GB"/>
        </w:rPr>
        <w:t>N</w:t>
      </w:r>
      <w:r w:rsidR="75F2A7F5" w:rsidRPr="5937A937">
        <w:rPr>
          <w:rFonts w:asciiTheme="majorHAnsi" w:hAnsiTheme="majorHAnsi" w:cstheme="majorBidi"/>
          <w:sz w:val="22"/>
          <w:szCs w:val="22"/>
          <w:vertAlign w:val="subscript"/>
          <w:lang w:val="en-GB"/>
        </w:rPr>
        <w:t>2</w:t>
      </w:r>
      <w:r w:rsidR="75F2A7F5" w:rsidRPr="5937A937">
        <w:rPr>
          <w:rFonts w:asciiTheme="majorHAnsi" w:hAnsiTheme="majorHAnsi" w:cstheme="majorBidi"/>
          <w:sz w:val="22"/>
          <w:szCs w:val="22"/>
          <w:lang w:val="en-GB"/>
        </w:rPr>
        <w:t xml:space="preserve"> with H</w:t>
      </w:r>
      <w:r w:rsidR="75F2A7F5" w:rsidRPr="5937A937">
        <w:rPr>
          <w:rFonts w:asciiTheme="majorHAnsi" w:hAnsiTheme="majorHAnsi" w:cstheme="majorBidi"/>
          <w:sz w:val="22"/>
          <w:szCs w:val="22"/>
          <w:vertAlign w:val="subscript"/>
          <w:lang w:val="en-GB"/>
        </w:rPr>
        <w:t>2</w:t>
      </w:r>
      <w:r w:rsidR="75F2A7F5" w:rsidRPr="5937A937">
        <w:rPr>
          <w:rFonts w:asciiTheme="majorHAnsi" w:hAnsiTheme="majorHAnsi" w:cstheme="majorBidi"/>
          <w:sz w:val="22"/>
          <w:szCs w:val="22"/>
          <w:lang w:val="en-GB"/>
        </w:rPr>
        <w:t xml:space="preserve"> over a metal catalyst.</w:t>
      </w:r>
      <w:r w:rsidR="4DD87A1A" w:rsidRPr="5937A937">
        <w:rPr>
          <w:rFonts w:asciiTheme="majorHAnsi" w:hAnsiTheme="majorHAnsi" w:cstheme="majorBidi"/>
          <w:sz w:val="22"/>
          <w:szCs w:val="22"/>
          <w:lang w:val="en-GB"/>
        </w:rPr>
        <w:t xml:space="preserve"> Currently, 95% of the H</w:t>
      </w:r>
      <w:r w:rsidR="4DD87A1A" w:rsidRPr="5937A937">
        <w:rPr>
          <w:rFonts w:asciiTheme="majorHAnsi" w:hAnsiTheme="majorHAnsi" w:cstheme="majorBidi"/>
          <w:sz w:val="22"/>
          <w:szCs w:val="22"/>
          <w:vertAlign w:val="subscript"/>
          <w:lang w:val="en-GB"/>
        </w:rPr>
        <w:t>2</w:t>
      </w:r>
      <w:r w:rsidR="4DD87A1A" w:rsidRPr="5937A937">
        <w:rPr>
          <w:rFonts w:asciiTheme="majorHAnsi" w:hAnsiTheme="majorHAnsi" w:cstheme="majorBidi"/>
          <w:sz w:val="22"/>
          <w:szCs w:val="22"/>
          <w:lang w:val="en-GB"/>
        </w:rPr>
        <w:t xml:space="preserve"> used comes from fossil sources, mainly natural gas reforming, </w:t>
      </w:r>
      <w:r w:rsidR="0B5DCFC0" w:rsidRPr="5937A937">
        <w:rPr>
          <w:rFonts w:asciiTheme="majorHAnsi" w:hAnsiTheme="majorHAnsi" w:cstheme="majorBidi"/>
          <w:sz w:val="22"/>
          <w:szCs w:val="22"/>
          <w:lang w:val="en-GB"/>
        </w:rPr>
        <w:t>while N</w:t>
      </w:r>
      <w:r w:rsidR="0B5DCFC0" w:rsidRPr="5937A937">
        <w:rPr>
          <w:rFonts w:asciiTheme="majorHAnsi" w:hAnsiTheme="majorHAnsi" w:cstheme="majorBidi"/>
          <w:sz w:val="22"/>
          <w:szCs w:val="22"/>
          <w:vertAlign w:val="subscript"/>
          <w:lang w:val="en-GB"/>
        </w:rPr>
        <w:t>2</w:t>
      </w:r>
      <w:r w:rsidR="0B5DCFC0" w:rsidRPr="5937A937">
        <w:rPr>
          <w:rFonts w:asciiTheme="majorHAnsi" w:hAnsiTheme="majorHAnsi" w:cstheme="majorBidi"/>
          <w:sz w:val="22"/>
          <w:szCs w:val="22"/>
          <w:lang w:val="en-GB"/>
        </w:rPr>
        <w:t xml:space="preserve"> comes from</w:t>
      </w:r>
      <w:r w:rsidR="7C9E01DB" w:rsidRPr="5937A937">
        <w:rPr>
          <w:rFonts w:asciiTheme="majorHAnsi" w:hAnsiTheme="majorHAnsi" w:cstheme="majorBidi"/>
          <w:sz w:val="22"/>
          <w:szCs w:val="22"/>
          <w:lang w:val="en-GB"/>
        </w:rPr>
        <w:t xml:space="preserve"> energy intensive</w:t>
      </w:r>
      <w:r w:rsidR="0B5DCFC0" w:rsidRPr="5937A937">
        <w:rPr>
          <w:rFonts w:asciiTheme="majorHAnsi" w:hAnsiTheme="majorHAnsi" w:cstheme="majorBidi"/>
          <w:sz w:val="22"/>
          <w:szCs w:val="22"/>
          <w:lang w:val="en-GB"/>
        </w:rPr>
        <w:t xml:space="preserve"> air separation</w:t>
      </w:r>
      <w:r w:rsidR="7D82C5CA" w:rsidRPr="5937A937">
        <w:rPr>
          <w:rFonts w:asciiTheme="majorHAnsi" w:hAnsiTheme="majorHAnsi" w:cstheme="majorBidi"/>
          <w:sz w:val="22"/>
          <w:szCs w:val="22"/>
          <w:lang w:val="en-GB"/>
        </w:rPr>
        <w:t xml:space="preserve"> production</w:t>
      </w:r>
      <w:r w:rsidR="0B5DCFC0" w:rsidRPr="5937A937">
        <w:rPr>
          <w:rFonts w:asciiTheme="majorHAnsi" w:hAnsiTheme="majorHAnsi" w:cstheme="majorBidi"/>
          <w:sz w:val="22"/>
          <w:szCs w:val="22"/>
          <w:lang w:val="en-GB"/>
        </w:rPr>
        <w:t>. This is a challenge for ammonia use that, if not surpassed, will limit the potential reduction of emissions.</w:t>
      </w:r>
      <w:r w:rsidR="7C9E01DB" w:rsidRPr="5937A937">
        <w:rPr>
          <w:rFonts w:asciiTheme="majorHAnsi" w:hAnsiTheme="majorHAnsi" w:cstheme="majorBidi"/>
          <w:sz w:val="22"/>
          <w:szCs w:val="22"/>
          <w:lang w:val="en-GB"/>
        </w:rPr>
        <w:t xml:space="preserve"> Green ammonia can be </w:t>
      </w:r>
      <w:r w:rsidR="13544EB1" w:rsidRPr="5937A937">
        <w:rPr>
          <w:rFonts w:asciiTheme="majorHAnsi" w:hAnsiTheme="majorHAnsi" w:cstheme="majorBidi"/>
          <w:sz w:val="22"/>
          <w:szCs w:val="22"/>
          <w:lang w:val="en-GB"/>
        </w:rPr>
        <w:t>generated</w:t>
      </w:r>
      <w:r w:rsidR="7C9E01DB" w:rsidRPr="5937A937">
        <w:rPr>
          <w:rFonts w:asciiTheme="majorHAnsi" w:hAnsiTheme="majorHAnsi" w:cstheme="majorBidi"/>
          <w:sz w:val="22"/>
          <w:szCs w:val="22"/>
          <w:lang w:val="en-GB"/>
        </w:rPr>
        <w:t xml:space="preserve"> by</w:t>
      </w:r>
      <w:r w:rsidR="488A6229" w:rsidRPr="5937A937">
        <w:rPr>
          <w:rFonts w:asciiTheme="majorHAnsi" w:hAnsiTheme="majorHAnsi" w:cstheme="majorBidi"/>
          <w:sz w:val="22"/>
          <w:szCs w:val="22"/>
          <w:lang w:val="en-GB"/>
        </w:rPr>
        <w:t xml:space="preserve"> using</w:t>
      </w:r>
      <w:r w:rsidR="7C9E01DB" w:rsidRPr="5937A937">
        <w:rPr>
          <w:rFonts w:asciiTheme="majorHAnsi" w:hAnsiTheme="majorHAnsi" w:cstheme="majorBidi"/>
          <w:sz w:val="22"/>
          <w:szCs w:val="22"/>
          <w:lang w:val="en-GB"/>
        </w:rPr>
        <w:t xml:space="preserve"> </w:t>
      </w:r>
      <w:r w:rsidR="46FFE624" w:rsidRPr="5937A937">
        <w:rPr>
          <w:rFonts w:asciiTheme="majorHAnsi" w:hAnsiTheme="majorHAnsi" w:cstheme="majorBidi"/>
          <w:sz w:val="22"/>
          <w:szCs w:val="22"/>
          <w:lang w:val="en-GB"/>
        </w:rPr>
        <w:t>renewable energy</w:t>
      </w:r>
      <w:r w:rsidR="5501C157" w:rsidRPr="5937A937">
        <w:rPr>
          <w:rFonts w:asciiTheme="majorHAnsi" w:hAnsiTheme="majorHAnsi" w:cstheme="majorBidi"/>
          <w:sz w:val="22"/>
          <w:szCs w:val="22"/>
          <w:lang w:val="en-GB"/>
        </w:rPr>
        <w:t>, such as solar,</w:t>
      </w:r>
      <w:r w:rsidR="46FFE624" w:rsidRPr="5937A937">
        <w:rPr>
          <w:rFonts w:asciiTheme="majorHAnsi" w:hAnsiTheme="majorHAnsi" w:cstheme="majorBidi"/>
          <w:sz w:val="22"/>
          <w:szCs w:val="22"/>
          <w:lang w:val="en-GB"/>
        </w:rPr>
        <w:t xml:space="preserve"> </w:t>
      </w:r>
      <w:r w:rsidR="163FA500" w:rsidRPr="5937A937">
        <w:rPr>
          <w:rFonts w:asciiTheme="majorHAnsi" w:hAnsiTheme="majorHAnsi" w:cstheme="majorBidi"/>
          <w:sz w:val="22"/>
          <w:szCs w:val="22"/>
          <w:lang w:val="en-GB"/>
        </w:rPr>
        <w:t>during the</w:t>
      </w:r>
      <w:r w:rsidR="7C9E01DB" w:rsidRPr="5937A937">
        <w:rPr>
          <w:rFonts w:asciiTheme="majorHAnsi" w:hAnsiTheme="majorHAnsi" w:cstheme="majorBidi"/>
          <w:sz w:val="22"/>
          <w:szCs w:val="22"/>
          <w:lang w:val="en-GB"/>
        </w:rPr>
        <w:t xml:space="preserve"> production </w:t>
      </w:r>
      <w:r w:rsidR="00001DE7">
        <w:rPr>
          <w:rFonts w:asciiTheme="majorHAnsi" w:hAnsiTheme="majorHAnsi" w:cstheme="majorBidi"/>
          <w:sz w:val="22"/>
          <w:szCs w:val="22"/>
          <w:lang w:val="en-GB"/>
        </w:rPr>
        <w:t>a</w:t>
      </w:r>
      <w:r w:rsidR="7C9E01DB" w:rsidRPr="5937A937">
        <w:rPr>
          <w:rFonts w:asciiTheme="majorHAnsi" w:hAnsiTheme="majorHAnsi" w:cstheme="majorBidi"/>
          <w:sz w:val="22"/>
          <w:szCs w:val="22"/>
          <w:lang w:val="en-GB"/>
        </w:rPr>
        <w:t xml:space="preserve">nd </w:t>
      </w:r>
      <w:r w:rsidR="01E590D3" w:rsidRPr="5937A937">
        <w:rPr>
          <w:rFonts w:asciiTheme="majorHAnsi" w:hAnsiTheme="majorHAnsi" w:cstheme="majorBidi"/>
          <w:sz w:val="22"/>
          <w:szCs w:val="22"/>
          <w:lang w:val="en-GB"/>
        </w:rPr>
        <w:t xml:space="preserve">by </w:t>
      </w:r>
      <w:r w:rsidR="00FA2133">
        <w:rPr>
          <w:rFonts w:asciiTheme="majorHAnsi" w:hAnsiTheme="majorHAnsi" w:cstheme="majorBidi"/>
          <w:sz w:val="22"/>
          <w:szCs w:val="22"/>
          <w:lang w:val="en-GB"/>
        </w:rPr>
        <w:t>producing</w:t>
      </w:r>
      <w:r w:rsidR="7C9E01DB" w:rsidRPr="5937A937">
        <w:rPr>
          <w:rFonts w:asciiTheme="majorHAnsi" w:hAnsiTheme="majorHAnsi" w:cstheme="majorBidi"/>
          <w:sz w:val="22"/>
          <w:szCs w:val="22"/>
          <w:lang w:val="en-GB"/>
        </w:rPr>
        <w:t xml:space="preserve"> H</w:t>
      </w:r>
      <w:r w:rsidR="7C9E01DB" w:rsidRPr="5937A937">
        <w:rPr>
          <w:rFonts w:asciiTheme="majorHAnsi" w:hAnsiTheme="majorHAnsi" w:cstheme="majorBidi"/>
          <w:sz w:val="22"/>
          <w:szCs w:val="22"/>
          <w:vertAlign w:val="subscript"/>
          <w:lang w:val="en-GB"/>
        </w:rPr>
        <w:t>2</w:t>
      </w:r>
      <w:r w:rsidR="7C9E01DB" w:rsidRPr="5937A937">
        <w:rPr>
          <w:rFonts w:asciiTheme="majorHAnsi" w:hAnsiTheme="majorHAnsi" w:cstheme="majorBidi"/>
          <w:sz w:val="22"/>
          <w:szCs w:val="22"/>
          <w:lang w:val="en-GB"/>
        </w:rPr>
        <w:t xml:space="preserve"> from renewable sources, for instance</w:t>
      </w:r>
      <w:r w:rsidR="13544EB1" w:rsidRPr="5937A937">
        <w:rPr>
          <w:rFonts w:asciiTheme="majorHAnsi" w:hAnsiTheme="majorHAnsi" w:cstheme="majorBidi"/>
          <w:sz w:val="22"/>
          <w:szCs w:val="22"/>
          <w:lang w:val="en-GB"/>
        </w:rPr>
        <w:t>,</w:t>
      </w:r>
      <w:r w:rsidR="7C9E01DB" w:rsidRPr="5937A937">
        <w:rPr>
          <w:rFonts w:asciiTheme="majorHAnsi" w:hAnsiTheme="majorHAnsi" w:cstheme="majorBidi"/>
          <w:sz w:val="22"/>
          <w:szCs w:val="22"/>
          <w:lang w:val="en-GB"/>
        </w:rPr>
        <w:t xml:space="preserve"> biogas</w:t>
      </w:r>
      <w:r w:rsidR="3EB5600D" w:rsidRPr="5937A937">
        <w:rPr>
          <w:rFonts w:asciiTheme="majorHAnsi" w:hAnsiTheme="majorHAnsi" w:cstheme="majorBidi"/>
          <w:sz w:val="22"/>
          <w:szCs w:val="22"/>
          <w:lang w:val="en-GB"/>
        </w:rPr>
        <w:t xml:space="preserve"> or water</w:t>
      </w:r>
      <w:r w:rsidR="7C9E01DB" w:rsidRPr="5937A937">
        <w:rPr>
          <w:rFonts w:asciiTheme="majorHAnsi" w:hAnsiTheme="majorHAnsi" w:cstheme="majorBidi"/>
          <w:sz w:val="22"/>
          <w:szCs w:val="22"/>
          <w:lang w:val="en-GB"/>
        </w:rPr>
        <w:t xml:space="preserve">.  </w:t>
      </w:r>
      <w:r w:rsidR="3325E648" w:rsidRPr="5937A937">
        <w:rPr>
          <w:rFonts w:asciiTheme="majorHAnsi" w:hAnsiTheme="majorHAnsi" w:cstheme="majorBidi"/>
          <w:sz w:val="22"/>
          <w:szCs w:val="22"/>
          <w:lang w:val="en-GB"/>
        </w:rPr>
        <w:t xml:space="preserve">Blue ammonia is produced from fossil feedstock associated with carbons capture and storage technologies. </w:t>
      </w:r>
    </w:p>
    <w:p w14:paraId="23E76422" w14:textId="727EF67A" w:rsidR="00A00808" w:rsidRPr="000D7D19" w:rsidRDefault="13544EB1"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b/>
          <w:bCs/>
          <w:sz w:val="22"/>
          <w:szCs w:val="22"/>
          <w:lang w:val="en-GB"/>
        </w:rPr>
        <w:t>Hydrogen</w:t>
      </w:r>
      <w:r w:rsidRPr="5937A937">
        <w:rPr>
          <w:rFonts w:asciiTheme="majorHAnsi" w:hAnsiTheme="majorHAnsi" w:cstheme="majorBidi"/>
          <w:sz w:val="22"/>
          <w:szCs w:val="22"/>
          <w:lang w:val="en-GB"/>
        </w:rPr>
        <w:t>,</w:t>
      </w:r>
      <w:r w:rsidR="3FA5EC56" w:rsidRPr="5937A937">
        <w:rPr>
          <w:rFonts w:asciiTheme="majorHAnsi" w:hAnsiTheme="majorHAnsi" w:cstheme="majorBidi"/>
          <w:sz w:val="22"/>
          <w:szCs w:val="22"/>
          <w:lang w:val="en-GB"/>
        </w:rPr>
        <w:t xml:space="preserve"> is being considered as a promising fuel mainly due to its potential </w:t>
      </w:r>
      <w:r w:rsidR="5E8DC812" w:rsidRPr="5937A937">
        <w:rPr>
          <w:rFonts w:asciiTheme="majorHAnsi" w:hAnsiTheme="majorHAnsi" w:cstheme="majorBidi"/>
          <w:sz w:val="22"/>
          <w:szCs w:val="22"/>
          <w:lang w:val="en-GB"/>
        </w:rPr>
        <w:t>for</w:t>
      </w:r>
      <w:r w:rsidR="3FA5EC56" w:rsidRPr="5937A937">
        <w:rPr>
          <w:rFonts w:asciiTheme="majorHAnsi" w:hAnsiTheme="majorHAnsi" w:cstheme="majorBidi"/>
          <w:sz w:val="22"/>
          <w:szCs w:val="22"/>
          <w:lang w:val="en-GB"/>
        </w:rPr>
        <w:t xml:space="preserve"> </w:t>
      </w:r>
      <w:r w:rsidR="5E8DC812" w:rsidRPr="5937A937">
        <w:rPr>
          <w:rFonts w:asciiTheme="majorHAnsi" w:hAnsiTheme="majorHAnsi" w:cstheme="majorBidi"/>
          <w:sz w:val="22"/>
          <w:szCs w:val="22"/>
          <w:lang w:val="en-GB"/>
        </w:rPr>
        <w:t xml:space="preserve">emissions </w:t>
      </w:r>
      <w:r w:rsidR="3FA5EC56" w:rsidRPr="5937A937">
        <w:rPr>
          <w:rFonts w:asciiTheme="majorHAnsi" w:hAnsiTheme="majorHAnsi" w:cstheme="majorBidi"/>
          <w:sz w:val="22"/>
          <w:szCs w:val="22"/>
          <w:lang w:val="en-GB"/>
        </w:rPr>
        <w:t>reduc</w:t>
      </w:r>
      <w:r w:rsidR="5E8DC812" w:rsidRPr="5937A937">
        <w:rPr>
          <w:rFonts w:asciiTheme="majorHAnsi" w:hAnsiTheme="majorHAnsi" w:cstheme="majorBidi"/>
          <w:sz w:val="22"/>
          <w:szCs w:val="22"/>
          <w:lang w:val="en-GB"/>
        </w:rPr>
        <w:t>tion</w:t>
      </w:r>
      <w:r w:rsidR="3FA5EC56" w:rsidRPr="5937A937">
        <w:rPr>
          <w:rFonts w:asciiTheme="majorHAnsi" w:hAnsiTheme="majorHAnsi" w:cstheme="majorBidi"/>
          <w:sz w:val="22"/>
          <w:szCs w:val="22"/>
          <w:lang w:val="en-GB"/>
        </w:rPr>
        <w:t xml:space="preserve"> and from the current experience </w:t>
      </w:r>
      <w:r w:rsidR="3592FC5D" w:rsidRPr="5937A937">
        <w:rPr>
          <w:rFonts w:asciiTheme="majorHAnsi" w:hAnsiTheme="majorHAnsi" w:cstheme="majorBidi"/>
          <w:sz w:val="22"/>
          <w:szCs w:val="22"/>
          <w:lang w:val="en-GB"/>
        </w:rPr>
        <w:t xml:space="preserve">on </w:t>
      </w:r>
      <w:r w:rsidR="719D6E07" w:rsidRPr="5937A937">
        <w:rPr>
          <w:rFonts w:asciiTheme="majorHAnsi" w:hAnsiTheme="majorHAnsi" w:cstheme="majorBidi"/>
          <w:sz w:val="22"/>
          <w:szCs w:val="22"/>
          <w:lang w:val="en-GB"/>
        </w:rPr>
        <w:t xml:space="preserve">the </w:t>
      </w:r>
      <w:r w:rsidR="79D4B255" w:rsidRPr="5937A937">
        <w:rPr>
          <w:rFonts w:asciiTheme="majorHAnsi" w:hAnsiTheme="majorHAnsi" w:cstheme="majorBidi"/>
          <w:sz w:val="22"/>
          <w:szCs w:val="22"/>
          <w:lang w:val="en-GB"/>
        </w:rPr>
        <w:t>chemical market</w:t>
      </w:r>
      <w:r w:rsidR="3FA5EC56" w:rsidRPr="5937A937">
        <w:rPr>
          <w:rFonts w:asciiTheme="majorHAnsi" w:hAnsiTheme="majorHAnsi" w:cstheme="majorBidi"/>
          <w:sz w:val="22"/>
          <w:szCs w:val="22"/>
          <w:lang w:val="en-GB"/>
        </w:rPr>
        <w:t xml:space="preserve">. </w:t>
      </w:r>
      <w:r w:rsidR="3592FC5D" w:rsidRPr="5937A937">
        <w:rPr>
          <w:rFonts w:asciiTheme="majorHAnsi" w:hAnsiTheme="majorHAnsi" w:cstheme="majorBidi"/>
          <w:sz w:val="22"/>
          <w:szCs w:val="22"/>
          <w:lang w:val="en-GB"/>
        </w:rPr>
        <w:t xml:space="preserve">When used in adapted combustion engines it has an efficiency around 40 </w:t>
      </w:r>
      <w:r w:rsidR="719D6E07" w:rsidRPr="5937A937">
        <w:rPr>
          <w:rFonts w:asciiTheme="majorHAnsi" w:hAnsiTheme="majorHAnsi" w:cstheme="majorBidi"/>
          <w:sz w:val="22"/>
          <w:szCs w:val="22"/>
          <w:lang w:val="en-GB"/>
        </w:rPr>
        <w:t xml:space="preserve">- </w:t>
      </w:r>
      <w:r w:rsidR="3DE378EB" w:rsidRPr="5937A937">
        <w:rPr>
          <w:rFonts w:asciiTheme="majorHAnsi" w:hAnsiTheme="majorHAnsi" w:cstheme="majorBidi"/>
          <w:sz w:val="22"/>
          <w:szCs w:val="22"/>
          <w:lang w:val="en-GB"/>
        </w:rPr>
        <w:t>50%</w:t>
      </w:r>
      <w:r w:rsidR="3592FC5D" w:rsidRPr="5937A937">
        <w:rPr>
          <w:rFonts w:asciiTheme="majorHAnsi" w:hAnsiTheme="majorHAnsi" w:cstheme="majorBidi"/>
          <w:sz w:val="22"/>
          <w:szCs w:val="22"/>
          <w:lang w:val="en-GB"/>
        </w:rPr>
        <w:t xml:space="preserve">, whereas in fuel cell the efficiency is typically 50 </w:t>
      </w:r>
      <w:r w:rsidR="719D6E07" w:rsidRPr="5937A937">
        <w:rPr>
          <w:rFonts w:asciiTheme="majorHAnsi" w:hAnsiTheme="majorHAnsi" w:cstheme="majorBidi"/>
          <w:sz w:val="22"/>
          <w:szCs w:val="22"/>
          <w:lang w:val="en-GB"/>
        </w:rPr>
        <w:t xml:space="preserve">- </w:t>
      </w:r>
      <w:r w:rsidR="3592FC5D" w:rsidRPr="5937A937">
        <w:rPr>
          <w:rFonts w:asciiTheme="majorHAnsi" w:hAnsiTheme="majorHAnsi" w:cstheme="majorBidi"/>
          <w:sz w:val="22"/>
          <w:szCs w:val="22"/>
          <w:lang w:val="en-GB"/>
        </w:rPr>
        <w:t>60 %.</w:t>
      </w:r>
      <w:r w:rsidR="79D4B255" w:rsidRPr="5937A937">
        <w:rPr>
          <w:rFonts w:asciiTheme="majorHAnsi" w:hAnsiTheme="majorHAnsi" w:cstheme="majorBidi"/>
          <w:sz w:val="22"/>
          <w:szCs w:val="22"/>
          <w:lang w:val="en-GB"/>
        </w:rPr>
        <w:t xml:space="preserve"> </w:t>
      </w:r>
      <w:r w:rsidR="20D0BC9A" w:rsidRPr="5937A937">
        <w:rPr>
          <w:rFonts w:asciiTheme="majorHAnsi" w:hAnsiTheme="majorHAnsi" w:cstheme="majorBidi"/>
          <w:sz w:val="22"/>
          <w:szCs w:val="22"/>
          <w:lang w:val="en-GB"/>
        </w:rPr>
        <w:t>The implementation of Hydrogen as fuel</w:t>
      </w:r>
      <w:r w:rsidR="3DBA9A8B" w:rsidRPr="5937A937">
        <w:rPr>
          <w:rFonts w:asciiTheme="majorHAnsi" w:hAnsiTheme="majorHAnsi" w:cstheme="majorBidi"/>
          <w:sz w:val="22"/>
          <w:szCs w:val="22"/>
          <w:lang w:val="en-GB"/>
        </w:rPr>
        <w:t xml:space="preserve"> is </w:t>
      </w:r>
      <w:r w:rsidR="20D0BC9A" w:rsidRPr="5937A937">
        <w:rPr>
          <w:rFonts w:asciiTheme="majorHAnsi" w:hAnsiTheme="majorHAnsi" w:cstheme="majorBidi"/>
          <w:sz w:val="22"/>
          <w:szCs w:val="22"/>
          <w:lang w:val="en-GB"/>
        </w:rPr>
        <w:t xml:space="preserve">still challenging due to technology constrains and </w:t>
      </w:r>
      <w:r w:rsidR="7DB6C500" w:rsidRPr="5937A937">
        <w:rPr>
          <w:rFonts w:asciiTheme="majorHAnsi" w:hAnsiTheme="majorHAnsi" w:cstheme="majorBidi"/>
          <w:sz w:val="22"/>
          <w:szCs w:val="22"/>
          <w:lang w:val="en-GB"/>
        </w:rPr>
        <w:t>present</w:t>
      </w:r>
      <w:r w:rsidR="20D0BC9A" w:rsidRPr="5937A937">
        <w:rPr>
          <w:rFonts w:asciiTheme="majorHAnsi" w:hAnsiTheme="majorHAnsi" w:cstheme="majorBidi"/>
          <w:sz w:val="22"/>
          <w:szCs w:val="22"/>
          <w:lang w:val="en-GB"/>
        </w:rPr>
        <w:t xml:space="preserve"> prohibitive costs</w:t>
      </w:r>
      <w:r w:rsidR="692B3D25" w:rsidRPr="5937A937">
        <w:rPr>
          <w:rFonts w:asciiTheme="majorHAnsi" w:hAnsiTheme="majorHAnsi" w:cstheme="majorBidi"/>
          <w:sz w:val="22"/>
          <w:szCs w:val="22"/>
          <w:lang w:val="en-GB"/>
        </w:rPr>
        <w:t xml:space="preserve"> </w:t>
      </w:r>
      <w:r w:rsidR="00C7292F" w:rsidRPr="5937A937">
        <w:rPr>
          <w:rFonts w:asciiTheme="majorHAnsi" w:hAnsiTheme="majorHAnsi" w:cstheme="majorBidi"/>
          <w:sz w:val="22"/>
          <w:szCs w:val="22"/>
          <w:lang w:val="en-GB"/>
        </w:rPr>
        <w:fldChar w:fldCharType="begin" w:fldLock="1"/>
      </w:r>
      <w:r w:rsidR="00C7292F" w:rsidRPr="5937A937">
        <w:rPr>
          <w:rFonts w:asciiTheme="majorHAnsi" w:hAnsiTheme="majorHAnsi" w:cstheme="majorBid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C7292F" w:rsidRPr="5937A937">
        <w:rPr>
          <w:rFonts w:asciiTheme="majorHAnsi" w:hAnsiTheme="majorHAnsi" w:cstheme="majorBidi"/>
          <w:sz w:val="22"/>
          <w:szCs w:val="22"/>
          <w:lang w:val="en-GB"/>
        </w:rPr>
        <w:fldChar w:fldCharType="separate"/>
      </w:r>
      <w:r w:rsidR="692B3D25" w:rsidRPr="5937A937">
        <w:rPr>
          <w:rFonts w:asciiTheme="majorHAnsi" w:hAnsiTheme="majorHAnsi" w:cstheme="majorBidi"/>
          <w:noProof/>
          <w:sz w:val="22"/>
          <w:szCs w:val="22"/>
          <w:lang w:val="en-GB"/>
        </w:rPr>
        <w:t>(DNV GL, 2019)</w:t>
      </w:r>
      <w:r w:rsidR="00C7292F" w:rsidRPr="5937A937">
        <w:rPr>
          <w:rFonts w:asciiTheme="majorHAnsi" w:hAnsiTheme="majorHAnsi" w:cstheme="majorBidi"/>
          <w:sz w:val="22"/>
          <w:szCs w:val="22"/>
          <w:lang w:val="en-GB"/>
        </w:rPr>
        <w:fldChar w:fldCharType="end"/>
      </w:r>
      <w:r w:rsidR="20D0BC9A" w:rsidRPr="5937A937">
        <w:rPr>
          <w:rFonts w:asciiTheme="majorHAnsi" w:hAnsiTheme="majorHAnsi" w:cstheme="majorBidi"/>
          <w:sz w:val="22"/>
          <w:szCs w:val="22"/>
          <w:lang w:val="en-GB"/>
        </w:rPr>
        <w:t xml:space="preserve">. Storage and transport </w:t>
      </w:r>
      <w:r w:rsidR="40DD1F2F" w:rsidRPr="5937A937">
        <w:rPr>
          <w:rFonts w:asciiTheme="majorHAnsi" w:hAnsiTheme="majorHAnsi" w:cstheme="majorBidi"/>
          <w:sz w:val="22"/>
          <w:szCs w:val="22"/>
          <w:lang w:val="en-GB"/>
        </w:rPr>
        <w:t>are</w:t>
      </w:r>
      <w:r w:rsidR="20D0BC9A" w:rsidRPr="5937A937">
        <w:rPr>
          <w:rFonts w:asciiTheme="majorHAnsi" w:hAnsiTheme="majorHAnsi" w:cstheme="majorBidi"/>
          <w:sz w:val="22"/>
          <w:szCs w:val="22"/>
          <w:lang w:val="en-GB"/>
        </w:rPr>
        <w:t xml:space="preserve"> mostly done </w:t>
      </w:r>
      <w:r w:rsidR="70F11B3A" w:rsidRPr="5937A937">
        <w:rPr>
          <w:rFonts w:asciiTheme="majorHAnsi" w:hAnsiTheme="majorHAnsi" w:cstheme="majorBidi"/>
          <w:sz w:val="22"/>
          <w:szCs w:val="22"/>
          <w:lang w:val="en-GB"/>
        </w:rPr>
        <w:t xml:space="preserve">as </w:t>
      </w:r>
      <w:r w:rsidR="20D0BC9A" w:rsidRPr="5937A937">
        <w:rPr>
          <w:rFonts w:asciiTheme="majorHAnsi" w:hAnsiTheme="majorHAnsi" w:cstheme="majorBidi"/>
          <w:sz w:val="22"/>
          <w:szCs w:val="22"/>
          <w:lang w:val="en-GB"/>
        </w:rPr>
        <w:t>compressed</w:t>
      </w:r>
      <w:r w:rsidR="534AF0D9" w:rsidRPr="5937A937">
        <w:rPr>
          <w:rFonts w:asciiTheme="majorHAnsi" w:hAnsiTheme="majorHAnsi" w:cstheme="majorBidi"/>
          <w:sz w:val="22"/>
          <w:szCs w:val="22"/>
          <w:lang w:val="en-GB"/>
        </w:rPr>
        <w:t xml:space="preserve"> hydrogen</w:t>
      </w:r>
      <w:r w:rsidR="20D0BC9A" w:rsidRPr="5937A937">
        <w:rPr>
          <w:rFonts w:asciiTheme="majorHAnsi" w:hAnsiTheme="majorHAnsi" w:cstheme="majorBidi"/>
          <w:sz w:val="22"/>
          <w:szCs w:val="22"/>
          <w:lang w:val="en-GB"/>
        </w:rPr>
        <w:t xml:space="preserve"> (250 – 700 bar)</w:t>
      </w:r>
      <w:r w:rsidR="3C3024A0" w:rsidRPr="5937A937">
        <w:rPr>
          <w:rFonts w:asciiTheme="majorHAnsi" w:hAnsiTheme="majorHAnsi" w:cstheme="majorBidi"/>
          <w:sz w:val="22"/>
          <w:szCs w:val="22"/>
          <w:lang w:val="en-GB"/>
        </w:rPr>
        <w:t>,</w:t>
      </w:r>
      <w:r w:rsidR="20D0BC9A" w:rsidRPr="5937A937">
        <w:rPr>
          <w:rFonts w:asciiTheme="majorHAnsi" w:hAnsiTheme="majorHAnsi" w:cstheme="majorBidi"/>
          <w:sz w:val="22"/>
          <w:szCs w:val="22"/>
          <w:lang w:val="en-GB"/>
        </w:rPr>
        <w:t xml:space="preserve"> which requires a considerably input of energy</w:t>
      </w:r>
      <w:r w:rsidR="4F7C05CA" w:rsidRPr="5937A937">
        <w:rPr>
          <w:rFonts w:asciiTheme="majorHAnsi" w:hAnsiTheme="majorHAnsi" w:cstheme="majorBidi"/>
          <w:sz w:val="22"/>
          <w:szCs w:val="22"/>
          <w:lang w:val="en-GB"/>
        </w:rPr>
        <w:t xml:space="preserve">. In addition to pressure, the small molecules of hydrogen also </w:t>
      </w:r>
      <w:r w:rsidR="289B6DBD" w:rsidRPr="5937A937">
        <w:rPr>
          <w:rFonts w:asciiTheme="majorHAnsi" w:hAnsiTheme="majorHAnsi" w:cstheme="majorBidi"/>
          <w:sz w:val="22"/>
          <w:szCs w:val="22"/>
          <w:lang w:val="en-GB"/>
        </w:rPr>
        <w:t xml:space="preserve">pose </w:t>
      </w:r>
      <w:r w:rsidR="4E4695DF" w:rsidRPr="5937A937">
        <w:rPr>
          <w:rFonts w:asciiTheme="majorHAnsi" w:hAnsiTheme="majorHAnsi" w:cstheme="majorBidi"/>
          <w:sz w:val="22"/>
          <w:szCs w:val="22"/>
          <w:lang w:val="en-GB"/>
        </w:rPr>
        <w:t xml:space="preserve">a </w:t>
      </w:r>
      <w:r w:rsidR="04C85485" w:rsidRPr="5937A937">
        <w:rPr>
          <w:rFonts w:asciiTheme="majorHAnsi" w:hAnsiTheme="majorHAnsi" w:cstheme="majorBidi"/>
          <w:sz w:val="22"/>
          <w:szCs w:val="22"/>
          <w:lang w:val="en-GB"/>
        </w:rPr>
        <w:t>challenge</w:t>
      </w:r>
      <w:r w:rsidR="4F7C05CA" w:rsidRPr="5937A937">
        <w:rPr>
          <w:rFonts w:asciiTheme="majorHAnsi" w:hAnsiTheme="majorHAnsi" w:cstheme="majorBidi"/>
          <w:sz w:val="22"/>
          <w:szCs w:val="22"/>
          <w:lang w:val="en-GB"/>
        </w:rPr>
        <w:t xml:space="preserve"> </w:t>
      </w:r>
      <w:r w:rsidR="4A410ACA" w:rsidRPr="5937A937">
        <w:rPr>
          <w:rFonts w:asciiTheme="majorHAnsi" w:hAnsiTheme="majorHAnsi" w:cstheme="majorBidi"/>
          <w:sz w:val="22"/>
          <w:szCs w:val="22"/>
          <w:lang w:val="en-GB"/>
        </w:rPr>
        <w:t>for the</w:t>
      </w:r>
      <w:r w:rsidR="4F7C05CA" w:rsidRPr="5937A937">
        <w:rPr>
          <w:rFonts w:asciiTheme="majorHAnsi" w:hAnsiTheme="majorHAnsi" w:cstheme="majorBidi"/>
          <w:sz w:val="22"/>
          <w:szCs w:val="22"/>
          <w:lang w:val="en-GB"/>
        </w:rPr>
        <w:t xml:space="preserve"> </w:t>
      </w:r>
      <w:r w:rsidR="4A410ACA" w:rsidRPr="5937A937">
        <w:rPr>
          <w:rFonts w:asciiTheme="majorHAnsi" w:hAnsiTheme="majorHAnsi" w:cstheme="majorBidi"/>
          <w:sz w:val="22"/>
          <w:szCs w:val="22"/>
          <w:lang w:val="en-GB"/>
        </w:rPr>
        <w:t xml:space="preserve">design of </w:t>
      </w:r>
      <w:r w:rsidR="55314922" w:rsidRPr="5937A937">
        <w:rPr>
          <w:rFonts w:asciiTheme="majorHAnsi" w:hAnsiTheme="majorHAnsi" w:cstheme="majorBidi"/>
          <w:sz w:val="22"/>
          <w:szCs w:val="22"/>
          <w:lang w:val="en-GB"/>
        </w:rPr>
        <w:t xml:space="preserve">the </w:t>
      </w:r>
      <w:r w:rsidR="4F7C05CA" w:rsidRPr="5937A937">
        <w:rPr>
          <w:rFonts w:asciiTheme="majorHAnsi" w:hAnsiTheme="majorHAnsi" w:cstheme="majorBidi"/>
          <w:sz w:val="22"/>
          <w:szCs w:val="22"/>
          <w:lang w:val="en-GB"/>
        </w:rPr>
        <w:t>storage and transport systems</w:t>
      </w:r>
      <w:r w:rsidR="4E221080" w:rsidRPr="5937A937">
        <w:rPr>
          <w:rFonts w:asciiTheme="majorHAnsi" w:hAnsiTheme="majorHAnsi" w:cstheme="majorBidi"/>
          <w:sz w:val="22"/>
          <w:szCs w:val="22"/>
          <w:lang w:val="en-GB"/>
        </w:rPr>
        <w:t xml:space="preserve">, which is usually translated </w:t>
      </w:r>
      <w:r w:rsidR="6E516FF6" w:rsidRPr="5937A937">
        <w:rPr>
          <w:rFonts w:asciiTheme="majorHAnsi" w:hAnsiTheme="majorHAnsi" w:cstheme="majorBidi"/>
          <w:sz w:val="22"/>
          <w:szCs w:val="22"/>
          <w:lang w:val="en-GB"/>
        </w:rPr>
        <w:t xml:space="preserve">to </w:t>
      </w:r>
      <w:r w:rsidR="4E221080" w:rsidRPr="5937A937">
        <w:rPr>
          <w:rFonts w:asciiTheme="majorHAnsi" w:hAnsiTheme="majorHAnsi" w:cstheme="majorBidi"/>
          <w:sz w:val="22"/>
          <w:szCs w:val="22"/>
          <w:lang w:val="en-GB"/>
        </w:rPr>
        <w:t xml:space="preserve">increased </w:t>
      </w:r>
      <w:r w:rsidR="6E516FF6" w:rsidRPr="5937A937">
        <w:rPr>
          <w:rFonts w:asciiTheme="majorHAnsi" w:hAnsiTheme="majorHAnsi" w:cstheme="majorBidi"/>
          <w:sz w:val="22"/>
          <w:szCs w:val="22"/>
          <w:lang w:val="en-GB"/>
        </w:rPr>
        <w:t>capital expenditures</w:t>
      </w:r>
      <w:r w:rsidR="4F7C05CA" w:rsidRPr="5937A937">
        <w:rPr>
          <w:rFonts w:asciiTheme="majorHAnsi" w:hAnsiTheme="majorHAnsi" w:cstheme="majorBidi"/>
          <w:sz w:val="22"/>
          <w:szCs w:val="22"/>
          <w:lang w:val="en-GB"/>
        </w:rPr>
        <w:t xml:space="preserve">. </w:t>
      </w:r>
      <w:r w:rsidR="0453FC8C" w:rsidRPr="5937A937">
        <w:rPr>
          <w:rFonts w:asciiTheme="majorHAnsi" w:hAnsiTheme="majorHAnsi" w:cstheme="majorBidi"/>
          <w:sz w:val="22"/>
          <w:szCs w:val="22"/>
          <w:lang w:val="en-GB"/>
        </w:rPr>
        <w:t>Three types of hydrogen can be produced, depending on the process pathway. Grey hydrogen is</w:t>
      </w:r>
      <w:r w:rsidR="3DE378EB" w:rsidRPr="5937A937">
        <w:rPr>
          <w:rFonts w:asciiTheme="majorHAnsi" w:hAnsiTheme="majorHAnsi" w:cstheme="majorBidi"/>
          <w:sz w:val="22"/>
          <w:szCs w:val="22"/>
          <w:lang w:val="en-GB"/>
        </w:rPr>
        <w:t xml:space="preserve"> </w:t>
      </w:r>
      <w:r w:rsidR="0453FC8C" w:rsidRPr="5937A937">
        <w:rPr>
          <w:rFonts w:asciiTheme="majorHAnsi" w:hAnsiTheme="majorHAnsi" w:cstheme="majorBidi"/>
          <w:sz w:val="22"/>
          <w:szCs w:val="22"/>
          <w:lang w:val="en-GB"/>
        </w:rPr>
        <w:t>produced</w:t>
      </w:r>
      <w:r w:rsidR="3DE378EB" w:rsidRPr="5937A937">
        <w:rPr>
          <w:rFonts w:asciiTheme="majorHAnsi" w:hAnsiTheme="majorHAnsi" w:cstheme="majorBidi"/>
          <w:sz w:val="22"/>
          <w:szCs w:val="22"/>
          <w:lang w:val="en-GB"/>
        </w:rPr>
        <w:t xml:space="preserve"> </w:t>
      </w:r>
      <w:r w:rsidR="0453FC8C" w:rsidRPr="5937A937">
        <w:rPr>
          <w:rFonts w:asciiTheme="majorHAnsi" w:hAnsiTheme="majorHAnsi" w:cstheme="majorBidi"/>
          <w:sz w:val="22"/>
          <w:szCs w:val="22"/>
          <w:lang w:val="en-GB"/>
        </w:rPr>
        <w:t>via</w:t>
      </w:r>
      <w:r w:rsidR="3DE378EB" w:rsidRPr="5937A937">
        <w:rPr>
          <w:rFonts w:asciiTheme="majorHAnsi" w:hAnsiTheme="majorHAnsi" w:cstheme="majorBidi"/>
          <w:sz w:val="22"/>
          <w:szCs w:val="22"/>
          <w:lang w:val="en-GB"/>
        </w:rPr>
        <w:t xml:space="preserve"> natural gas reforming</w:t>
      </w:r>
      <w:r w:rsidR="11CF52E6" w:rsidRPr="5937A937">
        <w:rPr>
          <w:rFonts w:asciiTheme="majorHAnsi" w:hAnsiTheme="majorHAnsi" w:cstheme="majorBidi"/>
          <w:sz w:val="22"/>
          <w:szCs w:val="22"/>
          <w:lang w:val="en-GB"/>
        </w:rPr>
        <w:t xml:space="preserve">. </w:t>
      </w:r>
      <w:r w:rsidR="3DE378EB" w:rsidRPr="5937A937">
        <w:rPr>
          <w:rFonts w:asciiTheme="majorHAnsi" w:hAnsiTheme="majorHAnsi" w:cstheme="majorBidi"/>
          <w:sz w:val="22"/>
          <w:szCs w:val="22"/>
          <w:lang w:val="en-GB"/>
        </w:rPr>
        <w:t xml:space="preserve"> </w:t>
      </w:r>
      <w:r w:rsidR="0453FC8C" w:rsidRPr="5937A937">
        <w:rPr>
          <w:rFonts w:asciiTheme="majorHAnsi" w:hAnsiTheme="majorHAnsi" w:cstheme="majorBidi"/>
          <w:sz w:val="22"/>
          <w:szCs w:val="22"/>
          <w:lang w:val="en-GB"/>
        </w:rPr>
        <w:t>Blue hydrogen is produced by</w:t>
      </w:r>
      <w:r w:rsidR="3DE378EB" w:rsidRPr="5937A937">
        <w:rPr>
          <w:rFonts w:asciiTheme="majorHAnsi" w:hAnsiTheme="majorHAnsi" w:cstheme="majorBidi"/>
          <w:sz w:val="22"/>
          <w:szCs w:val="22"/>
          <w:lang w:val="en-GB"/>
        </w:rPr>
        <w:t xml:space="preserve"> coupl</w:t>
      </w:r>
      <w:r w:rsidR="0453FC8C" w:rsidRPr="5937A937">
        <w:rPr>
          <w:rFonts w:asciiTheme="majorHAnsi" w:hAnsiTheme="majorHAnsi" w:cstheme="majorBidi"/>
          <w:sz w:val="22"/>
          <w:szCs w:val="22"/>
          <w:lang w:val="en-GB"/>
        </w:rPr>
        <w:t>ing</w:t>
      </w:r>
      <w:r w:rsidR="3DE378EB" w:rsidRPr="5937A937">
        <w:rPr>
          <w:rFonts w:asciiTheme="majorHAnsi" w:hAnsiTheme="majorHAnsi" w:cstheme="majorBidi"/>
          <w:sz w:val="22"/>
          <w:szCs w:val="22"/>
          <w:lang w:val="en-GB"/>
        </w:rPr>
        <w:t xml:space="preserve"> carbon capture and storage (CCS)</w:t>
      </w:r>
      <w:r w:rsidR="70071FCB" w:rsidRPr="5937A937">
        <w:rPr>
          <w:rFonts w:asciiTheme="majorHAnsi" w:hAnsiTheme="majorHAnsi" w:cstheme="majorBidi"/>
          <w:sz w:val="22"/>
          <w:szCs w:val="22"/>
          <w:lang w:val="en-GB"/>
        </w:rPr>
        <w:t xml:space="preserve"> to the production of grey hydrogen</w:t>
      </w:r>
      <w:r w:rsidR="3DE378EB" w:rsidRPr="5937A937">
        <w:rPr>
          <w:rFonts w:asciiTheme="majorHAnsi" w:hAnsiTheme="majorHAnsi" w:cstheme="majorBidi"/>
          <w:sz w:val="22"/>
          <w:szCs w:val="22"/>
          <w:lang w:val="en-GB"/>
        </w:rPr>
        <w:t xml:space="preserve">. </w:t>
      </w:r>
      <w:r w:rsidR="70071FCB" w:rsidRPr="5937A937">
        <w:rPr>
          <w:rFonts w:asciiTheme="majorHAnsi" w:hAnsiTheme="majorHAnsi" w:cstheme="majorBidi"/>
          <w:sz w:val="22"/>
          <w:szCs w:val="22"/>
          <w:lang w:val="en-GB"/>
        </w:rPr>
        <w:t xml:space="preserve">Finally, </w:t>
      </w:r>
      <w:r w:rsidR="3DE378EB" w:rsidRPr="5937A937">
        <w:rPr>
          <w:rFonts w:asciiTheme="majorHAnsi" w:hAnsiTheme="majorHAnsi" w:cstheme="majorBidi"/>
          <w:sz w:val="22"/>
          <w:szCs w:val="22"/>
          <w:lang w:val="en-GB"/>
        </w:rPr>
        <w:t>green hydrogen is produced from renewable feedstock associated with renewable energy, for instance water electrolysis powered with solar electricity.</w:t>
      </w:r>
      <w:r w:rsidR="641856BC" w:rsidRPr="5937A937">
        <w:rPr>
          <w:rFonts w:asciiTheme="majorHAnsi" w:hAnsiTheme="majorHAnsi" w:cstheme="majorBidi"/>
          <w:sz w:val="22"/>
          <w:szCs w:val="22"/>
          <w:lang w:val="en-GB"/>
        </w:rPr>
        <w:t xml:space="preserve"> Hydrogen is, therefore, the alternative fuel which has the largest range on profile emissions.</w:t>
      </w:r>
      <w:r w:rsidR="3DE378EB" w:rsidRPr="5937A937">
        <w:rPr>
          <w:rFonts w:asciiTheme="majorHAnsi" w:hAnsiTheme="majorHAnsi" w:cstheme="majorBidi"/>
          <w:sz w:val="22"/>
          <w:szCs w:val="22"/>
          <w:lang w:val="en-GB"/>
        </w:rPr>
        <w:t xml:space="preserve"> </w:t>
      </w:r>
    </w:p>
    <w:p w14:paraId="2E92A715" w14:textId="4D74D9E3" w:rsidR="00D77FA1" w:rsidRPr="000D7D19" w:rsidRDefault="3A614F21"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b/>
          <w:bCs/>
          <w:sz w:val="22"/>
          <w:szCs w:val="22"/>
          <w:lang w:val="en-GB"/>
        </w:rPr>
        <w:t>Methanol</w:t>
      </w:r>
      <w:r w:rsidR="6F283FD5" w:rsidRPr="5937A937">
        <w:rPr>
          <w:rFonts w:asciiTheme="majorHAnsi" w:hAnsiTheme="majorHAnsi" w:cstheme="majorBidi"/>
          <w:b/>
          <w:bCs/>
          <w:sz w:val="22"/>
          <w:szCs w:val="22"/>
          <w:lang w:val="en-GB"/>
        </w:rPr>
        <w:t xml:space="preserve"> </w:t>
      </w:r>
      <w:r w:rsidR="6F283FD5" w:rsidRPr="5937A937">
        <w:rPr>
          <w:rFonts w:asciiTheme="majorHAnsi" w:hAnsiTheme="majorHAnsi" w:cstheme="majorBidi"/>
          <w:sz w:val="22"/>
          <w:szCs w:val="22"/>
          <w:lang w:val="en-GB"/>
        </w:rPr>
        <w:t xml:space="preserve">is </w:t>
      </w:r>
      <w:r w:rsidR="384E4D5C" w:rsidRPr="5937A937">
        <w:rPr>
          <w:rFonts w:asciiTheme="majorHAnsi" w:hAnsiTheme="majorHAnsi" w:cstheme="majorBidi"/>
          <w:sz w:val="22"/>
          <w:szCs w:val="22"/>
          <w:lang w:val="en-GB"/>
        </w:rPr>
        <w:t xml:space="preserve">an </w:t>
      </w:r>
      <w:r w:rsidR="6F283FD5" w:rsidRPr="5937A937">
        <w:rPr>
          <w:rFonts w:asciiTheme="majorHAnsi" w:hAnsiTheme="majorHAnsi" w:cstheme="majorBidi"/>
          <w:sz w:val="22"/>
          <w:szCs w:val="22"/>
          <w:lang w:val="en-GB"/>
        </w:rPr>
        <w:t>alcohol with the lowest carbon/ hydrogen proportion among all liquid fuels. It is liquid at ambient temperatures</w:t>
      </w:r>
      <w:r w:rsidR="5787BC13" w:rsidRPr="5937A937">
        <w:rPr>
          <w:rFonts w:asciiTheme="majorHAnsi" w:hAnsiTheme="majorHAnsi" w:cstheme="majorBidi"/>
          <w:sz w:val="22"/>
          <w:szCs w:val="22"/>
          <w:lang w:val="en-GB"/>
        </w:rPr>
        <w:t>; which facilitates its</w:t>
      </w:r>
      <w:r w:rsidR="6F283FD5" w:rsidRPr="5937A937">
        <w:rPr>
          <w:rFonts w:asciiTheme="majorHAnsi" w:hAnsiTheme="majorHAnsi" w:cstheme="majorBidi"/>
          <w:sz w:val="22"/>
          <w:szCs w:val="22"/>
          <w:lang w:val="en-GB"/>
        </w:rPr>
        <w:t xml:space="preserve"> stor</w:t>
      </w:r>
      <w:r w:rsidR="5787BC13" w:rsidRPr="5937A937">
        <w:rPr>
          <w:rFonts w:asciiTheme="majorHAnsi" w:hAnsiTheme="majorHAnsi" w:cstheme="majorBidi"/>
          <w:sz w:val="22"/>
          <w:szCs w:val="22"/>
          <w:lang w:val="en-GB"/>
        </w:rPr>
        <w:t>age</w:t>
      </w:r>
      <w:r w:rsidR="6F283FD5" w:rsidRPr="5937A937">
        <w:rPr>
          <w:rFonts w:asciiTheme="majorHAnsi" w:hAnsiTheme="majorHAnsi" w:cstheme="majorBidi"/>
          <w:sz w:val="22"/>
          <w:szCs w:val="22"/>
          <w:lang w:val="en-GB"/>
        </w:rPr>
        <w:t xml:space="preserve"> and </w:t>
      </w:r>
      <w:r w:rsidR="21211895" w:rsidRPr="5937A937">
        <w:rPr>
          <w:rFonts w:asciiTheme="majorHAnsi" w:hAnsiTheme="majorHAnsi" w:cstheme="majorBidi"/>
          <w:sz w:val="22"/>
          <w:szCs w:val="22"/>
          <w:lang w:val="en-GB"/>
        </w:rPr>
        <w:t>transportation</w:t>
      </w:r>
      <w:r w:rsidR="6F283FD5" w:rsidRPr="5937A937">
        <w:rPr>
          <w:rFonts w:asciiTheme="majorHAnsi" w:hAnsiTheme="majorHAnsi" w:cstheme="majorBidi"/>
          <w:sz w:val="22"/>
          <w:szCs w:val="22"/>
          <w:lang w:val="en-GB"/>
        </w:rPr>
        <w:t xml:space="preserve"> in comparison with the gas</w:t>
      </w:r>
      <w:r w:rsidR="308600ED" w:rsidRPr="5937A937">
        <w:rPr>
          <w:rFonts w:asciiTheme="majorHAnsi" w:hAnsiTheme="majorHAnsi" w:cstheme="majorBidi"/>
          <w:sz w:val="22"/>
          <w:szCs w:val="22"/>
          <w:lang w:val="en-GB"/>
        </w:rPr>
        <w:t>eous</w:t>
      </w:r>
      <w:r w:rsidR="6F283FD5" w:rsidRPr="5937A937">
        <w:rPr>
          <w:rFonts w:asciiTheme="majorHAnsi" w:hAnsiTheme="majorHAnsi" w:cstheme="majorBidi"/>
          <w:sz w:val="22"/>
          <w:szCs w:val="22"/>
          <w:lang w:val="en-GB"/>
        </w:rPr>
        <w:t xml:space="preserve"> alternatives. Nevertheless, it has a lower energetic content and, therefore, require</w:t>
      </w:r>
      <w:r w:rsidR="1B3F6174" w:rsidRPr="5937A937">
        <w:rPr>
          <w:rFonts w:asciiTheme="majorHAnsi" w:hAnsiTheme="majorHAnsi" w:cstheme="majorBidi"/>
          <w:sz w:val="22"/>
          <w:szCs w:val="22"/>
          <w:lang w:val="en-GB"/>
        </w:rPr>
        <w:t>s</w:t>
      </w:r>
      <w:r w:rsidR="6F283FD5" w:rsidRPr="5937A937">
        <w:rPr>
          <w:rFonts w:asciiTheme="majorHAnsi" w:hAnsiTheme="majorHAnsi" w:cstheme="majorBidi"/>
          <w:sz w:val="22"/>
          <w:szCs w:val="22"/>
          <w:lang w:val="en-GB"/>
        </w:rPr>
        <w:t xml:space="preserve"> larger fuel tanks to keep the same autonomy in comparison to regular liquid fossil fuels.</w:t>
      </w:r>
      <w:r w:rsidR="4A507EEE" w:rsidRPr="5937A937">
        <w:rPr>
          <w:rFonts w:asciiTheme="majorHAnsi" w:hAnsiTheme="majorHAnsi" w:cstheme="majorBidi"/>
          <w:sz w:val="22"/>
          <w:szCs w:val="22"/>
          <w:lang w:val="en-GB"/>
        </w:rPr>
        <w:t xml:space="preserve"> The </w:t>
      </w:r>
      <w:r w:rsidR="05EFC854" w:rsidRPr="5937A937">
        <w:rPr>
          <w:rFonts w:asciiTheme="majorHAnsi" w:hAnsiTheme="majorHAnsi" w:cstheme="majorBidi"/>
          <w:sz w:val="22"/>
          <w:szCs w:val="22"/>
          <w:lang w:val="en-GB"/>
        </w:rPr>
        <w:t xml:space="preserve">typical reduction in </w:t>
      </w:r>
      <w:r w:rsidR="4A507EEE" w:rsidRPr="5937A937">
        <w:rPr>
          <w:rFonts w:asciiTheme="majorHAnsi" w:hAnsiTheme="majorHAnsi" w:cstheme="majorBidi"/>
          <w:sz w:val="22"/>
          <w:szCs w:val="22"/>
          <w:lang w:val="en-GB"/>
        </w:rPr>
        <w:t xml:space="preserve">engine emissions </w:t>
      </w:r>
      <w:r w:rsidR="3CD030F3" w:rsidRPr="5937A937">
        <w:rPr>
          <w:rFonts w:asciiTheme="majorHAnsi" w:hAnsiTheme="majorHAnsi" w:cstheme="majorBidi"/>
          <w:sz w:val="22"/>
          <w:szCs w:val="22"/>
          <w:lang w:val="en-GB"/>
        </w:rPr>
        <w:t>is</w:t>
      </w:r>
      <w:r w:rsidR="4A507EEE" w:rsidRPr="5937A937">
        <w:rPr>
          <w:rFonts w:asciiTheme="majorHAnsi" w:hAnsiTheme="majorHAnsi" w:cstheme="majorBidi"/>
          <w:sz w:val="22"/>
          <w:szCs w:val="22"/>
          <w:lang w:val="en-GB"/>
        </w:rPr>
        <w:t xml:space="preserve"> </w:t>
      </w:r>
      <w:r w:rsidR="05EFC854" w:rsidRPr="5937A937">
        <w:rPr>
          <w:rFonts w:asciiTheme="majorHAnsi" w:hAnsiTheme="majorHAnsi" w:cstheme="majorBidi"/>
          <w:sz w:val="22"/>
          <w:szCs w:val="22"/>
          <w:lang w:val="en-GB"/>
        </w:rPr>
        <w:t>99 % for SO</w:t>
      </w:r>
      <w:r w:rsidR="05EFC854" w:rsidRPr="00EF56D6">
        <w:rPr>
          <w:rFonts w:asciiTheme="majorHAnsi" w:hAnsiTheme="majorHAnsi" w:cstheme="majorBidi"/>
          <w:sz w:val="22"/>
          <w:szCs w:val="22"/>
          <w:vertAlign w:val="subscript"/>
          <w:lang w:val="en-GB"/>
        </w:rPr>
        <w:t>x</w:t>
      </w:r>
      <w:r w:rsidR="05EFC854" w:rsidRPr="5937A937">
        <w:rPr>
          <w:rFonts w:asciiTheme="majorHAnsi" w:hAnsiTheme="majorHAnsi" w:cstheme="majorBidi"/>
          <w:sz w:val="22"/>
          <w:szCs w:val="22"/>
          <w:lang w:val="en-GB"/>
        </w:rPr>
        <w:t>, 60 % NO</w:t>
      </w:r>
      <w:r w:rsidR="05EFC854" w:rsidRPr="00EF56D6">
        <w:rPr>
          <w:rFonts w:asciiTheme="majorHAnsi" w:hAnsiTheme="majorHAnsi" w:cstheme="majorBidi"/>
          <w:sz w:val="22"/>
          <w:szCs w:val="22"/>
          <w:vertAlign w:val="subscript"/>
          <w:lang w:val="en-GB"/>
        </w:rPr>
        <w:t>x</w:t>
      </w:r>
      <w:r w:rsidR="05EFC854" w:rsidRPr="5937A937">
        <w:rPr>
          <w:rFonts w:asciiTheme="majorHAnsi" w:hAnsiTheme="majorHAnsi" w:cstheme="majorBidi"/>
          <w:sz w:val="22"/>
          <w:szCs w:val="22"/>
          <w:lang w:val="en-GB"/>
        </w:rPr>
        <w:t xml:space="preserve">, 95 % </w:t>
      </w:r>
      <w:r w:rsidR="56E64B07" w:rsidRPr="5937A937">
        <w:rPr>
          <w:rFonts w:asciiTheme="majorHAnsi" w:hAnsiTheme="majorHAnsi" w:cstheme="majorBidi"/>
          <w:sz w:val="22"/>
          <w:szCs w:val="22"/>
          <w:lang w:val="en-GB"/>
        </w:rPr>
        <w:t>PMs</w:t>
      </w:r>
      <w:r w:rsidR="05EFC854" w:rsidRPr="5937A937">
        <w:rPr>
          <w:rFonts w:asciiTheme="majorHAnsi" w:hAnsiTheme="majorHAnsi" w:cstheme="majorBidi"/>
          <w:sz w:val="22"/>
          <w:szCs w:val="22"/>
          <w:lang w:val="en-GB"/>
        </w:rPr>
        <w:t xml:space="preserve"> and 25 % CO</w:t>
      </w:r>
      <w:r w:rsidR="05EFC854" w:rsidRPr="00EF56D6">
        <w:rPr>
          <w:rFonts w:asciiTheme="majorHAnsi" w:hAnsiTheme="majorHAnsi" w:cstheme="majorBidi"/>
          <w:sz w:val="22"/>
          <w:szCs w:val="22"/>
          <w:vertAlign w:val="subscript"/>
          <w:lang w:val="en-GB"/>
        </w:rPr>
        <w:t>x</w:t>
      </w:r>
      <w:r w:rsidR="05EFC854"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21211895" w:rsidRPr="5937A937">
        <w:rPr>
          <w:rFonts w:asciiTheme="majorHAnsi" w:hAnsiTheme="majorHAnsi" w:cstheme="majorBidi"/>
          <w:noProof/>
          <w:sz w:val="22"/>
          <w:szCs w:val="22"/>
          <w:lang w:val="en-GB"/>
        </w:rPr>
        <w:t>(Balcombe et al., 2019)</w:t>
      </w:r>
      <w:r w:rsidR="00D0363C" w:rsidRPr="5937A937">
        <w:rPr>
          <w:rFonts w:asciiTheme="majorHAnsi" w:hAnsiTheme="majorHAnsi" w:cstheme="majorBidi"/>
          <w:sz w:val="22"/>
          <w:szCs w:val="22"/>
          <w:lang w:val="en-GB"/>
        </w:rPr>
        <w:fldChar w:fldCharType="end"/>
      </w:r>
      <w:r w:rsidR="05EFC854" w:rsidRPr="5937A937">
        <w:rPr>
          <w:rFonts w:asciiTheme="majorHAnsi" w:hAnsiTheme="majorHAnsi" w:cstheme="majorBidi"/>
          <w:sz w:val="22"/>
          <w:szCs w:val="22"/>
          <w:lang w:val="en-GB"/>
        </w:rPr>
        <w:t xml:space="preserve">. </w:t>
      </w:r>
      <w:r w:rsidR="4A507EEE" w:rsidRPr="5937A937">
        <w:rPr>
          <w:rFonts w:asciiTheme="majorHAnsi" w:hAnsiTheme="majorHAnsi" w:cstheme="majorBidi"/>
          <w:sz w:val="22"/>
          <w:szCs w:val="22"/>
          <w:lang w:val="en-GB"/>
        </w:rPr>
        <w:t xml:space="preserve">Methanol can be operated in a range of combustion engines, e.g, 2 and 4 strokes and Otto. </w:t>
      </w:r>
      <w:r w:rsidR="05EFC854" w:rsidRPr="5937A937">
        <w:rPr>
          <w:rFonts w:asciiTheme="majorHAnsi" w:hAnsiTheme="majorHAnsi" w:cstheme="majorBidi"/>
          <w:sz w:val="22"/>
          <w:szCs w:val="22"/>
          <w:lang w:val="en-GB"/>
        </w:rPr>
        <w:t>In</w:t>
      </w:r>
      <w:r w:rsidR="4A507EEE" w:rsidRPr="5937A937">
        <w:rPr>
          <w:rFonts w:asciiTheme="majorHAnsi" w:hAnsiTheme="majorHAnsi" w:cstheme="majorBidi"/>
          <w:sz w:val="22"/>
          <w:szCs w:val="22"/>
          <w:lang w:val="en-GB"/>
        </w:rPr>
        <w:t xml:space="preserve"> dual fuel engines methanol-air mixture is compressed and ignited by a diesel injection, or it is injected in </w:t>
      </w:r>
      <w:r w:rsidR="6024233E" w:rsidRPr="5937A937">
        <w:rPr>
          <w:rFonts w:asciiTheme="majorHAnsi" w:hAnsiTheme="majorHAnsi" w:cstheme="majorBidi"/>
          <w:sz w:val="22"/>
          <w:szCs w:val="22"/>
          <w:lang w:val="en-GB"/>
        </w:rPr>
        <w:t xml:space="preserve">a </w:t>
      </w:r>
      <w:r w:rsidR="4A507EEE" w:rsidRPr="5937A937">
        <w:rPr>
          <w:rFonts w:asciiTheme="majorHAnsi" w:hAnsiTheme="majorHAnsi" w:cstheme="majorBidi"/>
          <w:sz w:val="22"/>
          <w:szCs w:val="22"/>
          <w:lang w:val="en-GB"/>
        </w:rPr>
        <w:t>diesel</w:t>
      </w:r>
      <w:r w:rsidR="6F8E54D3" w:rsidRPr="5937A937">
        <w:rPr>
          <w:rFonts w:asciiTheme="majorHAnsi" w:hAnsiTheme="majorHAnsi" w:cstheme="majorBidi"/>
          <w:sz w:val="22"/>
          <w:szCs w:val="22"/>
          <w:lang w:val="en-GB"/>
        </w:rPr>
        <w:t xml:space="preserve"> pilot</w:t>
      </w:r>
      <w:r w:rsidR="4A507EEE" w:rsidRPr="5937A937">
        <w:rPr>
          <w:rFonts w:asciiTheme="majorHAnsi" w:hAnsiTheme="majorHAnsi" w:cstheme="majorBidi"/>
          <w:sz w:val="22"/>
          <w:szCs w:val="22"/>
          <w:lang w:val="en-GB"/>
        </w:rPr>
        <w:t>, similarly to gas-diesel system</w:t>
      </w:r>
      <w:r w:rsidR="28E12C3A"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{"citationItems":[{"id":"ITEM-1","itemData":{"DOI":"10.1016/j.jclepro.2014.03.052","ISSN":"09596526","abstract":"The combined effort of reducing the emissions of sulphur dioxide, nitrogen oxides and greenhouse gases to comply with future regulations and reduce impact on climate change will require a significant change in ship propulsion. One alternative is to change fuels. In this study we compare the life cycle environmental performance of liquefied natural gas (LNG), liquefied biogas (LBG), methanol and bio-methanol. We also highlight a number of important aspects to consider when selecting marine fuels. A transition to use of LNG or methanol produced from natural gas would significantly improve the overall environmental performance. However, the impact on climate change is of the same order of magnitude as with use of heavy fuel oil. It is only the use of LBG and bio-methanol that has the potential to reduce the climate impact. The analysis did not show any significant differences in environmental performance between methane and methanol when produced from the same raw materials, but the performance of the methanol engines are yet to be validated. © 2014 Elsevier Ltd. All rights reserved.","author":[{"dropping-particle":"","family":"Brynolf","given":"Selma","non-dropping-particle":"","parse-names":false,"suffix":""},{"dropping-particle":"","family":"Fridell","given":"Erik","non-dropping-particle":"","parse-names":false,"suffix":""},{"dropping-particle":"","family":"Andersson","given":"Karin","non-dropping-particle":"","parse-names":false,"suffix":""}],"container-title":"Journal of Cleaner Production","id":"ITEM-1","issue":"X","issued":{"date-parts":[["2014"]]},"page":"86-95","title":"Environmental assessment of marine fuels: Liquefied natural gas, liquefied biogas, methanol and bio-methanol","type":"article-journal","volume":"74"},"uris":["http://www.mendeley.com/documents/?uuid=4b4b5665-fff8-4dd6-a44a-12c90be3c561"]}],"mendeley":{"formattedCitation":"(Brynolf et al., 2014)","plainTextFormattedCitation":"(Brynolf et al., 2014)","previouslyFormattedCitation":"(Brynolf et al., 2014)"},"properties":{"noteIndex":0},"schema":"https://github.com/citation-style-language/schema/raw/master/csl-citation.json"}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28E12C3A" w:rsidRPr="5937A937">
        <w:rPr>
          <w:rFonts w:asciiTheme="majorHAnsi" w:hAnsiTheme="majorHAnsi" w:cstheme="majorBidi"/>
          <w:noProof/>
          <w:sz w:val="22"/>
          <w:szCs w:val="22"/>
          <w:lang w:val="en-GB"/>
        </w:rPr>
        <w:t xml:space="preserve">(Brynolf et al., </w:t>
      </w:r>
      <w:r w:rsidR="28E12C3A" w:rsidRPr="5937A937">
        <w:rPr>
          <w:rFonts w:asciiTheme="majorHAnsi" w:hAnsiTheme="majorHAnsi" w:cstheme="majorBidi"/>
          <w:noProof/>
          <w:sz w:val="22"/>
          <w:szCs w:val="22"/>
          <w:lang w:val="en-GB"/>
        </w:rPr>
        <w:lastRenderedPageBreak/>
        <w:t>2014)</w:t>
      </w:r>
      <w:r w:rsidR="00D0363C" w:rsidRPr="5937A937">
        <w:rPr>
          <w:rFonts w:asciiTheme="majorHAnsi" w:hAnsiTheme="majorHAnsi" w:cstheme="majorBidi"/>
          <w:sz w:val="22"/>
          <w:szCs w:val="22"/>
          <w:lang w:val="en-GB"/>
        </w:rPr>
        <w:fldChar w:fldCharType="end"/>
      </w:r>
      <w:r w:rsidR="4A507EEE" w:rsidRPr="5937A937">
        <w:rPr>
          <w:rFonts w:asciiTheme="majorHAnsi" w:hAnsiTheme="majorHAnsi" w:cstheme="majorBidi"/>
          <w:sz w:val="22"/>
          <w:szCs w:val="22"/>
          <w:lang w:val="en-GB"/>
        </w:rPr>
        <w:t>.</w:t>
      </w:r>
      <w:r w:rsidR="0B3846CE" w:rsidRPr="5937A937">
        <w:rPr>
          <w:rFonts w:asciiTheme="majorHAnsi" w:hAnsiTheme="majorHAnsi" w:cstheme="majorBidi"/>
          <w:sz w:val="22"/>
          <w:szCs w:val="22"/>
          <w:lang w:val="en-GB"/>
        </w:rPr>
        <w:t xml:space="preserve"> Methanol can also be used in fuel cells engines, but technology is </w:t>
      </w:r>
      <w:r w:rsidR="35411192" w:rsidRPr="5937A937">
        <w:rPr>
          <w:rFonts w:asciiTheme="majorHAnsi" w:hAnsiTheme="majorHAnsi" w:cstheme="majorBidi"/>
          <w:sz w:val="22"/>
          <w:szCs w:val="22"/>
          <w:lang w:val="en-GB"/>
        </w:rPr>
        <w:t xml:space="preserve">still </w:t>
      </w:r>
      <w:r w:rsidR="0B3846CE" w:rsidRPr="5937A937">
        <w:rPr>
          <w:rFonts w:asciiTheme="majorHAnsi" w:hAnsiTheme="majorHAnsi" w:cstheme="majorBidi"/>
          <w:sz w:val="22"/>
          <w:szCs w:val="22"/>
          <w:lang w:val="en-GB"/>
        </w:rPr>
        <w:t>immature.</w:t>
      </w:r>
      <w:r w:rsidR="05EFC854" w:rsidRPr="5937A937">
        <w:rPr>
          <w:rFonts w:asciiTheme="majorHAnsi" w:hAnsiTheme="majorHAnsi" w:cstheme="majorBidi"/>
          <w:sz w:val="22"/>
          <w:szCs w:val="22"/>
          <w:lang w:val="en-GB"/>
        </w:rPr>
        <w:t xml:space="preserve"> The global market for methanol is about </w:t>
      </w:r>
      <w:r w:rsidR="35DB8914" w:rsidRPr="5937A937">
        <w:rPr>
          <w:rFonts w:asciiTheme="majorHAnsi" w:hAnsiTheme="majorHAnsi" w:cstheme="majorBidi"/>
          <w:sz w:val="22"/>
          <w:szCs w:val="22"/>
          <w:lang w:val="en-GB"/>
        </w:rPr>
        <w:t>100 million tons</w:t>
      </w:r>
      <w:r w:rsidR="0B3846CE" w:rsidRPr="5937A937">
        <w:rPr>
          <w:rFonts w:asciiTheme="majorHAnsi" w:hAnsiTheme="majorHAnsi" w:cstheme="majorBidi"/>
          <w:sz w:val="22"/>
          <w:szCs w:val="22"/>
          <w:lang w:val="en-GB"/>
        </w:rPr>
        <w:t>,</w:t>
      </w:r>
      <w:r w:rsidR="35DB8914" w:rsidRPr="5937A937">
        <w:rPr>
          <w:rFonts w:asciiTheme="majorHAnsi" w:hAnsiTheme="majorHAnsi" w:cstheme="majorBidi"/>
          <w:sz w:val="22"/>
          <w:szCs w:val="22"/>
          <w:lang w:val="en-GB"/>
        </w:rPr>
        <w:t xml:space="preserve"> </w:t>
      </w:r>
      <w:r w:rsidR="783BE2F4" w:rsidRPr="5937A937">
        <w:rPr>
          <w:rFonts w:asciiTheme="majorHAnsi" w:hAnsiTheme="majorHAnsi" w:cstheme="majorBidi"/>
          <w:sz w:val="22"/>
          <w:szCs w:val="22"/>
          <w:lang w:val="en-GB"/>
        </w:rPr>
        <w:t>primarily</w:t>
      </w:r>
      <w:r w:rsidR="35DB8914" w:rsidRPr="5937A937">
        <w:rPr>
          <w:rFonts w:asciiTheme="majorHAnsi" w:hAnsiTheme="majorHAnsi" w:cstheme="majorBidi"/>
          <w:sz w:val="22"/>
          <w:szCs w:val="22"/>
          <w:lang w:val="en-GB"/>
        </w:rPr>
        <w:t xml:space="preserve"> for chemical applications, placing it as one of the top five chemicals commodities</w:t>
      </w:r>
      <w:r w:rsidR="64AD3CF4"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{"citationItems":[{"id":"ITEM-1","itemData":{"DOI":"10.1595/205651320x15924055217177","ISBN":"205651320X","ISSN":"20565135","abstract":"One of the more evocative cases of disruptive innovation is how steam powered vessels displaced sailing ships in the 19th century. Independent of wind and currents, shipping entered a new age. Faster shipping enabled more efficient trading and easier international travel. It fuelled economic growth and wealth creation. This transition was not rapid, taking half a century to evolve, a period in which hybrid vessels, those using sails and steam generated power were a common sight. The age of steam brought a period of change which affected many aspects of shipping, not only its appearance and practices but also its environmental impact. It facilitated further disruption and the emergence of what has become the industry standard for a ‘prime mover’: the diesel engine. Achieving the decarbonisation of the shipping fleet as soon as possible this century will be one of the most significant disruptions the shipping sector has had to manage. Meaningful change by 2050 requires strategic development and decisive action today, made all the more complicated by the immediate demands that the sector manages both the current and longer term impact that the COVID-19 pandemic will have on the shipping industry. This paper looks briefly at the transition from wind power to carbon based fuel power to gain insight into how the shipping sector manages disruptive change. It also reviews some technology options the shipping sector could adopt to reduce its environmental impact to meet a timetable of international requirements on ship emissions limits. The paper will focus on how the engine room might evolve with changes in: (i) energy conversion, how power is generated on board, i.e. the engine; and (ii) energy storage, i.e. choice of fuel.","author":[{"dropping-particle":"","family":"McCarney","given":"Joseph","non-dropping-particle":"","parse-names":false,"suffix":""}],"container-title":"Johnson Matthey Technology Review","id":"ITEM-1","issue":"3","issued":{"date-parts":[["2020"]]},"page":"374-392","title":"Evolution in the engine room: A review of technologies to deliver decarbonised, sustainable shipping technology options for the shipping sector to meet international ship emissions limits","type":"article-journal","volume":"64"},"uris":["http://www.mendeley.com/documents/?uuid=991342a3-a5df-4350-b415-07d18be0eb4c"]}],"mendeley":{"formattedCitation":"(McCarney, 2020)","plainTextFormattedCitation":"(McCarney, 2020)","previouslyFormattedCitation":"(McCarney, 2020)"},"properties":{"noteIndex":0},"schema":"https://github.com/citation-style-language/schema/raw/master/csl-citation.json"}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64AD3CF4" w:rsidRPr="5937A937">
        <w:rPr>
          <w:rFonts w:asciiTheme="majorHAnsi" w:hAnsiTheme="majorHAnsi" w:cstheme="majorBidi"/>
          <w:noProof/>
          <w:sz w:val="22"/>
          <w:szCs w:val="22"/>
          <w:lang w:val="en-GB"/>
        </w:rPr>
        <w:t>(McCarney, 2020)</w:t>
      </w:r>
      <w:r w:rsidR="00D0363C" w:rsidRPr="5937A937">
        <w:rPr>
          <w:rFonts w:asciiTheme="majorHAnsi" w:hAnsiTheme="majorHAnsi" w:cstheme="majorBidi"/>
          <w:sz w:val="22"/>
          <w:szCs w:val="22"/>
          <w:lang w:val="en-GB"/>
        </w:rPr>
        <w:fldChar w:fldCharType="end"/>
      </w:r>
      <w:r w:rsidR="35DB8914" w:rsidRPr="5937A937">
        <w:rPr>
          <w:rFonts w:asciiTheme="majorHAnsi" w:hAnsiTheme="majorHAnsi" w:cstheme="majorBidi"/>
          <w:sz w:val="22"/>
          <w:szCs w:val="22"/>
          <w:lang w:val="en-GB"/>
        </w:rPr>
        <w:t xml:space="preserve">. The structure and knowledge already in place </w:t>
      </w:r>
      <w:r w:rsidR="0B3846CE" w:rsidRPr="5937A937">
        <w:rPr>
          <w:rFonts w:asciiTheme="majorHAnsi" w:hAnsiTheme="majorHAnsi" w:cstheme="majorBidi"/>
          <w:sz w:val="22"/>
          <w:szCs w:val="22"/>
          <w:lang w:val="en-GB"/>
        </w:rPr>
        <w:t>could benefit its eventual use in the transport sector.</w:t>
      </w:r>
      <w:r w:rsidR="35DB8914" w:rsidRPr="5937A937">
        <w:rPr>
          <w:rFonts w:asciiTheme="majorHAnsi" w:hAnsiTheme="majorHAnsi" w:cstheme="majorBidi"/>
          <w:sz w:val="22"/>
          <w:szCs w:val="22"/>
          <w:lang w:val="en-GB"/>
        </w:rPr>
        <w:t xml:space="preserve"> </w:t>
      </w:r>
      <w:r w:rsidR="05EFC854" w:rsidRPr="5937A937">
        <w:rPr>
          <w:rFonts w:asciiTheme="majorHAnsi" w:hAnsiTheme="majorHAnsi" w:cstheme="majorBidi"/>
          <w:sz w:val="22"/>
          <w:szCs w:val="22"/>
          <w:lang w:val="en-GB"/>
        </w:rPr>
        <w:t>Comparably to the other alternative fuels, the production background of methanol has a significant impact on its total emissions.</w:t>
      </w:r>
      <w:r w:rsidR="783BE2F4" w:rsidRPr="5937A937">
        <w:rPr>
          <w:rFonts w:asciiTheme="majorHAnsi" w:hAnsiTheme="majorHAnsi" w:cstheme="majorBidi"/>
          <w:sz w:val="22"/>
          <w:szCs w:val="22"/>
          <w:lang w:val="en-GB"/>
        </w:rPr>
        <w:t xml:space="preserve"> </w:t>
      </w:r>
      <w:r w:rsidR="4A80B090" w:rsidRPr="5937A937">
        <w:rPr>
          <w:rFonts w:asciiTheme="majorHAnsi" w:hAnsiTheme="majorHAnsi" w:cstheme="majorBidi"/>
          <w:sz w:val="22"/>
          <w:szCs w:val="22"/>
          <w:lang w:val="en-GB"/>
        </w:rPr>
        <w:t xml:space="preserve">It can be produced from many sources, for instance, natural gas reforming, </w:t>
      </w:r>
      <w:r w:rsidR="0BACE6A1" w:rsidRPr="5937A937">
        <w:rPr>
          <w:rFonts w:asciiTheme="majorHAnsi" w:hAnsiTheme="majorHAnsi" w:cstheme="majorBidi"/>
          <w:sz w:val="22"/>
          <w:szCs w:val="22"/>
          <w:lang w:val="en-GB"/>
        </w:rPr>
        <w:t>catalytic hydrogenation of CO</w:t>
      </w:r>
      <w:r w:rsidR="0BACE6A1" w:rsidRPr="5937A937">
        <w:rPr>
          <w:rFonts w:asciiTheme="majorHAnsi" w:hAnsiTheme="majorHAnsi" w:cstheme="majorBidi"/>
          <w:sz w:val="22"/>
          <w:szCs w:val="22"/>
          <w:vertAlign w:val="subscript"/>
          <w:lang w:val="en-GB"/>
        </w:rPr>
        <w:t>2</w:t>
      </w:r>
      <w:r w:rsidR="0BACE6A1" w:rsidRPr="5937A937">
        <w:rPr>
          <w:rFonts w:asciiTheme="majorHAnsi" w:hAnsiTheme="majorHAnsi" w:cstheme="majorBidi"/>
          <w:sz w:val="22"/>
          <w:szCs w:val="22"/>
          <w:lang w:val="en-GB"/>
        </w:rPr>
        <w:t xml:space="preserve"> waste streams or from biomass </w:t>
      </w:r>
      <w:r w:rsidR="2A37D4F1" w:rsidRPr="5937A937">
        <w:rPr>
          <w:rFonts w:asciiTheme="majorHAnsi" w:hAnsiTheme="majorHAnsi" w:cstheme="majorBidi"/>
          <w:sz w:val="22"/>
          <w:szCs w:val="22"/>
          <w:lang w:val="en-GB"/>
        </w:rPr>
        <w:t xml:space="preserve">feedstock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policies","type":"article-journal","volume":"182"},"uris":["http://www.mendeley.com/documents/?uuid=96546af7-7da1-41da-8ebe-86d293776d81"]},{"id":"ITEM-2","itemData":{"DOI":"10.1016/j.jclepro.2014.03.052","ISSN":"09596526","abstract":"The combined effort of reducing the emissions of sulphur dioxide, nitrogen oxides and greenhouse gases to comply with future regulations and reduce impact on climate change will require a significant change in ship propulsion. One alternative is to change fuels. In this study we compare the life cycle environmental performance of liquefied natural gas (LNG), liquefied biogas (LBG), methanol and bio-methanol. We also highlight a number of important aspects to consider when selecting marine fuels. A transition to use of LNG or methanol produced from natural gas would significantly improve the overall environmental performance. However, the impact on climate change is of the same order of magnitude as with use of heavy fuel oil. It is only the use of LBG and bio-methanol that has the potential to reduce the climate impact. The analysis did not show any significant differences in environmental performance between methane and methanol when produced from the same raw materials, but the performance of the methanol engines are yet to be validated. © 2014 Elsevier Ltd. All rights reserved.","author":[{"dropping-particle":"","family":"Brynolf","given":"Selma","non-dropping-particle":"","parse-names":false,"suffix":""},{"dropping-particle":"","family":"Fridell","given":"Erik","non-dropping-particle":"","parse-names":false,"suffix":""},{"dropping-particle":"","family":"Andersson","given":"Karin","non-dropping-particle":"","parse-names":false,"suffix":""}],"container-title":"Journal of Cleaner Production","id":"ITEM-2","issue":"X","issued":{"date-parts":[["2014"]]},"page":"86-95","title":"Environmental assessment of marine fuels: Liquefied natural gas, liquefied biogas, methanol and bio-methanol","type":"article-journal","volume":"74"},"uris":["http://www.mendeley.com/documents/?uuid=4b4b5665-fff8-4dd6-a44a-12c90be3c561"]}],"mendeley":{"formattedCitation":"(Balcombe et al., 2019; Brynolf et al., 2014)","plainTextFormattedCitation":"(Balcombe et al., 2019; Brynolf et al., 2014)","previouslyFormattedCitation":"(Balcombe et al., 2019; Brynolf et al., 2014)"},"properties":{"noteIndex":0},"schema":"https://github.com/citation-style-language/schema/raw/master/csl-citation.json"}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2A37D4F1" w:rsidRPr="5937A937">
        <w:rPr>
          <w:rFonts w:asciiTheme="majorHAnsi" w:hAnsiTheme="majorHAnsi" w:cstheme="majorBidi"/>
          <w:noProof/>
          <w:sz w:val="22"/>
          <w:szCs w:val="22"/>
          <w:lang w:val="en-GB"/>
        </w:rPr>
        <w:t>(Balcombe et al., 2019; Brynolf et al., 2014)</w:t>
      </w:r>
      <w:r w:rsidR="00D0363C" w:rsidRPr="5937A937">
        <w:rPr>
          <w:rFonts w:asciiTheme="majorHAnsi" w:hAnsiTheme="majorHAnsi" w:cstheme="majorBidi"/>
          <w:sz w:val="22"/>
          <w:szCs w:val="22"/>
          <w:lang w:val="en-GB"/>
        </w:rPr>
        <w:fldChar w:fldCharType="end"/>
      </w:r>
      <w:r w:rsidR="0BACE6A1" w:rsidRPr="5937A937">
        <w:rPr>
          <w:rFonts w:asciiTheme="majorHAnsi" w:hAnsiTheme="majorHAnsi" w:cstheme="majorBidi"/>
          <w:sz w:val="22"/>
          <w:szCs w:val="22"/>
          <w:lang w:val="en-GB"/>
        </w:rPr>
        <w:t>. Considering the natural gas path, the CO</w:t>
      </w:r>
      <w:r w:rsidR="0BACE6A1" w:rsidRPr="00D6557E">
        <w:rPr>
          <w:rFonts w:asciiTheme="majorHAnsi" w:hAnsiTheme="majorHAnsi" w:cstheme="majorBidi"/>
          <w:sz w:val="22"/>
          <w:szCs w:val="22"/>
          <w:vertAlign w:val="subscript"/>
          <w:lang w:val="en-GB"/>
        </w:rPr>
        <w:t>x</w:t>
      </w:r>
      <w:r w:rsidR="0BACE6A1" w:rsidRPr="5937A937">
        <w:rPr>
          <w:rFonts w:asciiTheme="majorHAnsi" w:hAnsiTheme="majorHAnsi" w:cstheme="majorBidi"/>
          <w:sz w:val="22"/>
          <w:szCs w:val="22"/>
          <w:lang w:val="en-GB"/>
        </w:rPr>
        <w:t xml:space="preserve"> emissions can be even superior than HFO, as </w:t>
      </w:r>
      <w:r w:rsidR="0C5A3D89" w:rsidRPr="5937A937">
        <w:rPr>
          <w:rFonts w:asciiTheme="majorHAnsi" w:hAnsiTheme="majorHAnsi" w:cstheme="majorBidi"/>
          <w:sz w:val="22"/>
          <w:szCs w:val="22"/>
          <w:lang w:val="en-GB"/>
        </w:rPr>
        <w:t>shown in the emission section</w:t>
      </w:r>
      <w:r w:rsidR="0BACE6A1" w:rsidRPr="5937A937">
        <w:rPr>
          <w:rFonts w:asciiTheme="majorHAnsi" w:hAnsiTheme="majorHAnsi" w:cstheme="majorBidi"/>
          <w:sz w:val="22"/>
          <w:szCs w:val="22"/>
          <w:lang w:val="en-GB"/>
        </w:rPr>
        <w:t>.</w:t>
      </w:r>
      <w:r w:rsidR="05EFC854" w:rsidRPr="5937A937">
        <w:rPr>
          <w:rFonts w:asciiTheme="majorHAnsi" w:hAnsiTheme="majorHAnsi" w:cstheme="majorBidi"/>
          <w:sz w:val="22"/>
          <w:szCs w:val="22"/>
          <w:lang w:val="en-GB"/>
        </w:rPr>
        <w:t xml:space="preserve"> </w:t>
      </w:r>
      <w:r w:rsidR="0BACE6A1" w:rsidRPr="5937A937">
        <w:rPr>
          <w:rFonts w:asciiTheme="majorHAnsi" w:hAnsiTheme="majorHAnsi" w:cstheme="majorBidi"/>
          <w:sz w:val="22"/>
          <w:szCs w:val="22"/>
          <w:lang w:val="en-GB"/>
        </w:rPr>
        <w:t>On the other hand, the use of waste CO</w:t>
      </w:r>
      <w:r w:rsidR="0BACE6A1" w:rsidRPr="00D6557E">
        <w:rPr>
          <w:rFonts w:asciiTheme="majorHAnsi" w:hAnsiTheme="majorHAnsi" w:cstheme="majorBidi"/>
          <w:sz w:val="22"/>
          <w:szCs w:val="22"/>
          <w:vertAlign w:val="subscript"/>
          <w:lang w:val="en-GB"/>
        </w:rPr>
        <w:t>x</w:t>
      </w:r>
      <w:r w:rsidR="0BACE6A1" w:rsidRPr="5937A937">
        <w:rPr>
          <w:rFonts w:asciiTheme="majorHAnsi" w:hAnsiTheme="majorHAnsi" w:cstheme="majorBidi"/>
          <w:sz w:val="22"/>
          <w:szCs w:val="22"/>
          <w:lang w:val="en-GB"/>
        </w:rPr>
        <w:t xml:space="preserve"> streams</w:t>
      </w:r>
      <w:r w:rsidR="4A507EEE" w:rsidRPr="5937A937">
        <w:rPr>
          <w:rFonts w:asciiTheme="majorHAnsi" w:hAnsiTheme="majorHAnsi" w:cstheme="majorBidi"/>
          <w:sz w:val="22"/>
          <w:szCs w:val="22"/>
          <w:lang w:val="en-GB"/>
        </w:rPr>
        <w:t xml:space="preserve"> </w:t>
      </w:r>
      <w:r w:rsidR="0BACE6A1" w:rsidRPr="5937A937">
        <w:rPr>
          <w:rFonts w:asciiTheme="majorHAnsi" w:hAnsiTheme="majorHAnsi" w:cstheme="majorBidi"/>
          <w:sz w:val="22"/>
          <w:szCs w:val="22"/>
          <w:lang w:val="en-GB"/>
        </w:rPr>
        <w:t>will reduce the overall emission remarkably w</w:t>
      </w:r>
      <w:r w:rsidR="7783E059" w:rsidRPr="5937A937">
        <w:rPr>
          <w:rFonts w:asciiTheme="majorHAnsi" w:hAnsiTheme="majorHAnsi" w:cstheme="majorBidi"/>
          <w:sz w:val="22"/>
          <w:szCs w:val="22"/>
          <w:lang w:val="en-GB"/>
        </w:rPr>
        <w:t>hen considering the</w:t>
      </w:r>
      <w:r w:rsidR="0BACE6A1" w:rsidRPr="5937A937">
        <w:rPr>
          <w:rFonts w:asciiTheme="majorHAnsi" w:hAnsiTheme="majorHAnsi" w:cstheme="majorBidi"/>
          <w:sz w:val="22"/>
          <w:szCs w:val="22"/>
          <w:lang w:val="en-GB"/>
        </w:rPr>
        <w:t xml:space="preserve"> blue or green hydrogen</w:t>
      </w:r>
      <w:r w:rsidR="2C66539A" w:rsidRPr="5937A937">
        <w:rPr>
          <w:rFonts w:asciiTheme="majorHAnsi" w:hAnsiTheme="majorHAnsi" w:cstheme="majorBidi"/>
          <w:sz w:val="22"/>
          <w:szCs w:val="22"/>
          <w:lang w:val="en-GB"/>
        </w:rPr>
        <w:t xml:space="preserve"> alternatives</w:t>
      </w:r>
      <w:r w:rsidR="0BACE6A1" w:rsidRPr="5937A937">
        <w:rPr>
          <w:rFonts w:asciiTheme="majorHAnsi" w:hAnsiTheme="majorHAnsi" w:cstheme="majorBidi"/>
          <w:sz w:val="22"/>
          <w:szCs w:val="22"/>
          <w:lang w:val="en-GB"/>
        </w:rPr>
        <w:t xml:space="preserve">. </w:t>
      </w:r>
      <w:r w:rsidR="47F90F20" w:rsidRPr="5937A937">
        <w:rPr>
          <w:rFonts w:asciiTheme="majorHAnsi" w:hAnsiTheme="majorHAnsi" w:cstheme="majorBidi"/>
          <w:sz w:val="22"/>
          <w:szCs w:val="22"/>
          <w:lang w:val="en-GB"/>
        </w:rPr>
        <w:t>The tank to wake emissions might be assigned as biogenic CO</w:t>
      </w:r>
      <w:r w:rsidR="47F90F20" w:rsidRPr="00D6557E">
        <w:rPr>
          <w:rFonts w:asciiTheme="majorHAnsi" w:hAnsiTheme="majorHAnsi" w:cstheme="majorBidi"/>
          <w:sz w:val="22"/>
          <w:szCs w:val="22"/>
          <w:vertAlign w:val="subscript"/>
          <w:lang w:val="en-GB"/>
        </w:rPr>
        <w:t xml:space="preserve">x </w:t>
      </w:r>
      <w:r w:rsidR="47F90F20" w:rsidRPr="5937A937">
        <w:rPr>
          <w:rFonts w:asciiTheme="majorHAnsi" w:hAnsiTheme="majorHAnsi" w:cstheme="majorBidi"/>
          <w:sz w:val="22"/>
          <w:szCs w:val="22"/>
          <w:lang w:val="en-GB"/>
        </w:rPr>
        <w:t>when the production comes from biomass</w:t>
      </w:r>
      <w:r w:rsidR="3B3E813D" w:rsidRPr="5937A937">
        <w:rPr>
          <w:rFonts w:asciiTheme="majorHAnsi" w:hAnsiTheme="majorHAnsi" w:cstheme="majorBidi"/>
          <w:sz w:val="22"/>
          <w:szCs w:val="22"/>
          <w:lang w:val="en-GB"/>
        </w:rPr>
        <w:t xml:space="preserve">, </w:t>
      </w:r>
      <w:r w:rsidR="0BACE6A1" w:rsidRPr="5937A937">
        <w:rPr>
          <w:rFonts w:asciiTheme="majorHAnsi" w:hAnsiTheme="majorHAnsi" w:cstheme="majorBidi"/>
          <w:sz w:val="22"/>
          <w:szCs w:val="22"/>
          <w:lang w:val="en-GB"/>
        </w:rPr>
        <w:t xml:space="preserve">improving </w:t>
      </w:r>
      <w:r w:rsidR="6F8E54D3" w:rsidRPr="5937A937">
        <w:rPr>
          <w:rFonts w:asciiTheme="majorHAnsi" w:hAnsiTheme="majorHAnsi" w:cstheme="majorBidi"/>
          <w:sz w:val="22"/>
          <w:szCs w:val="22"/>
          <w:lang w:val="en-GB"/>
        </w:rPr>
        <w:t>its</w:t>
      </w:r>
      <w:r w:rsidR="0BACE6A1" w:rsidRPr="5937A937">
        <w:rPr>
          <w:rFonts w:asciiTheme="majorHAnsi" w:hAnsiTheme="majorHAnsi" w:cstheme="majorBidi"/>
          <w:sz w:val="22"/>
          <w:szCs w:val="22"/>
          <w:lang w:val="en-GB"/>
        </w:rPr>
        <w:t xml:space="preserve"> environmental performance</w:t>
      </w:r>
      <w:r w:rsidR="37A48608"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672453">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37A48608" w:rsidRPr="5937A937">
        <w:rPr>
          <w:rFonts w:asciiTheme="majorHAnsi" w:hAnsiTheme="majorHAnsi" w:cstheme="majorBidi"/>
          <w:noProof/>
          <w:sz w:val="22"/>
          <w:szCs w:val="22"/>
          <w:lang w:val="en-GB"/>
        </w:rPr>
        <w:t>(Balcombe et al., 2019)</w:t>
      </w:r>
      <w:r w:rsidR="00D0363C" w:rsidRPr="5937A937">
        <w:rPr>
          <w:rFonts w:asciiTheme="majorHAnsi" w:hAnsiTheme="majorHAnsi" w:cstheme="majorBidi"/>
          <w:sz w:val="22"/>
          <w:szCs w:val="22"/>
          <w:lang w:val="en-GB"/>
        </w:rPr>
        <w:fldChar w:fldCharType="end"/>
      </w:r>
      <w:r w:rsidR="0BACE6A1" w:rsidRPr="5937A937">
        <w:rPr>
          <w:rFonts w:asciiTheme="majorHAnsi" w:hAnsiTheme="majorHAnsi" w:cstheme="majorBidi"/>
          <w:sz w:val="22"/>
          <w:szCs w:val="22"/>
          <w:lang w:val="en-GB"/>
        </w:rPr>
        <w:t xml:space="preserve">. </w:t>
      </w:r>
    </w:p>
    <w:p w14:paraId="2F4E08BF" w14:textId="15E467CF" w:rsidR="00FF6150" w:rsidRDefault="00D77FA1" w:rsidP="791B8135">
      <w:pPr>
        <w:spacing w:after="120" w:line="360" w:lineRule="auto"/>
        <w:ind w:firstLine="720"/>
        <w:rPr>
          <w:rFonts w:asciiTheme="majorHAnsi" w:hAnsiTheme="majorHAnsi" w:cstheme="majorBidi"/>
          <w:sz w:val="22"/>
          <w:szCs w:val="22"/>
          <w:lang w:val="en-GB"/>
        </w:rPr>
      </w:pPr>
      <w:r w:rsidRPr="791B8135">
        <w:rPr>
          <w:rFonts w:asciiTheme="majorHAnsi" w:hAnsiTheme="majorHAnsi" w:cstheme="majorBidi"/>
          <w:b/>
          <w:bCs/>
          <w:sz w:val="22"/>
          <w:szCs w:val="22"/>
          <w:lang w:val="en-GB"/>
        </w:rPr>
        <w:t>Biofuels</w:t>
      </w:r>
      <w:r w:rsidR="00792BEC" w:rsidRPr="791B8135">
        <w:rPr>
          <w:rFonts w:asciiTheme="majorHAnsi" w:hAnsiTheme="majorHAnsi" w:cstheme="majorBidi"/>
          <w:b/>
          <w:bCs/>
          <w:sz w:val="22"/>
          <w:szCs w:val="22"/>
          <w:lang w:val="en-GB"/>
        </w:rPr>
        <w:t>,</w:t>
      </w:r>
      <w:r w:rsidR="49395FD6" w:rsidRPr="791B8135">
        <w:rPr>
          <w:rFonts w:asciiTheme="majorHAnsi" w:hAnsiTheme="majorHAnsi" w:cstheme="majorBidi"/>
          <w:b/>
          <w:bCs/>
          <w:sz w:val="22"/>
          <w:szCs w:val="22"/>
          <w:lang w:val="en-GB"/>
        </w:rPr>
        <w:t xml:space="preserve"> </w:t>
      </w:r>
      <w:r w:rsidR="00E91C43" w:rsidRPr="791B8135">
        <w:rPr>
          <w:rFonts w:asciiTheme="majorHAnsi" w:hAnsiTheme="majorHAnsi" w:cstheme="majorBidi"/>
          <w:sz w:val="22"/>
          <w:szCs w:val="22"/>
          <w:lang w:val="en-GB"/>
        </w:rPr>
        <w:t>liquids</w:t>
      </w:r>
      <w:r w:rsidR="00792BEC" w:rsidRPr="791B8135">
        <w:rPr>
          <w:rFonts w:asciiTheme="majorHAnsi" w:hAnsiTheme="majorHAnsi" w:cstheme="majorBidi"/>
          <w:sz w:val="22"/>
          <w:szCs w:val="22"/>
          <w:lang w:val="en-GB"/>
        </w:rPr>
        <w:t>,</w:t>
      </w:r>
      <w:r w:rsidR="00E91C43" w:rsidRPr="791B8135">
        <w:rPr>
          <w:rFonts w:asciiTheme="majorHAnsi" w:hAnsiTheme="majorHAnsi" w:cstheme="majorBidi"/>
          <w:b/>
          <w:bCs/>
          <w:sz w:val="22"/>
          <w:szCs w:val="22"/>
          <w:lang w:val="en-GB"/>
        </w:rPr>
        <w:t xml:space="preserve"> </w:t>
      </w:r>
      <w:r w:rsidRPr="791B8135">
        <w:rPr>
          <w:rFonts w:asciiTheme="majorHAnsi" w:hAnsiTheme="majorHAnsi" w:cstheme="majorBidi"/>
          <w:sz w:val="22"/>
          <w:szCs w:val="22"/>
          <w:lang w:val="en-GB"/>
        </w:rPr>
        <w:t>are among the alternatives here explored, the</w:t>
      </w:r>
      <w:r w:rsidR="00873D13" w:rsidRPr="791B8135">
        <w:rPr>
          <w:rFonts w:asciiTheme="majorHAnsi" w:hAnsiTheme="majorHAnsi" w:cstheme="majorBidi"/>
          <w:sz w:val="22"/>
          <w:szCs w:val="22"/>
          <w:lang w:val="en-GB"/>
        </w:rPr>
        <w:t xml:space="preserve"> fuels </w:t>
      </w:r>
      <w:r w:rsidR="00BF5548" w:rsidRPr="791B8135">
        <w:rPr>
          <w:rFonts w:asciiTheme="majorHAnsi" w:hAnsiTheme="majorHAnsi" w:cstheme="majorBidi"/>
          <w:sz w:val="22"/>
          <w:szCs w:val="22"/>
          <w:lang w:val="en-GB"/>
        </w:rPr>
        <w:t xml:space="preserve">with the greatest </w:t>
      </w:r>
      <w:r w:rsidR="008435E6" w:rsidRPr="791B8135">
        <w:rPr>
          <w:rFonts w:asciiTheme="majorHAnsi" w:hAnsiTheme="majorHAnsi" w:cstheme="majorBidi"/>
          <w:sz w:val="22"/>
          <w:szCs w:val="22"/>
          <w:lang w:val="en-GB"/>
        </w:rPr>
        <w:t>match to</w:t>
      </w:r>
      <w:r w:rsidR="00873D13" w:rsidRPr="791B8135">
        <w:rPr>
          <w:rFonts w:asciiTheme="majorHAnsi" w:hAnsiTheme="majorHAnsi" w:cstheme="majorBidi"/>
          <w:sz w:val="22"/>
          <w:szCs w:val="22"/>
          <w:lang w:val="en-GB"/>
        </w:rPr>
        <w:t xml:space="preserve"> the </w:t>
      </w:r>
      <w:r w:rsidR="00E91C43" w:rsidRPr="791B8135">
        <w:rPr>
          <w:rFonts w:asciiTheme="majorHAnsi" w:hAnsiTheme="majorHAnsi" w:cstheme="majorBidi"/>
          <w:sz w:val="22"/>
          <w:szCs w:val="22"/>
          <w:lang w:val="en-GB"/>
        </w:rPr>
        <w:t>available</w:t>
      </w:r>
      <w:r w:rsidR="00873D13" w:rsidRPr="791B8135">
        <w:rPr>
          <w:rFonts w:asciiTheme="majorHAnsi" w:hAnsiTheme="majorHAnsi" w:cstheme="majorBidi"/>
          <w:sz w:val="22"/>
          <w:szCs w:val="22"/>
          <w:lang w:val="en-GB"/>
        </w:rPr>
        <w:t xml:space="preserve"> infrastructure. </w:t>
      </w:r>
      <w:r w:rsidRPr="791B8135">
        <w:rPr>
          <w:rFonts w:asciiTheme="majorHAnsi" w:hAnsiTheme="majorHAnsi" w:cstheme="majorBidi"/>
          <w:sz w:val="22"/>
          <w:szCs w:val="22"/>
          <w:lang w:val="en-GB"/>
        </w:rPr>
        <w:t xml:space="preserve"> </w:t>
      </w:r>
      <w:r w:rsidR="00E91C43" w:rsidRPr="791B8135">
        <w:rPr>
          <w:rFonts w:asciiTheme="majorHAnsi" w:hAnsiTheme="majorHAnsi" w:cstheme="majorBidi"/>
          <w:sz w:val="22"/>
          <w:szCs w:val="22"/>
          <w:lang w:val="en-GB"/>
        </w:rPr>
        <w:t>They can attain great decarbonization targets</w:t>
      </w:r>
      <w:r w:rsidR="008435E6" w:rsidRPr="791B8135">
        <w:rPr>
          <w:rFonts w:asciiTheme="majorHAnsi" w:hAnsiTheme="majorHAnsi" w:cstheme="majorBidi"/>
          <w:sz w:val="22"/>
          <w:szCs w:val="22"/>
          <w:lang w:val="en-GB"/>
        </w:rPr>
        <w:t>,</w:t>
      </w:r>
      <w:r w:rsidR="006A21C8" w:rsidRPr="791B8135">
        <w:rPr>
          <w:rFonts w:asciiTheme="majorHAnsi" w:hAnsiTheme="majorHAnsi" w:cstheme="majorBidi"/>
          <w:sz w:val="22"/>
          <w:szCs w:val="22"/>
          <w:lang w:val="en-GB"/>
        </w:rPr>
        <w:t xml:space="preserve"> at the same time</w:t>
      </w:r>
      <w:r w:rsidR="550B66FE" w:rsidRPr="791B8135">
        <w:rPr>
          <w:rFonts w:asciiTheme="majorHAnsi" w:hAnsiTheme="majorHAnsi" w:cstheme="majorBidi"/>
          <w:sz w:val="22"/>
          <w:szCs w:val="22"/>
          <w:lang w:val="en-GB"/>
        </w:rPr>
        <w:t xml:space="preserve"> that</w:t>
      </w:r>
      <w:r w:rsidR="006A21C8" w:rsidRPr="791B8135">
        <w:rPr>
          <w:rFonts w:asciiTheme="majorHAnsi" w:hAnsiTheme="majorHAnsi" w:cstheme="majorBidi"/>
          <w:sz w:val="22"/>
          <w:szCs w:val="22"/>
          <w:lang w:val="en-GB"/>
        </w:rPr>
        <w:t xml:space="preserve"> might be used as drop-in alternatives</w:t>
      </w:r>
      <w:r w:rsidR="4CEFCEE3" w:rsidRPr="791B8135">
        <w:rPr>
          <w:rFonts w:asciiTheme="majorHAnsi" w:hAnsiTheme="majorHAnsi" w:cstheme="majorBidi"/>
          <w:sz w:val="22"/>
          <w:szCs w:val="22"/>
          <w:lang w:val="en-GB"/>
        </w:rPr>
        <w:t xml:space="preserve"> with </w:t>
      </w:r>
      <w:r w:rsidR="00B90462" w:rsidRPr="791B8135">
        <w:rPr>
          <w:rFonts w:asciiTheme="majorHAnsi" w:hAnsiTheme="majorHAnsi" w:cstheme="majorBidi"/>
          <w:sz w:val="22"/>
          <w:szCs w:val="22"/>
          <w:lang w:val="en-GB"/>
        </w:rPr>
        <w:t>little</w:t>
      </w:r>
      <w:r w:rsidR="006A21C8" w:rsidRPr="791B8135">
        <w:rPr>
          <w:rFonts w:asciiTheme="majorHAnsi" w:hAnsiTheme="majorHAnsi" w:cstheme="majorBidi"/>
          <w:sz w:val="22"/>
          <w:szCs w:val="22"/>
          <w:lang w:val="en-GB"/>
        </w:rPr>
        <w:t xml:space="preserve"> or no changes in the</w:t>
      </w:r>
      <w:r w:rsidR="00C31BE4" w:rsidRPr="791B8135">
        <w:rPr>
          <w:rFonts w:asciiTheme="majorHAnsi" w:hAnsiTheme="majorHAnsi" w:cstheme="majorBidi"/>
          <w:sz w:val="22"/>
          <w:szCs w:val="22"/>
          <w:lang w:val="en-GB"/>
        </w:rPr>
        <w:t xml:space="preserve"> </w:t>
      </w:r>
      <w:r w:rsidR="2787B44B" w:rsidRPr="791B8135">
        <w:rPr>
          <w:rFonts w:asciiTheme="majorHAnsi" w:hAnsiTheme="majorHAnsi" w:cstheme="majorBidi"/>
          <w:sz w:val="22"/>
          <w:szCs w:val="22"/>
          <w:lang w:val="en-GB"/>
        </w:rPr>
        <w:t>engine</w:t>
      </w:r>
      <w:r w:rsidR="00C31BE4" w:rsidRPr="791B8135">
        <w:rPr>
          <w:rFonts w:asciiTheme="majorHAnsi" w:hAnsiTheme="majorHAnsi" w:cstheme="majorBidi"/>
          <w:sz w:val="22"/>
          <w:szCs w:val="22"/>
          <w:lang w:val="en-GB"/>
        </w:rPr>
        <w:t>.</w:t>
      </w:r>
      <w:r w:rsidR="00B90462" w:rsidRPr="791B8135">
        <w:rPr>
          <w:rFonts w:asciiTheme="majorHAnsi" w:hAnsiTheme="majorHAnsi" w:cstheme="majorBidi"/>
          <w:sz w:val="22"/>
          <w:szCs w:val="22"/>
          <w:lang w:val="en-GB"/>
        </w:rPr>
        <w:t xml:space="preserve"> Fuels such as straight vegetable oil (SVO), hydrotreated vegetal oil (HVO), fatty acid methyl ester (FAME) are available at commercial scale</w:t>
      </w:r>
      <w:r w:rsidR="00BF14F8">
        <w:rPr>
          <w:rFonts w:asciiTheme="majorHAnsi" w:hAnsiTheme="majorHAnsi" w:cstheme="majorBidi"/>
          <w:sz w:val="22"/>
          <w:szCs w:val="22"/>
          <w:lang w:val="en-GB"/>
        </w:rPr>
        <w:t xml:space="preserve"> </w:t>
      </w:r>
      <w:r w:rsidR="003500DA">
        <w:rPr>
          <w:rFonts w:asciiTheme="majorHAnsi" w:hAnsiTheme="majorHAnsi" w:cstheme="majorBidi"/>
          <w:sz w:val="22"/>
          <w:szCs w:val="22"/>
          <w:lang w:val="en-GB"/>
        </w:rPr>
        <w:fldChar w:fldCharType="begin" w:fldLock="1"/>
      </w:r>
      <w:r w:rsidR="0078056B">
        <w:rPr>
          <w:rFonts w:asciiTheme="majorHAnsi" w:hAnsiTheme="majorHAnsi" w:cstheme="majorBidi"/>
          <w:sz w:val="22"/>
          <w:szCs w:val="22"/>
          <w:lang w:val="en-GB"/>
        </w:rPr>
        <w:instrText>ADDIN CSL_CITATION {"citationItems":[{"id":"ITEM-1","itemData":{"DOI":"10.3390/en14164980","ISSN":"19961073","abstract":"Low or zero carbon fuels are crucial for maritime transportation decarbonization goals. This paper assesses potential localities for maritime biofuels (biobunkers) production in Brazil, Europe, South Africa, and United States considering geographical, logistic, and economic aspects. This assessment combines georeferenced and techno‐economic analyses to identify suitable fuel production hotspots based on not only plant performance and costs but also on logistic integration and biomass seasonality. Five technology pathways were considered: Straight vegetable Oils (SVO), Hydrotreated Vegetable Oils (HVO), Fischer–Tropsch Biomass‐to‐liquids (FT‐BTL), Alcohol oligomerization to middle distillates (ATD), and Hydrotreated Pyrolysis Oil (HDPO). Findings reveal that biomass concentration in Brazil makes it the region with highest biobunker potential, which are mostly close to coastal areas and surpasses regional demand. Although other regions registered more limited potentials, hotspots proximity to ports would enable fossil fuel replacements in these areas. For all cases, biobunker costs (USD 21–104/GJ) are higher than conventional marine fuels prices (USD 11–17/GJ). Only 15% of the hotspots’ carbon prices that would allow its competitiveness are lower than USD 100/tCO2. Alternatives to incentivize biobunker production would be, first, to establish mandatory fuel blends and second, to join forces with other sectors that would be benefited from the co‐production of advanced biofuels.","author":[{"dropping-particle":"","family":"Carvalho","given":"Francielle","non-dropping-particle":"","parse-names":false,"suffix":""},{"dropping-particle":"","family":"Portugal‐pereira","given":"Joana","non-dropping-particle":"","parse-names":false,"suffix":""},{"dropping-particle":"","family":"Junginger","given":"Martin","non-dropping-particle":"","parse-names":false,"suffix":""},{"dropping-particle":"","family":"Szklo","given":"Alexandre","non-dropping-particle":"","parse-names":false,"suffix":""}],"container-title":"Energies","id":"ITEM-1","issue":"16","issued":{"date-parts":[["2021"]]},"title":"Biofuels for maritime transportation: A spatial, techno‐economic, and logistic analysis in brazil, europe, south africa, and the usa","type":"article-journal","volume":"14"},"uris":["http://www.mendeley.com/documents/?uuid=863a81b1-5f0b-4ab4-8302-10b8ee2137c9"]}],"mendeley":{"formattedCitation":"(Carvalho et al., 2021)","plainTextFormattedCitation":"(Carvalho et al., 2021)","previouslyFormattedCitation":"(Carvalho et al., 2021)"},"properties":{"noteIndex":0},"schema":"https://github.com/citation-style-language/schema/raw/master/csl-citation.json"}</w:instrText>
      </w:r>
      <w:r w:rsidR="003500DA">
        <w:rPr>
          <w:rFonts w:asciiTheme="majorHAnsi" w:hAnsiTheme="majorHAnsi" w:cstheme="majorBidi"/>
          <w:sz w:val="22"/>
          <w:szCs w:val="22"/>
          <w:lang w:val="en-GB"/>
        </w:rPr>
        <w:fldChar w:fldCharType="separate"/>
      </w:r>
      <w:r w:rsidR="003500DA" w:rsidRPr="003500DA">
        <w:rPr>
          <w:rFonts w:asciiTheme="majorHAnsi" w:hAnsiTheme="majorHAnsi" w:cstheme="majorBidi"/>
          <w:noProof/>
          <w:sz w:val="22"/>
          <w:szCs w:val="22"/>
          <w:lang w:val="en-GB"/>
        </w:rPr>
        <w:t>(Carvalho et al., 2021)</w:t>
      </w:r>
      <w:r w:rsidR="003500DA">
        <w:rPr>
          <w:rFonts w:asciiTheme="majorHAnsi" w:hAnsiTheme="majorHAnsi" w:cstheme="majorBidi"/>
          <w:sz w:val="22"/>
          <w:szCs w:val="22"/>
          <w:lang w:val="en-GB"/>
        </w:rPr>
        <w:fldChar w:fldCharType="end"/>
      </w:r>
      <w:r w:rsidR="05A68BAA" w:rsidRPr="791B8135">
        <w:rPr>
          <w:rFonts w:asciiTheme="majorHAnsi" w:hAnsiTheme="majorHAnsi" w:cstheme="majorBidi"/>
          <w:sz w:val="22"/>
          <w:szCs w:val="22"/>
          <w:lang w:val="en-GB"/>
        </w:rPr>
        <w:t>.</w:t>
      </w:r>
      <w:r w:rsidR="00B90462" w:rsidRPr="791B8135">
        <w:rPr>
          <w:rFonts w:asciiTheme="majorHAnsi" w:hAnsiTheme="majorHAnsi" w:cstheme="majorBidi"/>
          <w:sz w:val="22"/>
          <w:szCs w:val="22"/>
          <w:lang w:val="en-GB"/>
        </w:rPr>
        <w:t xml:space="preserve"> </w:t>
      </w:r>
      <w:r w:rsidR="00FF6150" w:rsidRPr="791B8135">
        <w:rPr>
          <w:rFonts w:asciiTheme="majorHAnsi" w:hAnsiTheme="majorHAnsi" w:cstheme="majorBidi"/>
          <w:sz w:val="22"/>
          <w:szCs w:val="22"/>
          <w:lang w:val="en-GB"/>
        </w:rPr>
        <w:t>Biofuels are benefited by a broader range of possible feedstocks, which favours local production, coping with energy security arguments. On the other hand, the debate about the eligibility of potential feedstocks, considering water and food security, is a hotspot discussion. To cope with the sustainable principle, residues and so-called waste-streams are always preferable while producing biofuels</w:t>
      </w:r>
      <w:r w:rsidR="0078056B">
        <w:rPr>
          <w:rFonts w:asciiTheme="majorHAnsi" w:hAnsiTheme="majorHAnsi" w:cstheme="majorBidi"/>
          <w:sz w:val="22"/>
          <w:szCs w:val="22"/>
          <w:lang w:val="en-GB"/>
        </w:rPr>
        <w:t xml:space="preserve"> </w:t>
      </w:r>
      <w:r w:rsidR="0078056B">
        <w:rPr>
          <w:rFonts w:asciiTheme="majorHAnsi" w:hAnsiTheme="majorHAnsi" w:cstheme="majorBidi"/>
          <w:sz w:val="22"/>
          <w:szCs w:val="22"/>
          <w:lang w:val="en-GB"/>
        </w:rPr>
        <w:fldChar w:fldCharType="begin" w:fldLock="1"/>
      </w:r>
      <w:r w:rsidR="006F570C">
        <w:rPr>
          <w:rFonts w:asciiTheme="majorHAnsi" w:hAnsiTheme="majorHAnsi" w:cstheme="majorBidi"/>
          <w:sz w:val="22"/>
          <w:szCs w:val="22"/>
          <w:lang w:val="en-GB"/>
        </w:rPr>
        <w:instrText>ADDIN CSL_CITATION {"citationItems":[{"id":"ITEM-1","itemData":{"abstract":"The merchant shipping sector is one of the mayor players in world trade. More than 80% of all goods are transported via international shipping routes. The sector consumes more than 330 Mt of fuel a year and accounts for 2-3% of the global CO2, 4-9% of SOx, and 10-15% of NOx emissions. This report is written for the biofuel provider and biofuel developer with the aim of providing an overview of the shipping sector, the technologies, fuels and regulations associated with its supply and consumption of fuels. The different biofuel technologies and their supply potentials are presented and discussed. The shipping sector includes more than 85,000 registered vessels divided into small, medium, large and very large oceangoing ships. The two latter accounts for 20% of the vessels, but 80% of the gross tonnage. The majority of the shipping routes are connected by a relatively small number of ports in North America, Europe and Asia. Therefore a major part of the fuel supply and its infrastructure are concentrated at only a few locations.","author":[{"dropping-particle":"","family":"IEA Bioenergy","given":"","non-dropping-particle":"","parse-names":false,"suffix":""}],"id":"ITEM-1","issued":{"date-parts":[["2017"]]},"page":"86","title":"Biofuels for the marine shipping sector: An overview and analysis of sector infrastructure, fuel technologies and regulations","type":"article-journal"},"uris":["http://www.mendeley.com/documents/?uuid=68541d8e-1a5a-473c-a12e-5e6030e2b7c4"]}],"mendeley":{"formattedCitation":"(IEA Bioenergy, 2017)","plainTextFormattedCitation":"(IEA Bioenergy, 2017)","previouslyFormattedCitation":"(IEA Bioenergy, 2017)"},"properties":{"noteIndex":0},"schema":"https://github.com/citation-style-language/schema/raw/master/csl-citation.json"}</w:instrText>
      </w:r>
      <w:r w:rsidR="0078056B">
        <w:rPr>
          <w:rFonts w:asciiTheme="majorHAnsi" w:hAnsiTheme="majorHAnsi" w:cstheme="majorBidi"/>
          <w:sz w:val="22"/>
          <w:szCs w:val="22"/>
          <w:lang w:val="en-GB"/>
        </w:rPr>
        <w:fldChar w:fldCharType="separate"/>
      </w:r>
      <w:r w:rsidR="0078056B" w:rsidRPr="0078056B">
        <w:rPr>
          <w:rFonts w:asciiTheme="majorHAnsi" w:hAnsiTheme="majorHAnsi" w:cstheme="majorBidi"/>
          <w:noProof/>
          <w:sz w:val="22"/>
          <w:szCs w:val="22"/>
          <w:lang w:val="en-GB"/>
        </w:rPr>
        <w:t>(IEA Bioenergy, 2017)</w:t>
      </w:r>
      <w:r w:rsidR="0078056B">
        <w:rPr>
          <w:rFonts w:asciiTheme="majorHAnsi" w:hAnsiTheme="majorHAnsi" w:cstheme="majorBidi"/>
          <w:sz w:val="22"/>
          <w:szCs w:val="22"/>
          <w:lang w:val="en-GB"/>
        </w:rPr>
        <w:fldChar w:fldCharType="end"/>
      </w:r>
      <w:r w:rsidR="00FF6150" w:rsidRPr="791B8135">
        <w:rPr>
          <w:rFonts w:asciiTheme="majorHAnsi" w:hAnsiTheme="majorHAnsi" w:cstheme="majorBidi"/>
          <w:sz w:val="22"/>
          <w:szCs w:val="22"/>
          <w:lang w:val="en-GB"/>
        </w:rPr>
        <w:t xml:space="preserve">.  </w:t>
      </w:r>
    </w:p>
    <w:p w14:paraId="227AB66F" w14:textId="7EFF7F60" w:rsidR="00D0363C" w:rsidRDefault="747DF2C9" w:rsidP="00963F36">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The use of advanced biofuel, produced from waste streams are crucial to cope with sustainability criteria, since production</w:t>
      </w:r>
      <w:r w:rsidR="01D74FFB" w:rsidRPr="5937A937">
        <w:rPr>
          <w:rFonts w:asciiTheme="majorHAnsi" w:hAnsiTheme="majorHAnsi" w:cstheme="majorBidi"/>
          <w:sz w:val="22"/>
          <w:szCs w:val="22"/>
          <w:lang w:val="en-GB"/>
        </w:rPr>
        <w:t xml:space="preserve"> and expansion</w:t>
      </w:r>
      <w:r w:rsidRPr="5937A937">
        <w:rPr>
          <w:rFonts w:asciiTheme="majorHAnsi" w:hAnsiTheme="majorHAnsi" w:cstheme="majorBidi"/>
          <w:sz w:val="22"/>
          <w:szCs w:val="22"/>
          <w:lang w:val="en-GB"/>
        </w:rPr>
        <w:t xml:space="preserve"> can be </w:t>
      </w:r>
      <w:r w:rsidR="47DD30AA" w:rsidRPr="5937A937">
        <w:rPr>
          <w:rFonts w:asciiTheme="majorHAnsi" w:hAnsiTheme="majorHAnsi" w:cstheme="majorBidi"/>
          <w:sz w:val="22"/>
          <w:szCs w:val="22"/>
          <w:lang w:val="en-GB"/>
        </w:rPr>
        <w:t>done</w:t>
      </w:r>
      <w:r w:rsidRPr="5937A937">
        <w:rPr>
          <w:rFonts w:asciiTheme="majorHAnsi" w:hAnsiTheme="majorHAnsi" w:cstheme="majorBidi"/>
          <w:sz w:val="22"/>
          <w:szCs w:val="22"/>
          <w:lang w:val="en-GB"/>
        </w:rPr>
        <w:t xml:space="preserve"> without</w:t>
      </w:r>
      <w:r w:rsidR="772D1F3F" w:rsidRPr="5937A937">
        <w:rPr>
          <w:rFonts w:asciiTheme="majorHAnsi" w:hAnsiTheme="majorHAnsi" w:cstheme="majorBidi"/>
          <w:sz w:val="22"/>
          <w:szCs w:val="22"/>
          <w:lang w:val="en-GB"/>
        </w:rPr>
        <w:t xml:space="preserve"> investment</w:t>
      </w:r>
      <w:r w:rsidRPr="5937A937">
        <w:rPr>
          <w:rFonts w:asciiTheme="majorHAnsi" w:hAnsiTheme="majorHAnsi" w:cstheme="majorBidi"/>
          <w:sz w:val="22"/>
          <w:szCs w:val="22"/>
          <w:lang w:val="en-GB"/>
        </w:rPr>
        <w:t xml:space="preserve"> in </w:t>
      </w:r>
      <w:r w:rsidR="5FB56EB2" w:rsidRPr="5937A937">
        <w:rPr>
          <w:rFonts w:asciiTheme="majorHAnsi" w:hAnsiTheme="majorHAnsi" w:cstheme="majorBidi"/>
          <w:sz w:val="22"/>
          <w:szCs w:val="22"/>
          <w:lang w:val="en-GB"/>
        </w:rPr>
        <w:t>new</w:t>
      </w:r>
      <w:r w:rsidRPr="5937A937">
        <w:rPr>
          <w:rFonts w:asciiTheme="majorHAnsi" w:hAnsiTheme="majorHAnsi" w:cstheme="majorBidi"/>
          <w:sz w:val="22"/>
          <w:szCs w:val="22"/>
          <w:lang w:val="en-GB"/>
        </w:rPr>
        <w:t xml:space="preserve"> agricultural areas.</w:t>
      </w:r>
      <w:r w:rsidR="772D1F3F" w:rsidRPr="5937A937">
        <w:rPr>
          <w:rFonts w:asciiTheme="majorHAnsi" w:hAnsiTheme="majorHAnsi" w:cstheme="majorBidi"/>
          <w:sz w:val="22"/>
          <w:szCs w:val="22"/>
          <w:lang w:val="en-GB"/>
        </w:rPr>
        <w:t xml:space="preserve"> </w:t>
      </w:r>
      <w:r w:rsidR="51547C5F" w:rsidRPr="5937A937">
        <w:rPr>
          <w:rFonts w:asciiTheme="majorHAnsi" w:hAnsiTheme="majorHAnsi" w:cstheme="majorBidi"/>
          <w:sz w:val="22"/>
          <w:szCs w:val="22"/>
          <w:lang w:val="en-GB"/>
        </w:rPr>
        <w:t>Oil-based residues are suitable for the production of SVO, FAME and HVO</w:t>
      </w:r>
      <w:r w:rsidR="1C5DC23E" w:rsidRPr="5937A937">
        <w:rPr>
          <w:rFonts w:asciiTheme="majorHAnsi" w:hAnsiTheme="majorHAnsi" w:cstheme="majorBidi"/>
          <w:sz w:val="22"/>
          <w:szCs w:val="22"/>
          <w:lang w:val="en-GB"/>
        </w:rPr>
        <w:t>.</w:t>
      </w:r>
      <w:r w:rsidR="038229CA" w:rsidRPr="5937A937">
        <w:rPr>
          <w:rFonts w:asciiTheme="majorHAnsi" w:hAnsiTheme="majorHAnsi" w:cstheme="majorBidi"/>
          <w:sz w:val="22"/>
          <w:szCs w:val="22"/>
          <w:lang w:val="en-GB"/>
        </w:rPr>
        <w:t xml:space="preserve"> </w:t>
      </w:r>
      <w:r w:rsidR="2979FD4C" w:rsidRPr="5937A937">
        <w:rPr>
          <w:rFonts w:asciiTheme="majorHAnsi" w:hAnsiTheme="majorHAnsi" w:cstheme="majorBidi"/>
          <w:sz w:val="22"/>
          <w:szCs w:val="22"/>
          <w:lang w:val="en-GB"/>
        </w:rPr>
        <w:t>C</w:t>
      </w:r>
      <w:r w:rsidR="6503D5C7" w:rsidRPr="5937A937">
        <w:rPr>
          <w:rFonts w:asciiTheme="majorHAnsi" w:hAnsiTheme="majorHAnsi" w:cstheme="majorBidi"/>
          <w:sz w:val="22"/>
          <w:szCs w:val="22"/>
          <w:lang w:val="en-GB"/>
        </w:rPr>
        <w:t>urrently</w:t>
      </w:r>
      <w:r w:rsidR="698416EA" w:rsidRPr="5937A937">
        <w:rPr>
          <w:rFonts w:asciiTheme="majorHAnsi" w:hAnsiTheme="majorHAnsi" w:cstheme="majorBidi"/>
          <w:sz w:val="22"/>
          <w:szCs w:val="22"/>
          <w:lang w:val="en-GB"/>
        </w:rPr>
        <w:t>,</w:t>
      </w:r>
      <w:r w:rsidR="0E6E7D45" w:rsidRPr="5937A937">
        <w:rPr>
          <w:rFonts w:asciiTheme="majorHAnsi" w:hAnsiTheme="majorHAnsi" w:cstheme="majorBidi"/>
          <w:sz w:val="22"/>
          <w:szCs w:val="22"/>
          <w:lang w:val="en-GB"/>
        </w:rPr>
        <w:t xml:space="preserve"> there is a limited offer</w:t>
      </w:r>
      <w:r w:rsidR="698416EA" w:rsidRPr="5937A937">
        <w:rPr>
          <w:rFonts w:asciiTheme="majorHAnsi" w:hAnsiTheme="majorHAnsi" w:cstheme="majorBidi"/>
          <w:sz w:val="22"/>
          <w:szCs w:val="22"/>
          <w:lang w:val="en-GB"/>
        </w:rPr>
        <w:t xml:space="preserve"> </w:t>
      </w:r>
      <w:r w:rsidR="6177F537" w:rsidRPr="5937A937">
        <w:rPr>
          <w:rFonts w:asciiTheme="majorHAnsi" w:hAnsiTheme="majorHAnsi" w:cstheme="majorBidi"/>
          <w:sz w:val="22"/>
          <w:szCs w:val="22"/>
          <w:lang w:val="en-GB"/>
        </w:rPr>
        <w:t xml:space="preserve">of </w:t>
      </w:r>
      <w:r w:rsidR="26EB0919" w:rsidRPr="5937A937">
        <w:rPr>
          <w:rFonts w:asciiTheme="majorHAnsi" w:hAnsiTheme="majorHAnsi" w:cstheme="majorBidi"/>
          <w:sz w:val="22"/>
          <w:szCs w:val="22"/>
          <w:lang w:val="en-GB"/>
        </w:rPr>
        <w:t xml:space="preserve">advanced </w:t>
      </w:r>
      <w:r w:rsidR="698416EA" w:rsidRPr="5937A937">
        <w:rPr>
          <w:rFonts w:asciiTheme="majorHAnsi" w:hAnsiTheme="majorHAnsi" w:cstheme="majorBidi"/>
          <w:sz w:val="22"/>
          <w:szCs w:val="22"/>
          <w:lang w:val="en-GB"/>
        </w:rPr>
        <w:t xml:space="preserve">biofuels </w:t>
      </w:r>
      <w:r w:rsidR="3D76CA7A" w:rsidRPr="5937A937">
        <w:rPr>
          <w:rFonts w:asciiTheme="majorHAnsi" w:hAnsiTheme="majorHAnsi" w:cstheme="majorBidi"/>
          <w:sz w:val="22"/>
          <w:szCs w:val="22"/>
          <w:lang w:val="en-GB"/>
        </w:rPr>
        <w:t xml:space="preserve">in the market, specially </w:t>
      </w:r>
      <w:r w:rsidR="47DD75DA" w:rsidRPr="5937A937">
        <w:rPr>
          <w:rFonts w:asciiTheme="majorHAnsi" w:hAnsiTheme="majorHAnsi" w:cstheme="majorBidi"/>
          <w:sz w:val="22"/>
          <w:szCs w:val="22"/>
          <w:lang w:val="en-GB"/>
        </w:rPr>
        <w:t xml:space="preserve">produced </w:t>
      </w:r>
      <w:r w:rsidR="698416EA" w:rsidRPr="5937A937">
        <w:rPr>
          <w:rFonts w:asciiTheme="majorHAnsi" w:hAnsiTheme="majorHAnsi" w:cstheme="majorBidi"/>
          <w:sz w:val="22"/>
          <w:szCs w:val="22"/>
          <w:lang w:val="en-GB"/>
        </w:rPr>
        <w:t>from l</w:t>
      </w:r>
      <w:r w:rsidR="51547C5F" w:rsidRPr="5937A937">
        <w:rPr>
          <w:rFonts w:asciiTheme="majorHAnsi" w:hAnsiTheme="majorHAnsi" w:cstheme="majorBidi"/>
          <w:sz w:val="22"/>
          <w:szCs w:val="22"/>
          <w:lang w:val="en-GB"/>
        </w:rPr>
        <w:t>ignocellulosic residues</w:t>
      </w:r>
      <w:r w:rsidR="698416EA" w:rsidRPr="5937A937">
        <w:rPr>
          <w:rFonts w:asciiTheme="majorHAnsi" w:hAnsiTheme="majorHAnsi" w:cstheme="majorBidi"/>
          <w:sz w:val="22"/>
          <w:szCs w:val="22"/>
          <w:lang w:val="en-GB"/>
        </w:rPr>
        <w:t>.</w:t>
      </w:r>
      <w:r w:rsidR="0FBB1576" w:rsidRPr="5937A937">
        <w:rPr>
          <w:rFonts w:asciiTheme="majorHAnsi" w:hAnsiTheme="majorHAnsi" w:cstheme="majorBidi"/>
          <w:sz w:val="22"/>
          <w:szCs w:val="22"/>
          <w:lang w:val="en-GB"/>
        </w:rPr>
        <w:t xml:space="preserve"> The exception relies on cellulosic ethanol, produced from crop residues. The </w:t>
      </w:r>
      <w:r w:rsidR="7A943D96" w:rsidRPr="5937A937">
        <w:rPr>
          <w:rFonts w:asciiTheme="majorHAnsi" w:hAnsiTheme="majorHAnsi" w:cstheme="majorBidi"/>
          <w:sz w:val="22"/>
          <w:szCs w:val="22"/>
          <w:lang w:val="en-GB"/>
        </w:rPr>
        <w:t>heterogeneous</w:t>
      </w:r>
      <w:r w:rsidR="2C376347" w:rsidRPr="5937A937">
        <w:rPr>
          <w:rFonts w:asciiTheme="majorHAnsi" w:hAnsiTheme="majorHAnsi" w:cstheme="majorBidi"/>
          <w:sz w:val="22"/>
          <w:szCs w:val="22"/>
          <w:lang w:val="en-GB"/>
        </w:rPr>
        <w:t xml:space="preserve"> </w:t>
      </w:r>
      <w:r w:rsidR="4D9DB589" w:rsidRPr="5937A937">
        <w:rPr>
          <w:rFonts w:asciiTheme="majorHAnsi" w:hAnsiTheme="majorHAnsi" w:cstheme="majorBidi"/>
          <w:sz w:val="22"/>
          <w:szCs w:val="22"/>
          <w:lang w:val="en-GB"/>
        </w:rPr>
        <w:t xml:space="preserve">and complex </w:t>
      </w:r>
      <w:r w:rsidR="2C376347" w:rsidRPr="5937A937">
        <w:rPr>
          <w:rFonts w:asciiTheme="majorHAnsi" w:hAnsiTheme="majorHAnsi" w:cstheme="majorBidi"/>
          <w:sz w:val="22"/>
          <w:szCs w:val="22"/>
          <w:lang w:val="en-GB"/>
        </w:rPr>
        <w:t xml:space="preserve">nature of </w:t>
      </w:r>
      <w:r w:rsidR="63D2D46A" w:rsidRPr="5937A937">
        <w:rPr>
          <w:rFonts w:asciiTheme="majorHAnsi" w:hAnsiTheme="majorHAnsi" w:cstheme="majorBidi"/>
          <w:sz w:val="22"/>
          <w:szCs w:val="22"/>
          <w:lang w:val="en-GB"/>
        </w:rPr>
        <w:t>th</w:t>
      </w:r>
      <w:r w:rsidR="2C376347" w:rsidRPr="5937A937">
        <w:rPr>
          <w:rFonts w:asciiTheme="majorHAnsi" w:hAnsiTheme="majorHAnsi" w:cstheme="majorBidi"/>
          <w:sz w:val="22"/>
          <w:szCs w:val="22"/>
          <w:lang w:val="en-GB"/>
        </w:rPr>
        <w:t>e</w:t>
      </w:r>
      <w:r w:rsidR="20C6F0A2" w:rsidRPr="5937A937">
        <w:rPr>
          <w:rFonts w:asciiTheme="majorHAnsi" w:hAnsiTheme="majorHAnsi" w:cstheme="majorBidi"/>
          <w:sz w:val="22"/>
          <w:szCs w:val="22"/>
          <w:lang w:val="en-GB"/>
        </w:rPr>
        <w:t xml:space="preserve"> material and </w:t>
      </w:r>
      <w:r w:rsidR="18762BE9" w:rsidRPr="5937A937">
        <w:rPr>
          <w:rFonts w:asciiTheme="majorHAnsi" w:hAnsiTheme="majorHAnsi" w:cstheme="majorBidi"/>
          <w:sz w:val="22"/>
          <w:szCs w:val="22"/>
          <w:lang w:val="en-GB"/>
        </w:rPr>
        <w:t xml:space="preserve">the </w:t>
      </w:r>
      <w:r w:rsidR="20C6F0A2" w:rsidRPr="5937A937">
        <w:rPr>
          <w:rFonts w:asciiTheme="majorHAnsi" w:hAnsiTheme="majorHAnsi" w:cstheme="majorBidi"/>
          <w:sz w:val="22"/>
          <w:szCs w:val="22"/>
          <w:lang w:val="en-GB"/>
        </w:rPr>
        <w:t>diverse</w:t>
      </w:r>
      <w:r w:rsidR="188B9561" w:rsidRPr="5937A937">
        <w:rPr>
          <w:rFonts w:asciiTheme="majorHAnsi" w:hAnsiTheme="majorHAnsi" w:cstheme="majorBidi"/>
          <w:sz w:val="22"/>
          <w:szCs w:val="22"/>
          <w:lang w:val="en-GB"/>
        </w:rPr>
        <w:t xml:space="preserve"> </w:t>
      </w:r>
      <w:r w:rsidR="20C6F0A2" w:rsidRPr="5937A937">
        <w:rPr>
          <w:rFonts w:asciiTheme="majorHAnsi" w:hAnsiTheme="majorHAnsi" w:cstheme="majorBidi"/>
          <w:sz w:val="22"/>
          <w:szCs w:val="22"/>
          <w:lang w:val="en-GB"/>
        </w:rPr>
        <w:t>availability</w:t>
      </w:r>
      <w:r w:rsidR="2C376347" w:rsidRPr="5937A937">
        <w:rPr>
          <w:rFonts w:asciiTheme="majorHAnsi" w:hAnsiTheme="majorHAnsi" w:cstheme="majorBidi"/>
          <w:sz w:val="22"/>
          <w:szCs w:val="22"/>
          <w:lang w:val="en-GB"/>
        </w:rPr>
        <w:t xml:space="preserve"> </w:t>
      </w:r>
      <w:r w:rsidR="7B624A47" w:rsidRPr="5937A937">
        <w:rPr>
          <w:rFonts w:asciiTheme="majorHAnsi" w:hAnsiTheme="majorHAnsi" w:cstheme="majorBidi"/>
          <w:sz w:val="22"/>
          <w:szCs w:val="22"/>
          <w:lang w:val="en-GB"/>
        </w:rPr>
        <w:t xml:space="preserve">make </w:t>
      </w:r>
      <w:r w:rsidR="6EB1509C" w:rsidRPr="5937A937">
        <w:rPr>
          <w:rFonts w:asciiTheme="majorHAnsi" w:hAnsiTheme="majorHAnsi" w:cstheme="majorBidi"/>
          <w:sz w:val="22"/>
          <w:szCs w:val="22"/>
          <w:lang w:val="en-GB"/>
        </w:rPr>
        <w:t>the</w:t>
      </w:r>
      <w:r w:rsidR="7B624A47" w:rsidRPr="5937A937">
        <w:rPr>
          <w:rFonts w:asciiTheme="majorHAnsi" w:hAnsiTheme="majorHAnsi" w:cstheme="majorBidi"/>
          <w:sz w:val="22"/>
          <w:szCs w:val="22"/>
          <w:lang w:val="en-GB"/>
        </w:rPr>
        <w:t xml:space="preserve"> upgrade </w:t>
      </w:r>
      <w:r w:rsidR="640A5551" w:rsidRPr="5937A937">
        <w:rPr>
          <w:rFonts w:asciiTheme="majorHAnsi" w:hAnsiTheme="majorHAnsi" w:cstheme="majorBidi"/>
          <w:sz w:val="22"/>
          <w:szCs w:val="22"/>
          <w:lang w:val="en-GB"/>
        </w:rPr>
        <w:t xml:space="preserve">of lignocellulose </w:t>
      </w:r>
      <w:r w:rsidR="7B624A47" w:rsidRPr="5937A937">
        <w:rPr>
          <w:rFonts w:asciiTheme="majorHAnsi" w:hAnsiTheme="majorHAnsi" w:cstheme="majorBidi"/>
          <w:sz w:val="22"/>
          <w:szCs w:val="22"/>
          <w:lang w:val="en-GB"/>
        </w:rPr>
        <w:t xml:space="preserve">into fuel a challenging task at commercial </w:t>
      </w:r>
      <w:r w:rsidR="073DC7CD" w:rsidRPr="5937A937">
        <w:rPr>
          <w:rFonts w:asciiTheme="majorHAnsi" w:hAnsiTheme="majorHAnsi" w:cstheme="majorBidi"/>
          <w:sz w:val="22"/>
          <w:szCs w:val="22"/>
          <w:lang w:val="en-GB"/>
        </w:rPr>
        <w:t>scale</w:t>
      </w:r>
      <w:r w:rsidR="2C376347" w:rsidRPr="5937A937">
        <w:rPr>
          <w:rFonts w:asciiTheme="majorHAnsi" w:hAnsiTheme="majorHAnsi" w:cstheme="majorBidi"/>
          <w:sz w:val="22"/>
          <w:szCs w:val="22"/>
          <w:lang w:val="en-GB"/>
        </w:rPr>
        <w:t>.</w:t>
      </w:r>
      <w:r w:rsidR="698416EA" w:rsidRPr="5937A937">
        <w:rPr>
          <w:rFonts w:asciiTheme="majorHAnsi" w:hAnsiTheme="majorHAnsi" w:cstheme="majorBidi"/>
          <w:sz w:val="22"/>
          <w:szCs w:val="22"/>
          <w:lang w:val="en-GB"/>
        </w:rPr>
        <w:t xml:space="preserve"> There </w:t>
      </w:r>
      <w:r w:rsidR="1448C6C2" w:rsidRPr="5937A937">
        <w:rPr>
          <w:rFonts w:asciiTheme="majorHAnsi" w:hAnsiTheme="majorHAnsi" w:cstheme="majorBidi"/>
          <w:sz w:val="22"/>
          <w:szCs w:val="22"/>
          <w:lang w:val="en-GB"/>
        </w:rPr>
        <w:t xml:space="preserve">are </w:t>
      </w:r>
      <w:r w:rsidR="698416EA" w:rsidRPr="5937A937">
        <w:rPr>
          <w:rFonts w:asciiTheme="majorHAnsi" w:hAnsiTheme="majorHAnsi" w:cstheme="majorBidi"/>
          <w:sz w:val="22"/>
          <w:szCs w:val="22"/>
          <w:lang w:val="en-GB"/>
        </w:rPr>
        <w:t xml:space="preserve">different processing options for this kind of residues such as </w:t>
      </w:r>
      <w:r w:rsidR="51547C5F" w:rsidRPr="5937A937">
        <w:rPr>
          <w:rFonts w:asciiTheme="majorHAnsi" w:hAnsiTheme="majorHAnsi" w:cstheme="majorBidi"/>
          <w:sz w:val="22"/>
          <w:szCs w:val="22"/>
          <w:lang w:val="en-GB"/>
        </w:rPr>
        <w:t>pyrolysis, hydrothermal liquefaction (HTL), gasification and bio digestion</w:t>
      </w:r>
      <w:r w:rsidR="5A39CB86" w:rsidRPr="5937A937">
        <w:rPr>
          <w:rFonts w:asciiTheme="majorHAnsi" w:hAnsiTheme="majorHAnsi" w:cstheme="majorBidi"/>
          <w:sz w:val="22"/>
          <w:szCs w:val="22"/>
          <w:lang w:val="en-GB"/>
        </w:rPr>
        <w:t xml:space="preserve">, as depicted </w:t>
      </w:r>
      <w:r w:rsidR="23C3A977" w:rsidRPr="5937A937">
        <w:rPr>
          <w:rFonts w:asciiTheme="majorHAnsi" w:hAnsiTheme="majorHAnsi" w:cstheme="majorBidi"/>
          <w:sz w:val="22"/>
          <w:szCs w:val="22"/>
          <w:lang w:val="en-GB"/>
        </w:rPr>
        <w:t>in</w:t>
      </w:r>
      <w:r w:rsidR="5A39CB86" w:rsidRPr="5937A937">
        <w:rPr>
          <w:rFonts w:asciiTheme="majorHAnsi" w:hAnsiTheme="majorHAnsi" w:cstheme="majorBidi"/>
          <w:sz w:val="22"/>
          <w:szCs w:val="22"/>
          <w:lang w:val="en-GB"/>
        </w:rPr>
        <w:t xml:space="preserve"> Fig</w:t>
      </w:r>
      <w:r w:rsidR="01964E3C" w:rsidRPr="5937A937">
        <w:rPr>
          <w:rFonts w:asciiTheme="majorHAnsi" w:hAnsiTheme="majorHAnsi" w:cstheme="majorBidi"/>
          <w:sz w:val="22"/>
          <w:szCs w:val="22"/>
          <w:lang w:val="en-GB"/>
        </w:rPr>
        <w:t>.</w:t>
      </w:r>
      <w:r w:rsidR="5A39CB86" w:rsidRPr="5937A937">
        <w:rPr>
          <w:rFonts w:asciiTheme="majorHAnsi" w:hAnsiTheme="majorHAnsi" w:cstheme="majorBidi"/>
          <w:sz w:val="22"/>
          <w:szCs w:val="22"/>
          <w:lang w:val="en-GB"/>
        </w:rPr>
        <w:t xml:space="preserve"> </w:t>
      </w:r>
      <w:r w:rsidR="01964E3C" w:rsidRPr="5937A937">
        <w:rPr>
          <w:rFonts w:asciiTheme="majorHAnsi" w:hAnsiTheme="majorHAnsi" w:cstheme="majorBidi"/>
          <w:sz w:val="22"/>
          <w:szCs w:val="22"/>
          <w:lang w:val="en-GB"/>
        </w:rPr>
        <w:t>4</w:t>
      </w:r>
      <w:r w:rsidR="5A39CB86" w:rsidRPr="5937A937">
        <w:rPr>
          <w:rFonts w:asciiTheme="majorHAnsi" w:hAnsiTheme="majorHAnsi" w:cstheme="majorBidi"/>
          <w:sz w:val="22"/>
          <w:szCs w:val="22"/>
          <w:lang w:val="en-GB"/>
        </w:rPr>
        <w:t>.</w:t>
      </w:r>
      <w:r w:rsidR="15BC5B99" w:rsidRPr="5937A937">
        <w:rPr>
          <w:rFonts w:asciiTheme="majorHAnsi" w:hAnsiTheme="majorHAnsi" w:cstheme="majorBidi"/>
          <w:sz w:val="22"/>
          <w:szCs w:val="22"/>
          <w:lang w:val="en-GB"/>
        </w:rPr>
        <w:t xml:space="preserve"> </w:t>
      </w:r>
      <w:r w:rsidR="038229CA" w:rsidRPr="5937A937">
        <w:rPr>
          <w:rFonts w:asciiTheme="majorHAnsi" w:hAnsiTheme="majorHAnsi" w:cstheme="majorBidi"/>
          <w:sz w:val="22"/>
          <w:szCs w:val="22"/>
          <w:lang w:val="en-GB"/>
        </w:rPr>
        <w:t>These are at different stages of development</w:t>
      </w:r>
      <w:r w:rsidR="774316E7" w:rsidRPr="5937A937">
        <w:rPr>
          <w:rFonts w:asciiTheme="majorHAnsi" w:hAnsiTheme="majorHAnsi" w:cstheme="majorBidi"/>
          <w:sz w:val="22"/>
          <w:szCs w:val="22"/>
          <w:lang w:val="en-GB"/>
        </w:rPr>
        <w:t xml:space="preserve"> though</w:t>
      </w:r>
      <w:r w:rsidR="038229CA" w:rsidRPr="5937A937">
        <w:rPr>
          <w:rFonts w:asciiTheme="majorHAnsi" w:hAnsiTheme="majorHAnsi" w:cstheme="majorBidi"/>
          <w:sz w:val="22"/>
          <w:szCs w:val="22"/>
          <w:lang w:val="en-GB"/>
        </w:rPr>
        <w:t xml:space="preserve">. </w:t>
      </w:r>
    </w:p>
    <w:p w14:paraId="4399D9CC" w14:textId="00454227" w:rsidR="005A2C5B" w:rsidRDefault="005A2C5B" w:rsidP="65215FB1">
      <w:pPr>
        <w:spacing w:line="360" w:lineRule="auto"/>
        <w:ind w:firstLine="720"/>
        <w:rPr>
          <w:rFonts w:asciiTheme="majorHAnsi" w:hAnsiTheme="majorHAnsi" w:cstheme="majorHAnsi"/>
          <w:sz w:val="22"/>
          <w:szCs w:val="22"/>
          <w:lang w:val="en-GB"/>
        </w:rPr>
      </w:pPr>
    </w:p>
    <w:p w14:paraId="556F8847" w14:textId="77777777" w:rsidR="005A2C5B" w:rsidRDefault="44173262" w:rsidP="5937A937">
      <w:pPr>
        <w:keepNext/>
        <w:spacing w:line="360" w:lineRule="auto"/>
        <w:jc w:val="center"/>
      </w:pPr>
      <w:r>
        <w:rPr>
          <w:noProof/>
        </w:rPr>
        <w:lastRenderedPageBreak/>
        <w:drawing>
          <wp:inline distT="0" distB="0" distL="0" distR="0" wp14:anchorId="13536A0E" wp14:editId="6DA8FAF6">
            <wp:extent cx="5829300" cy="4238387"/>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829300" cy="4238387"/>
                    </a:xfrm>
                    <a:prstGeom prst="rect">
                      <a:avLst/>
                    </a:prstGeom>
                  </pic:spPr>
                </pic:pic>
              </a:graphicData>
            </a:graphic>
          </wp:inline>
        </w:drawing>
      </w:r>
    </w:p>
    <w:p w14:paraId="7C0779E0" w14:textId="61AB34F8" w:rsidR="005A2C5B" w:rsidRDefault="005A2C5B" w:rsidP="005A2C5B">
      <w:pPr>
        <w:pStyle w:val="Caption"/>
      </w:pPr>
      <w:bookmarkStart w:id="25" w:name="_Toc85627882"/>
      <w:r>
        <w:t xml:space="preserve">Figure </w:t>
      </w:r>
      <w:fldSimple w:instr=" SEQ Figure \* ARABIC ">
        <w:r w:rsidR="009C66F7">
          <w:rPr>
            <w:noProof/>
          </w:rPr>
          <w:t>4</w:t>
        </w:r>
      </w:fldSimple>
      <w:r>
        <w:t xml:space="preserve">. </w:t>
      </w:r>
      <w:r w:rsidRPr="00003165">
        <w:t>Overall flowchart for biofuel production starting from different feedstocks</w:t>
      </w:r>
      <w:r w:rsidR="0078056B">
        <w:t xml:space="preserve"> (</w:t>
      </w:r>
      <w:r w:rsidR="000378E4">
        <w:t>s</w:t>
      </w:r>
      <w:r w:rsidR="00512A9B">
        <w:t>ource:</w:t>
      </w:r>
      <w:r w:rsidRPr="00003165">
        <w:t xml:space="preserve"> IEA Bioenergy 2017</w:t>
      </w:r>
      <w:r w:rsidR="0078056B">
        <w:t>)</w:t>
      </w:r>
      <w:r>
        <w:t>.</w:t>
      </w:r>
      <w:bookmarkEnd w:id="25"/>
    </w:p>
    <w:p w14:paraId="4847CD08" w14:textId="77777777" w:rsidR="00DD5C73" w:rsidRPr="00DD5C73" w:rsidRDefault="00DD5C73" w:rsidP="00DD5C73">
      <w:pPr>
        <w:rPr>
          <w:lang w:val="en-GB"/>
        </w:rPr>
      </w:pPr>
    </w:p>
    <w:p w14:paraId="6B709178" w14:textId="6778D20A" w:rsidR="70D01BEB" w:rsidRPr="00DD5C73" w:rsidRDefault="70D01BEB" w:rsidP="005D6854">
      <w:pPr>
        <w:pStyle w:val="Heading2"/>
      </w:pPr>
      <w:bookmarkStart w:id="26" w:name="_Toc85627865"/>
      <w:r>
        <w:t>Green House Gas Emissions</w:t>
      </w:r>
      <w:bookmarkEnd w:id="26"/>
    </w:p>
    <w:p w14:paraId="512D34B3" w14:textId="7C99559D" w:rsidR="65215FB1" w:rsidRDefault="65215FB1" w:rsidP="65215FB1">
      <w:pPr>
        <w:rPr>
          <w:lang w:val="en-GB"/>
        </w:rPr>
      </w:pPr>
    </w:p>
    <w:p w14:paraId="1CC55B72" w14:textId="3104EE92" w:rsidR="00C53804" w:rsidRPr="00650B23" w:rsidRDefault="31A87CC4" w:rsidP="5937A937">
      <w:pPr>
        <w:spacing w:line="360" w:lineRule="auto"/>
        <w:ind w:firstLine="720"/>
        <w:rPr>
          <w:rFonts w:eastAsia="Calibri" w:cs="Calibri"/>
          <w:color w:val="0C0C0C" w:themeColor="text1"/>
          <w:sz w:val="22"/>
          <w:szCs w:val="22"/>
          <w:lang w:val="en-GB"/>
        </w:rPr>
      </w:pPr>
      <w:r w:rsidRPr="5937A937">
        <w:rPr>
          <w:rFonts w:eastAsia="Calibri" w:cs="Calibri"/>
          <w:color w:val="0C0C0C" w:themeColor="text1"/>
          <w:sz w:val="22"/>
          <w:szCs w:val="22"/>
          <w:lang w:val="en-GB"/>
        </w:rPr>
        <w:t xml:space="preserve">For marine fuels, </w:t>
      </w:r>
      <w:r w:rsidR="109656E5" w:rsidRPr="5937A937">
        <w:rPr>
          <w:rFonts w:eastAsia="Calibri" w:cs="Calibri"/>
          <w:color w:val="0C0C0C" w:themeColor="text1"/>
          <w:sz w:val="22"/>
          <w:szCs w:val="22"/>
          <w:lang w:val="en-GB"/>
        </w:rPr>
        <w:t>IMO directives are the primary criteria</w:t>
      </w:r>
      <w:r w:rsidRPr="5937A937">
        <w:rPr>
          <w:rFonts w:eastAsia="Calibri" w:cs="Calibri"/>
          <w:color w:val="0C0C0C" w:themeColor="text1"/>
          <w:sz w:val="22"/>
          <w:szCs w:val="22"/>
          <w:lang w:val="en-GB"/>
        </w:rPr>
        <w:t xml:space="preserve"> on fuel selection</w:t>
      </w:r>
      <w:r w:rsidR="0AB3F2A3" w:rsidRPr="5937A937">
        <w:rPr>
          <w:rFonts w:eastAsia="Calibri" w:cs="Calibri"/>
          <w:color w:val="0C0C0C" w:themeColor="text1"/>
          <w:sz w:val="22"/>
          <w:szCs w:val="22"/>
          <w:lang w:val="en-GB"/>
        </w:rPr>
        <w:t xml:space="preserve">, especially with regard to the </w:t>
      </w:r>
      <w:r w:rsidR="00E42C76">
        <w:rPr>
          <w:rFonts w:eastAsia="Calibri" w:cs="Calibri"/>
          <w:color w:val="0C0C0C" w:themeColor="text1"/>
          <w:sz w:val="22"/>
          <w:szCs w:val="22"/>
          <w:lang w:val="en-GB"/>
        </w:rPr>
        <w:t>s</w:t>
      </w:r>
      <w:r w:rsidR="00E42C76" w:rsidRPr="5937A937">
        <w:rPr>
          <w:rFonts w:eastAsia="Calibri" w:cs="Calibri"/>
          <w:color w:val="0C0C0C" w:themeColor="text1"/>
          <w:sz w:val="22"/>
          <w:szCs w:val="22"/>
          <w:lang w:val="en-GB"/>
        </w:rPr>
        <w:t>ul</w:t>
      </w:r>
      <w:r w:rsidR="00E42C76">
        <w:rPr>
          <w:rFonts w:eastAsia="Calibri" w:cs="Calibri"/>
          <w:color w:val="0C0C0C" w:themeColor="text1"/>
          <w:sz w:val="22"/>
          <w:szCs w:val="22"/>
          <w:lang w:val="en-GB"/>
        </w:rPr>
        <w:t>p</w:t>
      </w:r>
      <w:r w:rsidR="00E42C76" w:rsidRPr="5937A937">
        <w:rPr>
          <w:rFonts w:eastAsia="Calibri" w:cs="Calibri"/>
          <w:color w:val="0C0C0C" w:themeColor="text1"/>
          <w:sz w:val="22"/>
          <w:szCs w:val="22"/>
          <w:lang w:val="en-GB"/>
        </w:rPr>
        <w:t>hur</w:t>
      </w:r>
      <w:r w:rsidR="0AB3F2A3" w:rsidRPr="5937A937">
        <w:rPr>
          <w:rFonts w:eastAsia="Calibri" w:cs="Calibri"/>
          <w:color w:val="0C0C0C" w:themeColor="text1"/>
          <w:sz w:val="22"/>
          <w:szCs w:val="22"/>
          <w:lang w:val="en-GB"/>
        </w:rPr>
        <w:t xml:space="preserve"> content.</w:t>
      </w:r>
      <w:r w:rsidRPr="5937A937">
        <w:rPr>
          <w:rFonts w:eastAsia="Calibri" w:cs="Calibri"/>
          <w:color w:val="0C0C0C" w:themeColor="text1"/>
          <w:sz w:val="22"/>
          <w:szCs w:val="22"/>
          <w:lang w:val="en-GB"/>
        </w:rPr>
        <w:t xml:space="preserve"> </w:t>
      </w:r>
      <w:r w:rsidR="19A4E9CC" w:rsidRPr="5937A937">
        <w:rPr>
          <w:rFonts w:eastAsia="Calibri" w:cs="Calibri"/>
          <w:color w:val="0C0C0C" w:themeColor="text1"/>
          <w:sz w:val="22"/>
          <w:szCs w:val="22"/>
          <w:lang w:val="en-GB"/>
        </w:rPr>
        <w:t>They relate to the direct emissions coming from the engine</w:t>
      </w:r>
      <w:r w:rsidR="625995CA" w:rsidRPr="5937A937">
        <w:rPr>
          <w:rFonts w:eastAsia="Calibri" w:cs="Calibri"/>
          <w:color w:val="0C0C0C" w:themeColor="text1"/>
          <w:sz w:val="22"/>
          <w:szCs w:val="22"/>
          <w:lang w:val="en-GB"/>
        </w:rPr>
        <w:t>, tracked back to fuel mass composition.</w:t>
      </w:r>
      <w:r w:rsidR="31B9DD54" w:rsidRPr="5937A937">
        <w:rPr>
          <w:rFonts w:eastAsia="Calibri" w:cs="Calibri"/>
          <w:color w:val="0C0C0C" w:themeColor="text1"/>
          <w:sz w:val="22"/>
          <w:szCs w:val="22"/>
          <w:lang w:val="en-GB"/>
        </w:rPr>
        <w:t xml:space="preserve"> </w:t>
      </w:r>
      <w:r w:rsidRPr="5937A937">
        <w:rPr>
          <w:rFonts w:eastAsia="Calibri" w:cs="Calibri"/>
          <w:color w:val="0C0C0C" w:themeColor="text1"/>
          <w:sz w:val="22"/>
          <w:szCs w:val="22"/>
          <w:lang w:val="en-GB"/>
        </w:rPr>
        <w:t>G</w:t>
      </w:r>
      <w:r w:rsidR="4DF50309" w:rsidRPr="5937A937">
        <w:rPr>
          <w:rFonts w:eastAsia="Calibri" w:cs="Calibri"/>
          <w:color w:val="0C0C0C" w:themeColor="text1"/>
          <w:sz w:val="22"/>
          <w:szCs w:val="22"/>
          <w:lang w:val="en-GB"/>
        </w:rPr>
        <w:t>HG</w:t>
      </w:r>
      <w:r w:rsidRPr="5937A937">
        <w:rPr>
          <w:rFonts w:eastAsia="Calibri" w:cs="Calibri"/>
          <w:color w:val="0C0C0C" w:themeColor="text1"/>
          <w:sz w:val="22"/>
          <w:szCs w:val="22"/>
          <w:lang w:val="en-GB"/>
        </w:rPr>
        <w:t xml:space="preserve"> emissions</w:t>
      </w:r>
      <w:r w:rsidR="7CABD465" w:rsidRPr="5937A937">
        <w:rPr>
          <w:rFonts w:eastAsia="Calibri" w:cs="Calibri"/>
          <w:color w:val="0C0C0C" w:themeColor="text1"/>
          <w:sz w:val="22"/>
          <w:szCs w:val="22"/>
          <w:lang w:val="en-GB"/>
        </w:rPr>
        <w:t>, on the other hand,</w:t>
      </w:r>
      <w:r w:rsidRPr="5937A937">
        <w:rPr>
          <w:rFonts w:eastAsia="Calibri" w:cs="Calibri"/>
          <w:color w:val="0C0C0C" w:themeColor="text1"/>
          <w:sz w:val="22"/>
          <w:szCs w:val="22"/>
          <w:lang w:val="en-GB"/>
        </w:rPr>
        <w:t xml:space="preserve"> are accounted from the life cycle of the given fuel. Carbon</w:t>
      </w:r>
      <w:r w:rsidR="0E9F1F1F" w:rsidRPr="5937A937">
        <w:rPr>
          <w:rFonts w:eastAsia="Calibri" w:cs="Calibri"/>
          <w:color w:val="0C0C0C" w:themeColor="text1"/>
          <w:sz w:val="22"/>
          <w:szCs w:val="22"/>
          <w:lang w:val="en-GB"/>
        </w:rPr>
        <w:t xml:space="preserve"> dioxide</w:t>
      </w:r>
      <w:r w:rsidRPr="5937A937">
        <w:rPr>
          <w:rFonts w:eastAsia="Calibri" w:cs="Calibri"/>
          <w:color w:val="0C0C0C" w:themeColor="text1"/>
          <w:sz w:val="22"/>
          <w:szCs w:val="22"/>
          <w:lang w:val="en-GB"/>
        </w:rPr>
        <w:t xml:space="preserve"> equivalent (CO</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eq) is the unit usually adopted on dealing with GHG emissions. It translates the impact of a group of molecules, e.g., COx, NOx, SOx and methane (CH</w:t>
      </w:r>
      <w:r w:rsidRPr="5937A937">
        <w:rPr>
          <w:rFonts w:eastAsia="Calibri" w:cs="Calibri"/>
          <w:color w:val="0C0C0C" w:themeColor="text1"/>
          <w:sz w:val="22"/>
          <w:szCs w:val="22"/>
          <w:vertAlign w:val="subscript"/>
          <w:lang w:val="en-GB"/>
        </w:rPr>
        <w:t>4</w:t>
      </w:r>
      <w:r w:rsidRPr="5937A937">
        <w:rPr>
          <w:rFonts w:eastAsia="Calibri" w:cs="Calibri"/>
          <w:color w:val="0C0C0C" w:themeColor="text1"/>
          <w:sz w:val="22"/>
          <w:szCs w:val="22"/>
          <w:lang w:val="en-GB"/>
        </w:rPr>
        <w:t>), into a common unit expressed as a quantity of CO</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For example, one unit of CH</w:t>
      </w:r>
      <w:r w:rsidRPr="5937A937">
        <w:rPr>
          <w:rFonts w:eastAsia="Calibri" w:cs="Calibri"/>
          <w:color w:val="0C0C0C" w:themeColor="text1"/>
          <w:sz w:val="22"/>
          <w:szCs w:val="22"/>
          <w:vertAlign w:val="subscript"/>
          <w:lang w:val="en-GB"/>
        </w:rPr>
        <w:t>4</w:t>
      </w:r>
      <w:r w:rsidRPr="5937A937">
        <w:rPr>
          <w:rFonts w:eastAsia="Calibri" w:cs="Calibri"/>
          <w:color w:val="0C0C0C" w:themeColor="text1"/>
          <w:sz w:val="22"/>
          <w:szCs w:val="22"/>
          <w:lang w:val="en-GB"/>
        </w:rPr>
        <w:t xml:space="preserve"> would account for </w:t>
      </w:r>
      <w:r w:rsidR="2FEF1C0E" w:rsidRPr="5937A937">
        <w:rPr>
          <w:rFonts w:eastAsia="Calibri" w:cs="Calibri"/>
          <w:color w:val="0C0C0C" w:themeColor="text1"/>
          <w:sz w:val="22"/>
          <w:szCs w:val="22"/>
          <w:lang w:val="en-GB"/>
        </w:rPr>
        <w:t>approximatively 30</w:t>
      </w:r>
      <w:r w:rsidRPr="5937A937">
        <w:rPr>
          <w:rFonts w:eastAsia="Calibri" w:cs="Calibri"/>
          <w:color w:val="0C0C0C" w:themeColor="text1"/>
          <w:sz w:val="22"/>
          <w:szCs w:val="22"/>
          <w:lang w:val="en-GB"/>
        </w:rPr>
        <w:t xml:space="preserve"> units of CO</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based on their inherent intensity as greenhouse gas</w:t>
      </w:r>
      <w:r w:rsidR="00182583">
        <w:rPr>
          <w:rFonts w:eastAsia="Calibri" w:cs="Calibri"/>
          <w:color w:val="0C0C0C" w:themeColor="text1"/>
          <w:sz w:val="22"/>
          <w:szCs w:val="22"/>
          <w:lang w:val="en-GB"/>
        </w:rPr>
        <w:t xml:space="preserve"> </w:t>
      </w:r>
      <w:r w:rsidR="0084761F">
        <w:rPr>
          <w:rFonts w:eastAsia="Calibri" w:cs="Calibri"/>
          <w:color w:val="0C0C0C" w:themeColor="text1"/>
          <w:sz w:val="22"/>
          <w:szCs w:val="22"/>
          <w:lang w:val="en-GB"/>
        </w:rPr>
        <w:fldChar w:fldCharType="begin" w:fldLock="1"/>
      </w:r>
      <w:r w:rsidR="0005204F">
        <w:rPr>
          <w:rFonts w:eastAsia="Calibri" w:cs="Calibri"/>
          <w:color w:val="0C0C0C" w:themeColor="text1"/>
          <w:sz w:val="22"/>
          <w:szCs w:val="22"/>
          <w:lang w:val="en-GB"/>
        </w:rPr>
        <w:instrText>ADDIN CSL_CITATION {"citationItems":[{"id":"ITEM-1","itemData":{"abstract":"Contribution of Working Group I to the Fifth Assessment Report of the Intergovernmental","author":[{"dropping-particle":"","family":"Myhre, G.","given":"D.","non-dropping-particle":"","parse-names":false,"suffix":""},{"dropping-particle":"","family":"Shindell","given":"F.‐M.","non-dropping-particle":"","parse-names":false,"suffix":""},{"dropping-particle":"","family":"Bréon","given":"W.","non-dropping-particle":"","parse-names":false,"suffix":""},{"dropping-particle":"","family":"Collins","given":"J.","non-dropping-particle":"","parse-names":false,"suffix":""},{"dropping-particle":"","family":"Fuglestvedt","given":"J.","non-dropping-particle":"","parse-names":false,"suffix":""},{"dropping-particle":"","family":"Huang","given":"D.","non-dropping-particle":"","parse-names":false,"suffix":""},{"dropping-particle":"","family":"Koch","given":"J.‐F.","non-dropping-particle":"","parse-names":false,"suffix":""},{"dropping-particle":"","family":"Lamarque","given":"D.","non-dropping-particle":"","parse-names":false,"suffix":""},{"dropping-particle":"","family":"Lee","given":"B.","non-dropping-particle":"","parse-names":false,"suffix":""},{"dropping-particle":"","family":"Mendoza","given":"T.","non-dropping-particle":"","parse-names":false,"suffix":""},{"dropping-particle":"","family":"Nakajima","given":"A.","non-dropping-particle":"","parse-names":false,"suffix":""},{"dropping-particle":"","family":"Robock","given":"G.","non-dropping-particle":"","parse-names":false,"suffix":""},{"dropping-particle":"","family":"Stephens","given":"T.","non-dropping-particle":"","parse-names":false,"suffix":""},{"dropping-particle":"","family":"Takemura","given":"","non-dropping-particle":"","parse-names":false,"suffix":""},{"dropping-particle":"","family":"Zhang","given":"H.","non-dropping-particle":"","parse-names":false,"suffix":""}],"container-title":"Greenhouse Gas Protocol","id":"ITEM-1","issue":"1995","issued":{"date-parts":[["2015"]]},"page":"2-5","title":"Global Warming Potential Values","type":"article-journal","volume":"2014"},"uris":["http://www.mendeley.com/documents/?uuid=7aee5742-ab6d-4f1b-94ba-1fcbc5cd8013"]}],"mendeley":{"formattedCitation":"(Myhre, G. et al., 2015)","plainTextFormattedCitation":"(Myhre, G. et al., 2015)","previouslyFormattedCitation":"(Myhre, G. et al., 2015)"},"properties":{"noteIndex":0},"schema":"https://github.com/citation-style-language/schema/raw/master/csl-citation.json"}</w:instrText>
      </w:r>
      <w:r w:rsidR="0084761F">
        <w:rPr>
          <w:rFonts w:eastAsia="Calibri" w:cs="Calibri"/>
          <w:color w:val="0C0C0C" w:themeColor="text1"/>
          <w:sz w:val="22"/>
          <w:szCs w:val="22"/>
          <w:lang w:val="en-GB"/>
        </w:rPr>
        <w:fldChar w:fldCharType="separate"/>
      </w:r>
      <w:r w:rsidR="0084761F" w:rsidRPr="0084761F">
        <w:rPr>
          <w:rFonts w:eastAsia="Calibri" w:cs="Calibri"/>
          <w:noProof/>
          <w:color w:val="0C0C0C" w:themeColor="text1"/>
          <w:sz w:val="22"/>
          <w:szCs w:val="22"/>
          <w:lang w:val="en-GB"/>
        </w:rPr>
        <w:t>(Myhre, G. et al., 2015)</w:t>
      </w:r>
      <w:r w:rsidR="0084761F">
        <w:rPr>
          <w:rFonts w:eastAsia="Calibri" w:cs="Calibri"/>
          <w:color w:val="0C0C0C" w:themeColor="text1"/>
          <w:sz w:val="22"/>
          <w:szCs w:val="22"/>
          <w:lang w:val="en-GB"/>
        </w:rPr>
        <w:fldChar w:fldCharType="end"/>
      </w:r>
      <w:r w:rsidR="0084761F">
        <w:rPr>
          <w:rFonts w:eastAsia="Calibri" w:cs="Calibri"/>
          <w:color w:val="0C0C0C" w:themeColor="text1"/>
          <w:sz w:val="22"/>
          <w:szCs w:val="22"/>
          <w:lang w:val="en-GB"/>
        </w:rPr>
        <w:t xml:space="preserve">. </w:t>
      </w:r>
    </w:p>
    <w:p w14:paraId="03C1BFC5" w14:textId="2C6A366F" w:rsidR="00C53804" w:rsidRPr="00650B23" w:rsidRDefault="31A87CC4" w:rsidP="5937A937">
      <w:pPr>
        <w:spacing w:line="360" w:lineRule="auto"/>
        <w:ind w:firstLine="720"/>
        <w:rPr>
          <w:rFonts w:eastAsia="Calibri" w:cs="Calibri"/>
          <w:color w:val="0C0C0C" w:themeColor="text1"/>
          <w:sz w:val="22"/>
          <w:szCs w:val="22"/>
          <w:lang w:val="en-GB"/>
        </w:rPr>
      </w:pPr>
      <w:r w:rsidRPr="5937A937">
        <w:rPr>
          <w:rFonts w:eastAsia="Calibri" w:cs="Calibri"/>
          <w:color w:val="0C0C0C" w:themeColor="text1"/>
          <w:sz w:val="22"/>
          <w:szCs w:val="22"/>
          <w:lang w:val="en-GB"/>
        </w:rPr>
        <w:t>The life cycle emissions are quantified through the life cycle analysis (LCA) methodology, which considers the emissions from w</w:t>
      </w:r>
      <w:r w:rsidR="1592BB93" w:rsidRPr="5937A937">
        <w:rPr>
          <w:rFonts w:eastAsia="Calibri" w:cs="Calibri"/>
          <w:color w:val="0C0C0C" w:themeColor="text1"/>
          <w:sz w:val="22"/>
          <w:szCs w:val="22"/>
          <w:lang w:val="en-GB"/>
        </w:rPr>
        <w:t>ell</w:t>
      </w:r>
      <w:r w:rsidRPr="5937A937">
        <w:rPr>
          <w:rFonts w:eastAsia="Calibri" w:cs="Calibri"/>
          <w:color w:val="0C0C0C" w:themeColor="text1"/>
          <w:sz w:val="22"/>
          <w:szCs w:val="22"/>
          <w:lang w:val="en-GB"/>
        </w:rPr>
        <w:t>-to-w</w:t>
      </w:r>
      <w:r w:rsidR="7B4481D1" w:rsidRPr="5937A937">
        <w:rPr>
          <w:rFonts w:eastAsia="Calibri" w:cs="Calibri"/>
          <w:color w:val="0C0C0C" w:themeColor="text1"/>
          <w:sz w:val="22"/>
          <w:szCs w:val="22"/>
          <w:lang w:val="en-GB"/>
        </w:rPr>
        <w:t>ake</w:t>
      </w:r>
      <w:r w:rsidRPr="5937A937">
        <w:rPr>
          <w:rFonts w:eastAsia="Calibri" w:cs="Calibri"/>
          <w:color w:val="0C0C0C" w:themeColor="text1"/>
          <w:sz w:val="22"/>
          <w:szCs w:val="22"/>
          <w:lang w:val="en-GB"/>
        </w:rPr>
        <w:t xml:space="preserve"> of the given fuel. Taking ammonia as an example, the LCA will consider the energy</w:t>
      </w:r>
      <w:r w:rsidR="49CB4C7E" w:rsidRPr="5937A937">
        <w:rPr>
          <w:rFonts w:eastAsia="Calibri" w:cs="Calibri"/>
          <w:color w:val="0C0C0C" w:themeColor="text1"/>
          <w:sz w:val="22"/>
          <w:szCs w:val="22"/>
          <w:lang w:val="en-GB"/>
        </w:rPr>
        <w:t xml:space="preserve"> and</w:t>
      </w:r>
      <w:r w:rsidRPr="5937A937">
        <w:rPr>
          <w:rFonts w:eastAsia="Calibri" w:cs="Calibri"/>
          <w:color w:val="0C0C0C" w:themeColor="text1"/>
          <w:sz w:val="22"/>
          <w:szCs w:val="22"/>
          <w:lang w:val="en-GB"/>
        </w:rPr>
        <w:t xml:space="preserve"> material inputs </w:t>
      </w:r>
      <w:r w:rsidR="79EE0330" w:rsidRPr="5937A937">
        <w:rPr>
          <w:rFonts w:eastAsia="Calibri" w:cs="Calibri"/>
          <w:color w:val="0C0C0C" w:themeColor="text1"/>
          <w:sz w:val="22"/>
          <w:szCs w:val="22"/>
          <w:lang w:val="en-GB"/>
        </w:rPr>
        <w:t>consum</w:t>
      </w:r>
      <w:r w:rsidRPr="5937A937">
        <w:rPr>
          <w:rFonts w:eastAsia="Calibri" w:cs="Calibri"/>
          <w:color w:val="0C0C0C" w:themeColor="text1"/>
          <w:sz w:val="22"/>
          <w:szCs w:val="22"/>
          <w:lang w:val="en-GB"/>
        </w:rPr>
        <w:t xml:space="preserve">ed </w:t>
      </w:r>
      <w:r w:rsidR="0C9D943B" w:rsidRPr="5937A937">
        <w:rPr>
          <w:rFonts w:eastAsia="Calibri" w:cs="Calibri"/>
          <w:color w:val="0C0C0C" w:themeColor="text1"/>
          <w:sz w:val="22"/>
          <w:szCs w:val="22"/>
          <w:lang w:val="en-GB"/>
        </w:rPr>
        <w:t>along the production chain, including</w:t>
      </w:r>
      <w:r w:rsidR="5FA70C2D" w:rsidRPr="5937A937">
        <w:rPr>
          <w:rFonts w:eastAsia="Calibri" w:cs="Calibri"/>
          <w:color w:val="0C0C0C" w:themeColor="text1"/>
          <w:sz w:val="22"/>
          <w:szCs w:val="22"/>
          <w:lang w:val="en-GB"/>
        </w:rPr>
        <w:t xml:space="preserve"> emissions </w:t>
      </w:r>
      <w:r w:rsidR="15AC2722" w:rsidRPr="5937A937">
        <w:rPr>
          <w:rFonts w:eastAsia="Calibri" w:cs="Calibri"/>
          <w:color w:val="0C0C0C" w:themeColor="text1"/>
          <w:sz w:val="22"/>
          <w:szCs w:val="22"/>
          <w:lang w:val="en-GB"/>
        </w:rPr>
        <w:t>related</w:t>
      </w:r>
      <w:r w:rsidR="0C9D943B" w:rsidRPr="5937A937">
        <w:rPr>
          <w:rFonts w:eastAsia="Calibri" w:cs="Calibri"/>
          <w:color w:val="0C0C0C" w:themeColor="text1"/>
          <w:sz w:val="22"/>
          <w:szCs w:val="22"/>
          <w:lang w:val="en-GB"/>
        </w:rPr>
        <w:t xml:space="preserve"> </w:t>
      </w:r>
      <w:r w:rsidRPr="5937A937">
        <w:rPr>
          <w:rFonts w:eastAsia="Calibri" w:cs="Calibri"/>
          <w:color w:val="0C0C0C" w:themeColor="text1"/>
          <w:sz w:val="22"/>
          <w:szCs w:val="22"/>
          <w:lang w:val="en-GB"/>
        </w:rPr>
        <w:t>to H</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xml:space="preserve"> and N</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xml:space="preserve"> production</w:t>
      </w:r>
      <w:r w:rsidR="2B50A843" w:rsidRPr="5937A937">
        <w:rPr>
          <w:rFonts w:eastAsia="Calibri" w:cs="Calibri"/>
          <w:color w:val="0C0C0C" w:themeColor="text1"/>
          <w:sz w:val="22"/>
          <w:szCs w:val="22"/>
          <w:lang w:val="en-GB"/>
        </w:rPr>
        <w:t>. LCA will also account emission for material disposal</w:t>
      </w:r>
      <w:r w:rsidR="0005204F">
        <w:rPr>
          <w:rFonts w:eastAsia="Calibri" w:cs="Calibri"/>
          <w:color w:val="0C0C0C" w:themeColor="text1"/>
          <w:sz w:val="22"/>
          <w:szCs w:val="22"/>
          <w:lang w:val="en-GB"/>
        </w:rPr>
        <w:t xml:space="preserve"> </w:t>
      </w:r>
      <w:r w:rsidR="0005204F">
        <w:rPr>
          <w:rFonts w:eastAsia="Calibri" w:cs="Calibri"/>
          <w:color w:val="0C0C0C" w:themeColor="text1"/>
          <w:sz w:val="22"/>
          <w:szCs w:val="22"/>
          <w:lang w:val="en-GB"/>
        </w:rPr>
        <w:fldChar w:fldCharType="begin" w:fldLock="1"/>
      </w:r>
      <w:r w:rsidR="009F7EC4">
        <w:rPr>
          <w:rFonts w:eastAsia="Calibri" w:cs="Calibri"/>
          <w:color w:val="0C0C0C" w:themeColor="text1"/>
          <w:sz w:val="22"/>
          <w:szCs w:val="22"/>
          <w:lang w:val="en-GB"/>
        </w:rPr>
        <w:instrText>ADDIN CSL_CITATION {"citationItems":[{"id":"ITEM-1","itemData":{"ISBN":"978-1-78252-422-9","abstract":"The need to achieve net-zero greenhouse gas emissions from all human activities has never been clearer. One area requiring urgent action is the transition from the use of fossil fuels for transport. Whilst the decarbonisation of electricity is progressing and many transport modes can feasibly be electrified, some transport modes, such as heavy-duty vehicles, aircraft and shipping will require different technological options. Sustainable synthetic fuels offer one solution. What are sustainable synthetic fuels? They are carbon based fuels made from non-fossil resources, with energy densities similar to fossil fuels. This means that they can be transported using existing infrastructure and used in existing engines with little or no modification. The report considers two types of sustainable synthetic fuels: electro fuels (efuels) and synthetic biofuels. Efuels are made by combining hydrogen (from for example the electrolysis of water) with carbon dioxide (from direct air capture or a point source). Synthetic biofuels can be made from biological material (for example waste from forestry) or from further processing biofuels (for example ethanol). Whilst synthetic fuels can be “dropped in” to existing engines, they are currently more expensive than fossil fuels and, in the case of efuels, could be thought of as an inefficient use of renewable electricity. However, where renewable electricity is cheap and plentiful, the manufacture and export of bulk efuels might make economic sense. Key research challenges identified include improving the fundamental understanding of catalysis; the need to produce cheap low-carbon hydrogen at scale; and developing sources of competitively priced low carbon energy are key to the development of synthetic efuels and biofuels. The UK has the research skills and capacity to improve many of these process steps such as in catalysis and biotechnology, and to provide a further area of UK leadership in low-carbon energy.","author":[{"dropping-particle":"","family":"The Royal Society","given":"","non-dropping-particle":"","parse-names":false,"suffix":""}],"id":"ITEM-1","issued":{"date-parts":[["2019"]]},"title":"Sustainable synthetic carbon based fuels for transport","type":"book"},"uris":["http://www.mendeley.com/documents/?uuid=bbfc26f9-f9ca-47eb-bd26-485d0e9da855"]}],"mendeley":{"formattedCitation":"(The Royal Society, 2019)","plainTextFormattedCitation":"(The Royal Society, 2019)","previouslyFormattedCitation":"(The Royal Society, 2019)"},"properties":{"noteIndex":0},"schema":"https://github.com/citation-style-language/schema/raw/master/csl-citation.json"}</w:instrText>
      </w:r>
      <w:r w:rsidR="0005204F">
        <w:rPr>
          <w:rFonts w:eastAsia="Calibri" w:cs="Calibri"/>
          <w:color w:val="0C0C0C" w:themeColor="text1"/>
          <w:sz w:val="22"/>
          <w:szCs w:val="22"/>
          <w:lang w:val="en-GB"/>
        </w:rPr>
        <w:fldChar w:fldCharType="separate"/>
      </w:r>
      <w:r w:rsidR="0005204F" w:rsidRPr="0005204F">
        <w:rPr>
          <w:rFonts w:eastAsia="Calibri" w:cs="Calibri"/>
          <w:noProof/>
          <w:color w:val="0C0C0C" w:themeColor="text1"/>
          <w:sz w:val="22"/>
          <w:szCs w:val="22"/>
          <w:lang w:val="en-GB"/>
        </w:rPr>
        <w:t>(The Royal Society, 2019)</w:t>
      </w:r>
      <w:r w:rsidR="0005204F">
        <w:rPr>
          <w:rFonts w:eastAsia="Calibri" w:cs="Calibri"/>
          <w:color w:val="0C0C0C" w:themeColor="text1"/>
          <w:sz w:val="22"/>
          <w:szCs w:val="22"/>
          <w:lang w:val="en-GB"/>
        </w:rPr>
        <w:fldChar w:fldCharType="end"/>
      </w:r>
      <w:r w:rsidR="2B50A843" w:rsidRPr="5937A937">
        <w:rPr>
          <w:rFonts w:eastAsia="Calibri" w:cs="Calibri"/>
          <w:color w:val="0C0C0C" w:themeColor="text1"/>
          <w:sz w:val="22"/>
          <w:szCs w:val="22"/>
          <w:lang w:val="en-GB"/>
        </w:rPr>
        <w:t>.</w:t>
      </w:r>
    </w:p>
    <w:p w14:paraId="5D65D063" w14:textId="045BE8B7" w:rsidR="00C53804" w:rsidRDefault="056C4D2F" w:rsidP="5937A937">
      <w:pPr>
        <w:spacing w:line="360" w:lineRule="auto"/>
        <w:ind w:firstLine="720"/>
        <w:rPr>
          <w:rFonts w:eastAsia="Calibri" w:cs="Calibri"/>
          <w:color w:val="0C0C0C" w:themeColor="text1"/>
          <w:sz w:val="22"/>
          <w:szCs w:val="22"/>
          <w:lang w:val="en-GB"/>
        </w:rPr>
      </w:pPr>
      <w:r w:rsidRPr="5937A937">
        <w:rPr>
          <w:rFonts w:eastAsia="Calibri" w:cs="Calibri"/>
          <w:color w:val="0C0C0C" w:themeColor="text1"/>
          <w:sz w:val="22"/>
          <w:szCs w:val="22"/>
          <w:lang w:val="en-GB"/>
        </w:rPr>
        <w:t xml:space="preserve">The details of LCA are beyond the scope of this report, but it is valid to highlight that for each of the fuels addressed here, the LCA will consider the production particularities involved, including feedstock production, transport, conversion and combustion - fuels cells when applicable. Considering the variables </w:t>
      </w:r>
      <w:r w:rsidRPr="5937A937">
        <w:rPr>
          <w:rFonts w:eastAsia="Calibri" w:cs="Calibri"/>
          <w:color w:val="0C0C0C" w:themeColor="text1"/>
          <w:sz w:val="22"/>
          <w:szCs w:val="22"/>
          <w:lang w:val="en-GB"/>
        </w:rPr>
        <w:lastRenderedPageBreak/>
        <w:t xml:space="preserve">involved and the possible production methods, the range of GHG emissions and potential GHG reduction for each of the alternatives addressed in this report are depicted in Figure 5 and Table 2. </w:t>
      </w:r>
    </w:p>
    <w:p w14:paraId="15D03F33" w14:textId="5190C84B" w:rsidR="00C53804" w:rsidRPr="00B55ADC" w:rsidRDefault="001C01FE" w:rsidP="5937A937">
      <w:pPr>
        <w:spacing w:line="360" w:lineRule="auto"/>
        <w:ind w:firstLine="720"/>
        <w:rPr>
          <w:sz w:val="22"/>
          <w:szCs w:val="22"/>
          <w:lang w:val="en-GB"/>
        </w:rPr>
      </w:pPr>
      <w:r w:rsidRPr="00B55ADC">
        <w:rPr>
          <w:sz w:val="22"/>
          <w:szCs w:val="22"/>
        </w:rPr>
        <w:t>In RED II, article 31 and annexes V and VI deal with GHG emission quantification. Part C of annex V describes  the calculation methodology, which follows the LCA principle, accounting emissions from raw material cultivation and extraction to end use.</w:t>
      </w:r>
    </w:p>
    <w:p w14:paraId="12585A90" w14:textId="77777777" w:rsidR="00092EB5" w:rsidRDefault="056C4D2F" w:rsidP="00092EB5">
      <w:pPr>
        <w:keepNext/>
        <w:spacing w:line="360" w:lineRule="auto"/>
        <w:ind w:firstLine="720"/>
      </w:pPr>
      <w:r w:rsidRPr="5937A937">
        <w:rPr>
          <w:rFonts w:eastAsia="Calibri" w:cs="Calibri"/>
          <w:color w:val="0C0C0C" w:themeColor="text1"/>
          <w:sz w:val="22"/>
          <w:szCs w:val="22"/>
          <w:lang w:val="en-GB"/>
        </w:rPr>
        <w:t xml:space="preserve"> </w:t>
      </w:r>
      <w:r>
        <w:rPr>
          <w:noProof/>
        </w:rPr>
        <w:drawing>
          <wp:inline distT="0" distB="0" distL="0" distR="0" wp14:anchorId="64205454" wp14:editId="20A998E3">
            <wp:extent cx="4572000" cy="2705100"/>
            <wp:effectExtent l="0" t="0" r="0" b="0"/>
            <wp:docPr id="36385306" name="Picture 3638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inline>
        </w:drawing>
      </w:r>
    </w:p>
    <w:p w14:paraId="1D6C37BC" w14:textId="59FE55E5" w:rsidR="00C53804" w:rsidRPr="00650B23" w:rsidRDefault="00092EB5" w:rsidP="00092EB5">
      <w:pPr>
        <w:pStyle w:val="Caption"/>
        <w:rPr>
          <w:szCs w:val="21"/>
        </w:rPr>
      </w:pPr>
      <w:bookmarkStart w:id="27" w:name="_Toc85627883"/>
      <w:r>
        <w:t xml:space="preserve">Figure </w:t>
      </w:r>
      <w:fldSimple w:instr=" SEQ Figure \* ARABIC ">
        <w:r w:rsidR="009C66F7">
          <w:rPr>
            <w:noProof/>
          </w:rPr>
          <w:t>5</w:t>
        </w:r>
      </w:fldSimple>
      <w:r>
        <w:t xml:space="preserve">. </w:t>
      </w:r>
      <w:r w:rsidRPr="00C76F61">
        <w:t>Emission profile for different fuels considering production background emissions</w:t>
      </w:r>
      <w:r>
        <w:t xml:space="preserve"> </w:t>
      </w:r>
      <w:r w:rsidRPr="00C76F61">
        <w:t>(</w:t>
      </w:r>
      <w:r>
        <w:t>a</w:t>
      </w:r>
      <w:r w:rsidRPr="00C76F61">
        <w:t>dapted from Balcombe 2018)</w:t>
      </w:r>
      <w:bookmarkEnd w:id="27"/>
    </w:p>
    <w:p w14:paraId="7F462FF4" w14:textId="44D81BE6" w:rsidR="00C53804" w:rsidRPr="00650B23" w:rsidRDefault="056C4D2F" w:rsidP="5937A937">
      <w:pPr>
        <w:spacing w:line="360" w:lineRule="auto"/>
        <w:jc w:val="center"/>
      </w:pPr>
      <w:r w:rsidRPr="5937A937">
        <w:rPr>
          <w:rFonts w:ascii="Times New Roman" w:hAnsi="Times New Roman"/>
          <w:szCs w:val="21"/>
          <w:lang w:val="en-GB"/>
        </w:rPr>
        <w:t xml:space="preserve"> </w:t>
      </w:r>
    </w:p>
    <w:p w14:paraId="065E7F0A" w14:textId="1AA619CE" w:rsidR="00C53804" w:rsidRPr="00650B23" w:rsidRDefault="056C4D2F" w:rsidP="5937A937">
      <w:pPr>
        <w:spacing w:line="360" w:lineRule="auto"/>
        <w:jc w:val="center"/>
      </w:pPr>
      <w:r w:rsidRPr="5937A937">
        <w:rPr>
          <w:rFonts w:eastAsia="Calibri" w:cs="Calibri"/>
          <w:b/>
          <w:bCs/>
          <w:color w:val="4C565C"/>
          <w:sz w:val="18"/>
          <w:szCs w:val="18"/>
          <w:lang w:val="en-GB"/>
        </w:rPr>
        <w:t>Table 2. Carbon savings from alternative fuels in comparison to HFO/MDO counterpart.</w:t>
      </w:r>
    </w:p>
    <w:tbl>
      <w:tblPr>
        <w:tblStyle w:val="TableGrid"/>
        <w:tblW w:w="0" w:type="auto"/>
        <w:jc w:val="center"/>
        <w:tblLayout w:type="fixed"/>
        <w:tblLook w:val="06A0" w:firstRow="1" w:lastRow="0" w:firstColumn="1" w:lastColumn="0" w:noHBand="1" w:noVBand="1"/>
      </w:tblPr>
      <w:tblGrid>
        <w:gridCol w:w="2160"/>
        <w:gridCol w:w="2160"/>
      </w:tblGrid>
      <w:tr w:rsidR="5937A937" w14:paraId="77B3DD54" w14:textId="77777777" w:rsidTr="5937A937">
        <w:trPr>
          <w:jc w:val="center"/>
        </w:trPr>
        <w:tc>
          <w:tcPr>
            <w:tcW w:w="2160" w:type="dxa"/>
            <w:tcBorders>
              <w:top w:val="single" w:sz="8" w:space="0" w:color="0C0C0C" w:themeColor="text1"/>
              <w:left w:val="nil"/>
              <w:bottom w:val="single" w:sz="8" w:space="0" w:color="000000"/>
              <w:right w:val="nil"/>
            </w:tcBorders>
            <w:vAlign w:val="center"/>
          </w:tcPr>
          <w:p w14:paraId="07B52E9C" w14:textId="25ACBB11" w:rsidR="5937A937" w:rsidRDefault="5937A937" w:rsidP="00357301">
            <w:pPr>
              <w:spacing w:before="120" w:after="120"/>
              <w:jc w:val="center"/>
            </w:pPr>
            <w:r w:rsidRPr="5937A937">
              <w:rPr>
                <w:rFonts w:eastAsia="Calibri" w:cs="Calibri"/>
                <w:b/>
                <w:bCs/>
                <w:sz w:val="18"/>
                <w:szCs w:val="18"/>
                <w:lang w:val="en-GB"/>
              </w:rPr>
              <w:t>Fuel</w:t>
            </w:r>
          </w:p>
        </w:tc>
        <w:tc>
          <w:tcPr>
            <w:tcW w:w="2160" w:type="dxa"/>
            <w:tcBorders>
              <w:top w:val="single" w:sz="8" w:space="0" w:color="0C0C0C" w:themeColor="text1"/>
              <w:left w:val="nil"/>
              <w:bottom w:val="single" w:sz="8" w:space="0" w:color="000000"/>
              <w:right w:val="nil"/>
            </w:tcBorders>
            <w:vAlign w:val="center"/>
          </w:tcPr>
          <w:p w14:paraId="603783E3" w14:textId="606D5AE5" w:rsidR="5937A937" w:rsidRDefault="5937A937" w:rsidP="00357301">
            <w:pPr>
              <w:spacing w:before="120" w:after="120"/>
              <w:jc w:val="center"/>
            </w:pPr>
            <w:r w:rsidRPr="5937A937">
              <w:rPr>
                <w:rFonts w:eastAsia="Calibri" w:cs="Calibri"/>
                <w:b/>
                <w:bCs/>
                <w:sz w:val="18"/>
                <w:szCs w:val="18"/>
                <w:lang w:val="en-GB"/>
              </w:rPr>
              <w:t>Carbon Saving Potential (%)</w:t>
            </w:r>
          </w:p>
        </w:tc>
      </w:tr>
      <w:tr w:rsidR="5937A937" w14:paraId="1FABE1E6" w14:textId="77777777" w:rsidTr="5937A937">
        <w:trPr>
          <w:jc w:val="center"/>
        </w:trPr>
        <w:tc>
          <w:tcPr>
            <w:tcW w:w="2160" w:type="dxa"/>
            <w:tcBorders>
              <w:top w:val="single" w:sz="8" w:space="0" w:color="000000"/>
              <w:left w:val="nil"/>
              <w:bottom w:val="nil"/>
              <w:right w:val="nil"/>
            </w:tcBorders>
            <w:vAlign w:val="center"/>
          </w:tcPr>
          <w:p w14:paraId="5FDF6E89" w14:textId="5F81EA27" w:rsidR="5937A937" w:rsidRDefault="5937A937" w:rsidP="00357301">
            <w:pPr>
              <w:spacing w:before="120" w:after="120"/>
              <w:jc w:val="center"/>
            </w:pPr>
            <w:r w:rsidRPr="5937A937">
              <w:rPr>
                <w:rFonts w:eastAsia="Calibri" w:cs="Calibri"/>
                <w:sz w:val="18"/>
                <w:szCs w:val="18"/>
                <w:lang w:val="en-GB"/>
              </w:rPr>
              <w:t>LNG</w:t>
            </w:r>
          </w:p>
        </w:tc>
        <w:tc>
          <w:tcPr>
            <w:tcW w:w="2160" w:type="dxa"/>
            <w:tcBorders>
              <w:top w:val="single" w:sz="8" w:space="0" w:color="000000"/>
              <w:left w:val="nil"/>
              <w:bottom w:val="nil"/>
              <w:right w:val="nil"/>
            </w:tcBorders>
            <w:vAlign w:val="center"/>
          </w:tcPr>
          <w:p w14:paraId="295912CF" w14:textId="19DCEA7C" w:rsidR="5937A937" w:rsidRDefault="5937A937" w:rsidP="00357301">
            <w:pPr>
              <w:spacing w:before="120" w:after="120"/>
              <w:jc w:val="center"/>
            </w:pPr>
            <w:r w:rsidRPr="5937A937">
              <w:rPr>
                <w:rFonts w:eastAsia="Calibri" w:cs="Calibri"/>
                <w:sz w:val="18"/>
                <w:szCs w:val="18"/>
                <w:lang w:val="en-GB"/>
              </w:rPr>
              <w:t>- 5</w:t>
            </w:r>
            <w:r w:rsidR="00EC607B">
              <w:rPr>
                <w:rFonts w:eastAsia="Calibri" w:cs="Calibri"/>
                <w:sz w:val="18"/>
                <w:szCs w:val="18"/>
                <w:lang w:val="en-GB"/>
              </w:rPr>
              <w:t>*</w:t>
            </w:r>
            <w:r w:rsidRPr="5937A937">
              <w:rPr>
                <w:rFonts w:eastAsia="Calibri" w:cs="Calibri"/>
                <w:sz w:val="18"/>
                <w:szCs w:val="18"/>
                <w:lang w:val="en-GB"/>
              </w:rPr>
              <w:t xml:space="preserve"> </w:t>
            </w:r>
            <w:r w:rsidR="262F08ED" w:rsidRPr="5937A937">
              <w:rPr>
                <w:rFonts w:eastAsia="Calibri" w:cs="Calibri"/>
                <w:sz w:val="18"/>
                <w:szCs w:val="18"/>
                <w:lang w:val="en-GB"/>
              </w:rPr>
              <w:t xml:space="preserve">to </w:t>
            </w:r>
            <w:r w:rsidRPr="5937A937">
              <w:rPr>
                <w:rFonts w:eastAsia="Calibri" w:cs="Calibri"/>
                <w:sz w:val="18"/>
                <w:szCs w:val="18"/>
                <w:lang w:val="en-GB"/>
              </w:rPr>
              <w:t>25 %</w:t>
            </w:r>
          </w:p>
        </w:tc>
      </w:tr>
      <w:tr w:rsidR="5937A937" w14:paraId="2AA64C86" w14:textId="77777777" w:rsidTr="5937A937">
        <w:trPr>
          <w:jc w:val="center"/>
        </w:trPr>
        <w:tc>
          <w:tcPr>
            <w:tcW w:w="2160" w:type="dxa"/>
            <w:tcBorders>
              <w:top w:val="nil"/>
              <w:left w:val="nil"/>
              <w:bottom w:val="nil"/>
              <w:right w:val="nil"/>
            </w:tcBorders>
            <w:vAlign w:val="center"/>
          </w:tcPr>
          <w:p w14:paraId="5D124EA3" w14:textId="585FE878" w:rsidR="5937A937" w:rsidRDefault="5937A937" w:rsidP="00357301">
            <w:pPr>
              <w:spacing w:before="120" w:after="120"/>
              <w:jc w:val="center"/>
            </w:pPr>
            <w:r w:rsidRPr="5937A937">
              <w:rPr>
                <w:rFonts w:eastAsia="Calibri" w:cs="Calibri"/>
                <w:sz w:val="18"/>
                <w:szCs w:val="18"/>
                <w:lang w:val="en-GB"/>
              </w:rPr>
              <w:t>Methanol</w:t>
            </w:r>
          </w:p>
        </w:tc>
        <w:tc>
          <w:tcPr>
            <w:tcW w:w="2160" w:type="dxa"/>
            <w:tcBorders>
              <w:top w:val="nil"/>
              <w:left w:val="nil"/>
              <w:bottom w:val="nil"/>
              <w:right w:val="nil"/>
            </w:tcBorders>
            <w:vAlign w:val="center"/>
          </w:tcPr>
          <w:p w14:paraId="3C12D0D5" w14:textId="4B1C650C" w:rsidR="5937A937" w:rsidRDefault="5937A937" w:rsidP="00357301">
            <w:pPr>
              <w:spacing w:before="120" w:after="120"/>
              <w:jc w:val="center"/>
            </w:pPr>
            <w:r w:rsidRPr="5937A937">
              <w:rPr>
                <w:rFonts w:eastAsia="Calibri" w:cs="Calibri"/>
                <w:sz w:val="18"/>
                <w:szCs w:val="18"/>
                <w:lang w:val="en-GB"/>
              </w:rPr>
              <w:t>- 20</w:t>
            </w:r>
            <w:r w:rsidR="00EC607B">
              <w:rPr>
                <w:rFonts w:eastAsia="Calibri" w:cs="Calibri"/>
                <w:sz w:val="18"/>
                <w:szCs w:val="18"/>
                <w:lang w:val="en-GB"/>
              </w:rPr>
              <w:t>*</w:t>
            </w:r>
            <w:r w:rsidRPr="5937A937">
              <w:rPr>
                <w:rFonts w:eastAsia="Calibri" w:cs="Calibri"/>
                <w:sz w:val="18"/>
                <w:szCs w:val="18"/>
                <w:lang w:val="en-GB"/>
              </w:rPr>
              <w:t xml:space="preserve"> to 5 %</w:t>
            </w:r>
          </w:p>
        </w:tc>
      </w:tr>
      <w:tr w:rsidR="5937A937" w14:paraId="6F3D52B4" w14:textId="77777777" w:rsidTr="5937A937">
        <w:trPr>
          <w:jc w:val="center"/>
        </w:trPr>
        <w:tc>
          <w:tcPr>
            <w:tcW w:w="2160" w:type="dxa"/>
            <w:tcBorders>
              <w:top w:val="nil"/>
              <w:left w:val="nil"/>
              <w:bottom w:val="nil"/>
              <w:right w:val="nil"/>
            </w:tcBorders>
            <w:vAlign w:val="center"/>
          </w:tcPr>
          <w:p w14:paraId="0CDF8CB4" w14:textId="3BB06B82" w:rsidR="5937A937" w:rsidRDefault="5937A937" w:rsidP="00357301">
            <w:pPr>
              <w:spacing w:before="120" w:after="120"/>
              <w:jc w:val="center"/>
            </w:pPr>
            <w:r w:rsidRPr="5937A937">
              <w:rPr>
                <w:rFonts w:eastAsia="Calibri" w:cs="Calibri"/>
                <w:sz w:val="18"/>
                <w:szCs w:val="18"/>
                <w:lang w:val="en-GB"/>
              </w:rPr>
              <w:t>Hydrogen</w:t>
            </w:r>
          </w:p>
        </w:tc>
        <w:tc>
          <w:tcPr>
            <w:tcW w:w="2160" w:type="dxa"/>
            <w:tcBorders>
              <w:top w:val="nil"/>
              <w:left w:val="nil"/>
              <w:bottom w:val="nil"/>
              <w:right w:val="nil"/>
            </w:tcBorders>
            <w:vAlign w:val="center"/>
          </w:tcPr>
          <w:p w14:paraId="7755204D" w14:textId="1B5D5A93" w:rsidR="5937A937" w:rsidRDefault="5937A937" w:rsidP="00357301">
            <w:pPr>
              <w:spacing w:before="120" w:after="120"/>
              <w:jc w:val="center"/>
            </w:pPr>
            <w:r w:rsidRPr="5937A937">
              <w:rPr>
                <w:rFonts w:eastAsia="Calibri" w:cs="Calibri"/>
                <w:sz w:val="18"/>
                <w:szCs w:val="18"/>
                <w:lang w:val="en-GB"/>
              </w:rPr>
              <w:t>- 20</w:t>
            </w:r>
            <w:r w:rsidR="00EC607B">
              <w:rPr>
                <w:rFonts w:eastAsia="Calibri" w:cs="Calibri"/>
                <w:sz w:val="18"/>
                <w:szCs w:val="18"/>
                <w:lang w:val="en-GB"/>
              </w:rPr>
              <w:t>*</w:t>
            </w:r>
            <w:r w:rsidRPr="5937A937">
              <w:rPr>
                <w:rFonts w:eastAsia="Calibri" w:cs="Calibri"/>
                <w:sz w:val="18"/>
                <w:szCs w:val="18"/>
                <w:lang w:val="en-GB"/>
              </w:rPr>
              <w:t xml:space="preserve"> to 100 %</w:t>
            </w:r>
          </w:p>
        </w:tc>
      </w:tr>
      <w:tr w:rsidR="5937A937" w14:paraId="4735EE05" w14:textId="77777777" w:rsidTr="5937A937">
        <w:trPr>
          <w:jc w:val="center"/>
        </w:trPr>
        <w:tc>
          <w:tcPr>
            <w:tcW w:w="2160" w:type="dxa"/>
            <w:tcBorders>
              <w:top w:val="nil"/>
              <w:left w:val="nil"/>
              <w:bottom w:val="nil"/>
              <w:right w:val="nil"/>
            </w:tcBorders>
            <w:vAlign w:val="center"/>
          </w:tcPr>
          <w:p w14:paraId="3CA81DC5" w14:textId="204741E5" w:rsidR="5937A937" w:rsidRDefault="5937A937" w:rsidP="00357301">
            <w:pPr>
              <w:spacing w:before="120" w:after="120"/>
              <w:jc w:val="center"/>
            </w:pPr>
            <w:r w:rsidRPr="5937A937">
              <w:rPr>
                <w:rFonts w:eastAsia="Calibri" w:cs="Calibri"/>
                <w:sz w:val="18"/>
                <w:szCs w:val="18"/>
                <w:lang w:val="en-GB"/>
              </w:rPr>
              <w:t>Biofuels</w:t>
            </w:r>
          </w:p>
        </w:tc>
        <w:tc>
          <w:tcPr>
            <w:tcW w:w="2160" w:type="dxa"/>
            <w:tcBorders>
              <w:top w:val="nil"/>
              <w:left w:val="nil"/>
              <w:bottom w:val="nil"/>
              <w:right w:val="nil"/>
            </w:tcBorders>
            <w:vAlign w:val="center"/>
          </w:tcPr>
          <w:p w14:paraId="2518A121" w14:textId="1DACE282" w:rsidR="5937A937" w:rsidRDefault="5937A937" w:rsidP="00357301">
            <w:pPr>
              <w:spacing w:before="120" w:after="120"/>
              <w:jc w:val="center"/>
            </w:pPr>
            <w:r w:rsidRPr="5937A937">
              <w:rPr>
                <w:rFonts w:eastAsia="Calibri" w:cs="Calibri"/>
                <w:sz w:val="18"/>
                <w:szCs w:val="18"/>
                <w:lang w:val="en-GB"/>
              </w:rPr>
              <w:t>25 to 100 %</w:t>
            </w:r>
          </w:p>
        </w:tc>
      </w:tr>
      <w:tr w:rsidR="5937A937" w14:paraId="53A66BF7" w14:textId="77777777" w:rsidTr="5937A937">
        <w:trPr>
          <w:jc w:val="center"/>
        </w:trPr>
        <w:tc>
          <w:tcPr>
            <w:tcW w:w="2160" w:type="dxa"/>
            <w:tcBorders>
              <w:top w:val="nil"/>
              <w:left w:val="nil"/>
              <w:bottom w:val="nil"/>
              <w:right w:val="nil"/>
            </w:tcBorders>
            <w:vAlign w:val="center"/>
          </w:tcPr>
          <w:p w14:paraId="44948CAC" w14:textId="2CE746D9" w:rsidR="5937A937" w:rsidRDefault="5937A937" w:rsidP="00357301">
            <w:pPr>
              <w:spacing w:before="120" w:after="120"/>
              <w:jc w:val="center"/>
            </w:pPr>
            <w:r w:rsidRPr="5937A937">
              <w:rPr>
                <w:rFonts w:eastAsia="Calibri" w:cs="Calibri"/>
                <w:sz w:val="18"/>
                <w:szCs w:val="18"/>
                <w:lang w:val="en-GB"/>
              </w:rPr>
              <w:t>Bio-LNG</w:t>
            </w:r>
          </w:p>
        </w:tc>
        <w:tc>
          <w:tcPr>
            <w:tcW w:w="2160" w:type="dxa"/>
            <w:tcBorders>
              <w:top w:val="nil"/>
              <w:left w:val="nil"/>
              <w:bottom w:val="nil"/>
              <w:right w:val="nil"/>
            </w:tcBorders>
            <w:vAlign w:val="center"/>
          </w:tcPr>
          <w:p w14:paraId="5CFBF881" w14:textId="7A6D3F11" w:rsidR="480A2490" w:rsidRDefault="480A2490" w:rsidP="00357301">
            <w:pPr>
              <w:spacing w:before="120" w:after="120"/>
              <w:jc w:val="center"/>
            </w:pPr>
            <w:r w:rsidRPr="5937A937">
              <w:rPr>
                <w:rFonts w:eastAsia="Calibri" w:cs="Calibri"/>
                <w:sz w:val="18"/>
                <w:szCs w:val="18"/>
                <w:lang w:val="en-GB"/>
              </w:rPr>
              <w:t>39 to</w:t>
            </w:r>
            <w:r w:rsidR="5937A937" w:rsidRPr="5937A937">
              <w:rPr>
                <w:rFonts w:eastAsia="Calibri" w:cs="Calibri"/>
                <w:sz w:val="18"/>
                <w:szCs w:val="18"/>
                <w:lang w:val="en-GB"/>
              </w:rPr>
              <w:t xml:space="preserve"> 65 %</w:t>
            </w:r>
          </w:p>
        </w:tc>
      </w:tr>
      <w:tr w:rsidR="5937A937" w14:paraId="414838AC" w14:textId="77777777" w:rsidTr="5937A937">
        <w:trPr>
          <w:jc w:val="center"/>
        </w:trPr>
        <w:tc>
          <w:tcPr>
            <w:tcW w:w="2160" w:type="dxa"/>
            <w:tcBorders>
              <w:top w:val="nil"/>
              <w:left w:val="nil"/>
              <w:bottom w:val="single" w:sz="8" w:space="0" w:color="0C0C0C" w:themeColor="text1"/>
              <w:right w:val="nil"/>
            </w:tcBorders>
            <w:vAlign w:val="center"/>
          </w:tcPr>
          <w:p w14:paraId="3B826BD1" w14:textId="54FF351E" w:rsidR="5937A937" w:rsidRDefault="5937A937" w:rsidP="00357301">
            <w:pPr>
              <w:spacing w:before="120" w:after="120"/>
              <w:jc w:val="center"/>
            </w:pPr>
            <w:r w:rsidRPr="5937A937">
              <w:rPr>
                <w:rFonts w:eastAsia="Calibri" w:cs="Calibri"/>
                <w:sz w:val="18"/>
                <w:szCs w:val="18"/>
                <w:lang w:val="en-GB"/>
              </w:rPr>
              <w:t>Bio-Methanol</w:t>
            </w:r>
          </w:p>
        </w:tc>
        <w:tc>
          <w:tcPr>
            <w:tcW w:w="2160" w:type="dxa"/>
            <w:tcBorders>
              <w:top w:val="nil"/>
              <w:left w:val="nil"/>
              <w:bottom w:val="single" w:sz="8" w:space="0" w:color="0C0C0C" w:themeColor="text1"/>
              <w:right w:val="nil"/>
            </w:tcBorders>
            <w:vAlign w:val="center"/>
          </w:tcPr>
          <w:p w14:paraId="0B64A0B0" w14:textId="4C30085A" w:rsidR="5937A937" w:rsidRDefault="5937A937" w:rsidP="00357301">
            <w:pPr>
              <w:spacing w:before="120" w:after="120"/>
              <w:jc w:val="center"/>
            </w:pPr>
            <w:r w:rsidRPr="5937A937">
              <w:rPr>
                <w:rFonts w:eastAsia="Calibri" w:cs="Calibri"/>
                <w:sz w:val="18"/>
                <w:szCs w:val="18"/>
                <w:lang w:val="en-GB"/>
              </w:rPr>
              <w:t>50 to 96 %</w:t>
            </w:r>
          </w:p>
        </w:tc>
      </w:tr>
      <w:tr w:rsidR="5937A937" w14:paraId="5C90479D" w14:textId="77777777" w:rsidTr="5937A937">
        <w:trPr>
          <w:jc w:val="center"/>
        </w:trPr>
        <w:tc>
          <w:tcPr>
            <w:tcW w:w="4320" w:type="dxa"/>
            <w:gridSpan w:val="2"/>
            <w:tcBorders>
              <w:top w:val="single" w:sz="8" w:space="0" w:color="0C0C0C" w:themeColor="text1"/>
              <w:left w:val="nil"/>
              <w:bottom w:val="nil"/>
              <w:right w:val="nil"/>
            </w:tcBorders>
            <w:vAlign w:val="center"/>
          </w:tcPr>
          <w:p w14:paraId="733DE620" w14:textId="67686B61" w:rsidR="5937A937" w:rsidRDefault="00EC607B" w:rsidP="00357301">
            <w:pPr>
              <w:spacing w:before="120" w:after="120"/>
              <w:jc w:val="left"/>
            </w:pPr>
            <w:r>
              <w:rPr>
                <w:rFonts w:eastAsia="Calibri" w:cs="Calibri"/>
                <w:sz w:val="18"/>
                <w:szCs w:val="18"/>
                <w:lang w:val="en-GB"/>
              </w:rPr>
              <w:t>*</w:t>
            </w:r>
            <w:r w:rsidR="5937A937" w:rsidRPr="5937A937">
              <w:rPr>
                <w:rFonts w:eastAsia="Calibri" w:cs="Calibri"/>
                <w:sz w:val="18"/>
                <w:szCs w:val="18"/>
                <w:lang w:val="en-GB"/>
              </w:rPr>
              <w:t>Negative values stand for higher emissions</w:t>
            </w:r>
            <w:r w:rsidR="0061EAE4" w:rsidRPr="5937A937">
              <w:rPr>
                <w:rFonts w:eastAsia="Calibri" w:cs="Calibri"/>
                <w:sz w:val="18"/>
                <w:szCs w:val="18"/>
                <w:lang w:val="en-GB"/>
              </w:rPr>
              <w:t xml:space="preserve"> than</w:t>
            </w:r>
            <w:r w:rsidR="5937A937" w:rsidRPr="5937A937">
              <w:rPr>
                <w:rFonts w:eastAsia="Calibri" w:cs="Calibri"/>
                <w:sz w:val="18"/>
                <w:szCs w:val="18"/>
                <w:lang w:val="en-GB"/>
              </w:rPr>
              <w:t xml:space="preserve"> fossil counterpart (Balcombe 2018).</w:t>
            </w:r>
          </w:p>
        </w:tc>
      </w:tr>
    </w:tbl>
    <w:p w14:paraId="23228A14" w14:textId="70B0A52A" w:rsidR="00C53804" w:rsidRPr="00650B23" w:rsidRDefault="056C4D2F" w:rsidP="5937A937">
      <w:pPr>
        <w:spacing w:line="360" w:lineRule="auto"/>
        <w:ind w:firstLine="720"/>
      </w:pPr>
      <w:r w:rsidRPr="5937A937">
        <w:rPr>
          <w:rFonts w:ascii="Times New Roman" w:hAnsi="Times New Roman"/>
          <w:szCs w:val="21"/>
          <w:lang w:val="en-GB"/>
        </w:rPr>
        <w:t xml:space="preserve"> </w:t>
      </w:r>
    </w:p>
    <w:p w14:paraId="3827D56F" w14:textId="3FED139F" w:rsidR="00C53804" w:rsidRPr="00650B23" w:rsidRDefault="10571E42" w:rsidP="5937A937">
      <w:pPr>
        <w:spacing w:line="360" w:lineRule="auto"/>
        <w:ind w:firstLine="720"/>
        <w:rPr>
          <w:rFonts w:asciiTheme="majorHAnsi" w:hAnsiTheme="majorHAnsi" w:cstheme="majorBidi"/>
          <w:sz w:val="22"/>
          <w:szCs w:val="22"/>
          <w:lang w:val="en-GB"/>
        </w:rPr>
      </w:pPr>
      <w:r w:rsidRPr="5937A937">
        <w:rPr>
          <w:rFonts w:eastAsia="Calibri" w:cs="Calibri"/>
          <w:sz w:val="22"/>
          <w:szCs w:val="22"/>
          <w:lang w:val="en-GB"/>
        </w:rPr>
        <w:t>On the context of IDEALFUEL project, it is important to assess the potential emission reductions and benchmark against the available fuels. Fuels with greater emission reduction, and lower costs will be preferred</w:t>
      </w:r>
      <w:r w:rsidR="00A2470A">
        <w:rPr>
          <w:rFonts w:eastAsia="Calibri" w:cs="Calibri"/>
          <w:sz w:val="22"/>
          <w:szCs w:val="22"/>
          <w:lang w:val="en-GB"/>
        </w:rPr>
        <w:t xml:space="preserve"> in the market</w:t>
      </w:r>
      <w:r w:rsidR="7895BAC2" w:rsidRPr="5937A937">
        <w:rPr>
          <w:rFonts w:asciiTheme="majorHAnsi" w:hAnsiTheme="majorHAnsi" w:cstheme="majorBidi"/>
          <w:sz w:val="22"/>
          <w:szCs w:val="22"/>
          <w:lang w:val="en-GB"/>
        </w:rPr>
        <w:t>.</w:t>
      </w:r>
      <w:r w:rsidR="08FA71EB" w:rsidRPr="5937A937">
        <w:rPr>
          <w:rFonts w:asciiTheme="majorHAnsi" w:hAnsiTheme="majorHAnsi" w:cstheme="majorBidi"/>
          <w:sz w:val="22"/>
          <w:szCs w:val="22"/>
          <w:lang w:val="en-GB"/>
        </w:rPr>
        <w:t xml:space="preserve"> Tanzer and co-workers (2019) assessed the life cycle emissions of lignocellulose-based marine fuels </w:t>
      </w:r>
      <w:r w:rsidR="00963F36">
        <w:rPr>
          <w:rFonts w:asciiTheme="majorHAnsi" w:hAnsiTheme="majorHAnsi" w:cstheme="majorBidi"/>
          <w:sz w:val="22"/>
          <w:szCs w:val="22"/>
          <w:lang w:val="en-GB"/>
        </w:rPr>
        <w:t>from</w:t>
      </w:r>
      <w:r w:rsidR="48774A7E" w:rsidRPr="5937A937">
        <w:rPr>
          <w:rFonts w:asciiTheme="majorHAnsi" w:hAnsiTheme="majorHAnsi" w:cstheme="majorBidi"/>
          <w:sz w:val="22"/>
          <w:szCs w:val="22"/>
          <w:lang w:val="en-GB"/>
        </w:rPr>
        <w:t xml:space="preserve"> three </w:t>
      </w:r>
      <w:r w:rsidR="08FA71EB" w:rsidRPr="5937A937">
        <w:rPr>
          <w:rFonts w:asciiTheme="majorHAnsi" w:hAnsiTheme="majorHAnsi" w:cstheme="majorBidi"/>
          <w:sz w:val="22"/>
          <w:szCs w:val="22"/>
          <w:lang w:val="en-GB"/>
        </w:rPr>
        <w:t xml:space="preserve">conversions </w:t>
      </w:r>
      <w:r w:rsidR="77182549" w:rsidRPr="5937A937">
        <w:rPr>
          <w:rFonts w:asciiTheme="majorHAnsi" w:hAnsiTheme="majorHAnsi" w:cstheme="majorBidi"/>
          <w:sz w:val="22"/>
          <w:szCs w:val="22"/>
          <w:lang w:val="en-GB"/>
        </w:rPr>
        <w:t>technologies:</w:t>
      </w:r>
      <w:r w:rsidR="5EB8410B" w:rsidRPr="5937A937">
        <w:rPr>
          <w:rFonts w:asciiTheme="majorHAnsi" w:hAnsiTheme="majorHAnsi" w:cstheme="majorBidi"/>
          <w:sz w:val="22"/>
          <w:szCs w:val="22"/>
          <w:lang w:val="en-GB"/>
        </w:rPr>
        <w:t xml:space="preserve"> i) hydrothermal liquefaction with </w:t>
      </w:r>
      <w:r w:rsidR="5EB8410B" w:rsidRPr="5937A937">
        <w:rPr>
          <w:rFonts w:asciiTheme="majorHAnsi" w:hAnsiTheme="majorHAnsi" w:cstheme="majorBidi"/>
          <w:sz w:val="22"/>
          <w:szCs w:val="22"/>
          <w:lang w:val="en-GB"/>
        </w:rPr>
        <w:lastRenderedPageBreak/>
        <w:t>hydrodeoxygenation</w:t>
      </w:r>
      <w:r w:rsidR="60BAFB72" w:rsidRPr="5937A937">
        <w:rPr>
          <w:rFonts w:asciiTheme="majorHAnsi" w:hAnsiTheme="majorHAnsi" w:cstheme="majorBidi"/>
          <w:sz w:val="22"/>
          <w:szCs w:val="22"/>
          <w:lang w:val="en-GB"/>
        </w:rPr>
        <w:t>;</w:t>
      </w:r>
      <w:r w:rsidR="5EB8410B" w:rsidRPr="5937A937">
        <w:rPr>
          <w:rFonts w:asciiTheme="majorHAnsi" w:hAnsiTheme="majorHAnsi" w:cstheme="majorBidi"/>
          <w:sz w:val="22"/>
          <w:szCs w:val="22"/>
          <w:lang w:val="en-GB"/>
        </w:rPr>
        <w:t xml:space="preserve"> ii) fast pyrolysis with hydrodeoxygenation</w:t>
      </w:r>
      <w:r w:rsidR="34E94465" w:rsidRPr="5937A937">
        <w:rPr>
          <w:rFonts w:asciiTheme="majorHAnsi" w:hAnsiTheme="majorHAnsi" w:cstheme="majorBidi"/>
          <w:sz w:val="22"/>
          <w:szCs w:val="22"/>
          <w:lang w:val="en-GB"/>
        </w:rPr>
        <w:t>;</w:t>
      </w:r>
      <w:r w:rsidR="5EB8410B" w:rsidRPr="5937A937">
        <w:rPr>
          <w:rFonts w:asciiTheme="majorHAnsi" w:hAnsiTheme="majorHAnsi" w:cstheme="majorBidi"/>
          <w:sz w:val="22"/>
          <w:szCs w:val="22"/>
          <w:lang w:val="en-GB"/>
        </w:rPr>
        <w:t xml:space="preserve"> iii)</w:t>
      </w:r>
      <w:r w:rsidR="5BE7284A" w:rsidRPr="5937A937">
        <w:rPr>
          <w:rFonts w:asciiTheme="majorHAnsi" w:hAnsiTheme="majorHAnsi" w:cstheme="majorBidi"/>
          <w:sz w:val="22"/>
          <w:szCs w:val="22"/>
          <w:lang w:val="en-GB"/>
        </w:rPr>
        <w:t xml:space="preserve"> gasification followed by Fischer-Tropsch synthesis. The</w:t>
      </w:r>
      <w:r w:rsidR="33777D72" w:rsidRPr="5937A937">
        <w:rPr>
          <w:rFonts w:asciiTheme="majorHAnsi" w:hAnsiTheme="majorHAnsi" w:cstheme="majorBidi"/>
          <w:sz w:val="22"/>
          <w:szCs w:val="22"/>
          <w:lang w:val="en-GB"/>
        </w:rPr>
        <w:t>y found that</w:t>
      </w:r>
      <w:r w:rsidR="5BE7284A" w:rsidRPr="5937A937">
        <w:rPr>
          <w:rFonts w:asciiTheme="majorHAnsi" w:hAnsiTheme="majorHAnsi" w:cstheme="majorBidi"/>
          <w:sz w:val="22"/>
          <w:szCs w:val="22"/>
          <w:lang w:val="en-GB"/>
        </w:rPr>
        <w:t xml:space="preserve"> emissions </w:t>
      </w:r>
      <w:r w:rsidR="0D816265" w:rsidRPr="5937A937">
        <w:rPr>
          <w:rFonts w:asciiTheme="majorHAnsi" w:hAnsiTheme="majorHAnsi" w:cstheme="majorBidi"/>
          <w:sz w:val="22"/>
          <w:szCs w:val="22"/>
          <w:lang w:val="en-GB"/>
        </w:rPr>
        <w:t>reductions were</w:t>
      </w:r>
      <w:r w:rsidR="5BE7284A" w:rsidRPr="5937A937">
        <w:rPr>
          <w:rFonts w:asciiTheme="majorHAnsi" w:hAnsiTheme="majorHAnsi" w:cstheme="majorBidi"/>
          <w:sz w:val="22"/>
          <w:szCs w:val="22"/>
          <w:lang w:val="en-GB"/>
        </w:rPr>
        <w:t xml:space="preserve"> within the range of 55 % to 133%</w:t>
      </w:r>
      <w:r w:rsidR="1FF03790" w:rsidRPr="5937A937">
        <w:rPr>
          <w:rFonts w:asciiTheme="majorHAnsi" w:hAnsiTheme="majorHAnsi" w:cstheme="majorBidi"/>
          <w:sz w:val="22"/>
          <w:szCs w:val="22"/>
          <w:lang w:val="en-GB"/>
        </w:rPr>
        <w:t xml:space="preserve">. </w:t>
      </w:r>
      <w:r w:rsidR="1846876C" w:rsidRPr="5937A937">
        <w:rPr>
          <w:rFonts w:asciiTheme="majorHAnsi" w:hAnsiTheme="majorHAnsi" w:cstheme="majorBidi"/>
          <w:sz w:val="22"/>
          <w:szCs w:val="22"/>
          <w:lang w:val="en-GB"/>
        </w:rPr>
        <w:t xml:space="preserve">The </w:t>
      </w:r>
      <w:r w:rsidR="39246BD3" w:rsidRPr="5937A937">
        <w:rPr>
          <w:rFonts w:asciiTheme="majorHAnsi" w:hAnsiTheme="majorHAnsi" w:cstheme="majorBidi"/>
          <w:sz w:val="22"/>
          <w:szCs w:val="22"/>
          <w:lang w:val="en-GB"/>
        </w:rPr>
        <w:t xml:space="preserve">feedstock production and transport emerged as emission </w:t>
      </w:r>
      <w:r w:rsidR="1846876C" w:rsidRPr="5937A937">
        <w:rPr>
          <w:rFonts w:asciiTheme="majorHAnsi" w:hAnsiTheme="majorHAnsi" w:cstheme="majorBidi"/>
          <w:sz w:val="22"/>
          <w:szCs w:val="22"/>
          <w:lang w:val="en-GB"/>
        </w:rPr>
        <w:t>hotspot</w:t>
      </w:r>
      <w:r w:rsidR="00963F36">
        <w:rPr>
          <w:rFonts w:asciiTheme="majorHAnsi" w:hAnsiTheme="majorHAnsi" w:cstheme="majorBidi"/>
          <w:sz w:val="22"/>
          <w:szCs w:val="22"/>
          <w:lang w:val="en-GB"/>
        </w:rPr>
        <w:t>s</w:t>
      </w:r>
      <w:r w:rsidR="1846876C" w:rsidRPr="5937A937">
        <w:rPr>
          <w:rFonts w:asciiTheme="majorHAnsi" w:hAnsiTheme="majorHAnsi" w:cstheme="majorBidi"/>
          <w:sz w:val="22"/>
          <w:szCs w:val="22"/>
          <w:lang w:val="en-GB"/>
        </w:rPr>
        <w:t>, when</w:t>
      </w:r>
      <w:r w:rsidR="76158D01" w:rsidRPr="5937A937">
        <w:rPr>
          <w:rFonts w:asciiTheme="majorHAnsi" w:hAnsiTheme="majorHAnsi" w:cstheme="majorBidi"/>
          <w:sz w:val="22"/>
          <w:szCs w:val="22"/>
          <w:lang w:val="en-GB"/>
        </w:rPr>
        <w:t xml:space="preserve"> </w:t>
      </w:r>
      <w:r w:rsidR="33420791" w:rsidRPr="5937A937">
        <w:rPr>
          <w:rFonts w:asciiTheme="majorHAnsi" w:hAnsiTheme="majorHAnsi" w:cstheme="majorBidi"/>
          <w:sz w:val="22"/>
          <w:szCs w:val="22"/>
          <w:lang w:val="en-GB"/>
        </w:rPr>
        <w:t xml:space="preserve">the </w:t>
      </w:r>
      <w:r w:rsidR="76158D01" w:rsidRPr="5937A937">
        <w:rPr>
          <w:rFonts w:asciiTheme="majorHAnsi" w:hAnsiTheme="majorHAnsi" w:cstheme="majorBidi"/>
          <w:sz w:val="22"/>
          <w:szCs w:val="22"/>
          <w:lang w:val="en-GB"/>
        </w:rPr>
        <w:t xml:space="preserve">energetic matrix is mostly based on renewables. If fossil-based inputs are used, </w:t>
      </w:r>
      <w:r w:rsidR="1FA6BF97" w:rsidRPr="5937A937">
        <w:rPr>
          <w:rFonts w:asciiTheme="majorHAnsi" w:hAnsiTheme="majorHAnsi" w:cstheme="majorBidi"/>
          <w:sz w:val="22"/>
          <w:szCs w:val="22"/>
          <w:lang w:val="en-GB"/>
        </w:rPr>
        <w:t>recycling</w:t>
      </w:r>
      <w:r w:rsidR="76158D01" w:rsidRPr="5937A937">
        <w:rPr>
          <w:rFonts w:asciiTheme="majorHAnsi" w:hAnsiTheme="majorHAnsi" w:cstheme="majorBidi"/>
          <w:sz w:val="22"/>
          <w:szCs w:val="22"/>
          <w:lang w:val="en-GB"/>
        </w:rPr>
        <w:t xml:space="preserve"> is </w:t>
      </w:r>
      <w:r w:rsidR="474EA255" w:rsidRPr="5937A937">
        <w:rPr>
          <w:rFonts w:asciiTheme="majorHAnsi" w:hAnsiTheme="majorHAnsi" w:cstheme="majorBidi"/>
          <w:sz w:val="22"/>
          <w:szCs w:val="22"/>
          <w:lang w:val="en-GB"/>
        </w:rPr>
        <w:t xml:space="preserve">necessary. </w:t>
      </w:r>
      <w:r w:rsidR="00255BF0">
        <w:rPr>
          <w:rFonts w:asciiTheme="majorHAnsi" w:hAnsiTheme="majorHAnsi" w:cstheme="majorBidi"/>
          <w:sz w:val="22"/>
          <w:szCs w:val="22"/>
          <w:lang w:val="en-GB"/>
        </w:rPr>
        <w:t>Th</w:t>
      </w:r>
      <w:r w:rsidR="00AC5254">
        <w:rPr>
          <w:rFonts w:asciiTheme="majorHAnsi" w:hAnsiTheme="majorHAnsi" w:cstheme="majorBidi"/>
          <w:sz w:val="22"/>
          <w:szCs w:val="22"/>
          <w:lang w:val="en-GB"/>
        </w:rPr>
        <w:t>ese</w:t>
      </w:r>
      <w:r w:rsidR="00255BF0">
        <w:rPr>
          <w:rFonts w:asciiTheme="majorHAnsi" w:hAnsiTheme="majorHAnsi" w:cstheme="majorBidi"/>
          <w:sz w:val="22"/>
          <w:szCs w:val="22"/>
          <w:lang w:val="en-GB"/>
        </w:rPr>
        <w:t xml:space="preserve"> will be the </w:t>
      </w:r>
      <w:r w:rsidR="00AC5254">
        <w:rPr>
          <w:rFonts w:asciiTheme="majorHAnsi" w:hAnsiTheme="majorHAnsi" w:cstheme="majorBidi"/>
          <w:sz w:val="22"/>
          <w:szCs w:val="22"/>
          <w:lang w:val="en-GB"/>
        </w:rPr>
        <w:t>first points of comparison for the Bio-HFO</w:t>
      </w:r>
      <w:r w:rsidR="006F570C">
        <w:rPr>
          <w:rFonts w:asciiTheme="majorHAnsi" w:hAnsiTheme="majorHAnsi" w:cstheme="majorBidi"/>
          <w:sz w:val="22"/>
          <w:szCs w:val="22"/>
          <w:lang w:val="en-GB"/>
        </w:rPr>
        <w:t xml:space="preserve"> </w:t>
      </w:r>
      <w:r w:rsidR="006F570C">
        <w:rPr>
          <w:rFonts w:asciiTheme="majorHAnsi" w:hAnsiTheme="majorHAnsi" w:cstheme="majorBidi"/>
          <w:sz w:val="22"/>
          <w:szCs w:val="22"/>
          <w:lang w:val="en-GB"/>
        </w:rPr>
        <w:fldChar w:fldCharType="begin" w:fldLock="1"/>
      </w:r>
      <w:r w:rsidR="001574DF">
        <w:rPr>
          <w:rFonts w:asciiTheme="majorHAnsi" w:hAnsiTheme="majorHAnsi" w:cstheme="majorBidi"/>
          <w:sz w:val="22"/>
          <w:szCs w:val="22"/>
          <w:lang w:val="en-GB"/>
        </w:rPr>
        <w:instrText>ADDIN CSL_CITATION {"citationItems":[{"id":"ITEM-1","itemData":{"DOI":"10.1016/j.jclepro.2019.117845","ISSN":"09596526","abstract":"The impending restrictions on the sulfur content and greenhouse gas emissions of marine fuels represent a challenge for the maritime shipping industry and an opportunity for alternative fuels that may have lower environmental impacts but are not currently economically competitive. This study developed an integrated screening model to compare the technological, economic, and environmental performance of 33 “drop-in” marine biofuel blendstock supply chains, considering nine agroforestry residues and three thermochemical technologies. The biofuel production was modeled for 500 tonne per day “first-of-a-kind” biorefineries to reflect near-term production. Supply chains were modeled for biofuel production in both Brazil and Sweden to explore the impact of regional differences on the biofuels’ break-even prices and their life cycle emissions of greenhouse gases, SO2, and NOX. This study indicates that in the immediate term, marine biofuels from lignocellulosic feedstocks may have a minimum fuel selling price three or more times higher than current fossil marine fuel prices. Biofuels made from agricultural residues saw a 40–100 kg/GJ decrease in life cycle GHG emissions, but forestry residue emissions depended highly on biogenic carbon dioxide accounting. SO2, and NOX emissions were dominated primarily by combustion, which for SO2 were estimated to be much lower than fossil fuels, due to the negligible sulfur content of the biomass. Overall, no single biofuel was a clear winner in terms of economic and environmental performance in the model, but space is opened for deeper research, as the new regulations come into effect.","author":[{"dropping-particle":"","family":"Tanzer","given":"Samantha Eleanor","non-dropping-particle":"","parse-names":false,"suffix":""},{"dropping-particle":"","family":"Posada","given":"John","non-dropping-particle":"","parse-names":false,"suffix":""},{"dropping-particle":"","family":"Geraedts","given":"S.","non-dropping-particle":"","parse-names":false,"suffix":""},{"dropping-particle":"","family":"Ramírez","given":"Andrea","non-dropping-particle":"","parse-names":false,"suffix":""}],"container-title":"Journal of Cleaner Production","id":"ITEM-1","issued":{"date-parts":[["2019"]]},"page":"117845","publisher":"Elsevier Ltd","title":"Lignocellulosic marine biofuel: Technoeconomic and environmental assessment for production in Brazil and Sweden","type":"article-journal","volume":"239"},"uris":["http://www.mendeley.com/documents/?uuid=74de9cfc-8b70-4a46-877a-4ee72a9a8826"]}],"mendeley":{"formattedCitation":"(Tanzer et al., 2019)","plainTextFormattedCitation":"(Tanzer et al., 2019)","previouslyFormattedCitation":"(Tanzer et al., 2019)"},"properties":{"noteIndex":0},"schema":"https://github.com/citation-style-language/schema/raw/master/csl-citation.json"}</w:instrText>
      </w:r>
      <w:r w:rsidR="006F570C">
        <w:rPr>
          <w:rFonts w:asciiTheme="majorHAnsi" w:hAnsiTheme="majorHAnsi" w:cstheme="majorBidi"/>
          <w:sz w:val="22"/>
          <w:szCs w:val="22"/>
          <w:lang w:val="en-GB"/>
        </w:rPr>
        <w:fldChar w:fldCharType="separate"/>
      </w:r>
      <w:r w:rsidR="006F570C" w:rsidRPr="006F570C">
        <w:rPr>
          <w:rFonts w:asciiTheme="majorHAnsi" w:hAnsiTheme="majorHAnsi" w:cstheme="majorBidi"/>
          <w:noProof/>
          <w:sz w:val="22"/>
          <w:szCs w:val="22"/>
          <w:lang w:val="en-GB"/>
        </w:rPr>
        <w:t>(Tanzer et al., 2019)</w:t>
      </w:r>
      <w:r w:rsidR="006F570C">
        <w:rPr>
          <w:rFonts w:asciiTheme="majorHAnsi" w:hAnsiTheme="majorHAnsi" w:cstheme="majorBidi"/>
          <w:sz w:val="22"/>
          <w:szCs w:val="22"/>
          <w:lang w:val="en-GB"/>
        </w:rPr>
        <w:fldChar w:fldCharType="end"/>
      </w:r>
      <w:r w:rsidR="00AC5254">
        <w:rPr>
          <w:rFonts w:asciiTheme="majorHAnsi" w:hAnsiTheme="majorHAnsi" w:cstheme="majorBidi"/>
          <w:sz w:val="22"/>
          <w:szCs w:val="22"/>
          <w:lang w:val="en-GB"/>
        </w:rPr>
        <w:t>.</w:t>
      </w:r>
    </w:p>
    <w:p w14:paraId="1EBFC3EF" w14:textId="59BB4538" w:rsidR="00C53804" w:rsidRPr="00650B23" w:rsidRDefault="645A392A" w:rsidP="5937A937">
      <w:pPr>
        <w:spacing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 xml:space="preserve"> </w:t>
      </w:r>
    </w:p>
    <w:p w14:paraId="5C321081" w14:textId="7688ED40" w:rsidR="00C53804" w:rsidRPr="00650B23" w:rsidRDefault="2A1548B2" w:rsidP="005D6854">
      <w:pPr>
        <w:pStyle w:val="Heading2"/>
      </w:pPr>
      <w:bookmarkStart w:id="28" w:name="_Toc85627866"/>
      <w:r>
        <w:t xml:space="preserve">Fuel </w:t>
      </w:r>
      <w:r w:rsidR="5414E083">
        <w:t xml:space="preserve">Stability and </w:t>
      </w:r>
      <w:r>
        <w:t>Compatibility</w:t>
      </w:r>
      <w:bookmarkEnd w:id="28"/>
    </w:p>
    <w:p w14:paraId="4782B590" w14:textId="1B8A39A2" w:rsidR="00C53804" w:rsidRPr="00650B23" w:rsidRDefault="00C53804" w:rsidP="65215FB1"/>
    <w:p w14:paraId="4519922C" w14:textId="59D86230" w:rsidR="00C53804" w:rsidRPr="00650B23" w:rsidRDefault="39E081CB" w:rsidP="5937A937">
      <w:pPr>
        <w:spacing w:line="360" w:lineRule="auto"/>
        <w:ind w:firstLine="720"/>
      </w:pPr>
      <w:r w:rsidRPr="5937A937">
        <w:rPr>
          <w:rFonts w:eastAsia="Calibri" w:cs="Calibri"/>
          <w:sz w:val="22"/>
          <w:szCs w:val="22"/>
          <w:lang w:val="en-GB"/>
        </w:rPr>
        <w:t xml:space="preserve">Besides price and emissions, end users will consider the technical aspects of fuels use, which relates to fuel quality and </w:t>
      </w:r>
      <w:r w:rsidR="4E7BF960" w:rsidRPr="5937A937">
        <w:rPr>
          <w:rFonts w:eastAsia="Calibri" w:cs="Calibri"/>
          <w:sz w:val="22"/>
          <w:szCs w:val="22"/>
          <w:lang w:val="en-GB"/>
        </w:rPr>
        <w:t xml:space="preserve">engine </w:t>
      </w:r>
      <w:r w:rsidRPr="5937A937">
        <w:rPr>
          <w:rFonts w:eastAsia="Calibri" w:cs="Calibri"/>
          <w:sz w:val="22"/>
          <w:szCs w:val="22"/>
          <w:lang w:val="en-GB"/>
        </w:rPr>
        <w:t xml:space="preserve">compatibility (Panoutsou et al., 2021).   </w:t>
      </w:r>
    </w:p>
    <w:p w14:paraId="5A86D3F5" w14:textId="1BE58133" w:rsidR="00C53804" w:rsidRPr="00650B23" w:rsidRDefault="39E081CB" w:rsidP="5937A937">
      <w:pPr>
        <w:spacing w:line="360" w:lineRule="auto"/>
        <w:ind w:firstLine="720"/>
      </w:pPr>
      <w:r w:rsidRPr="5937A937">
        <w:rPr>
          <w:rFonts w:eastAsia="Calibri" w:cs="Calibri"/>
          <w:sz w:val="22"/>
          <w:szCs w:val="22"/>
          <w:lang w:val="en-GB"/>
        </w:rPr>
        <w:t>Marine fuel stability is addressed by the method ISO 10307-2. The supplier has the responsibility to ensure the delivery of a stable fuel; whereas, best practices and tests to avoid the mixing of incompatible fuels are onboard responsibility. The fuel stability is measured from sedimentation test (ISO 10307-2), which evaluates the particulate formation from a single fuel or mixture. The spot test is a quick method (ASTM D4740) indicated to test the stability and compatibility of fuels with viscosity up to 50 cST at 100 °C</w:t>
      </w:r>
      <w:r w:rsidR="00AC5BEE">
        <w:rPr>
          <w:rFonts w:eastAsia="Calibri" w:cs="Calibri"/>
          <w:sz w:val="22"/>
          <w:szCs w:val="22"/>
          <w:lang w:val="en-GB"/>
        </w:rPr>
        <w:t>. It</w:t>
      </w:r>
      <w:r w:rsidRPr="5937A937">
        <w:rPr>
          <w:rFonts w:eastAsia="Calibri" w:cs="Calibri"/>
          <w:sz w:val="22"/>
          <w:szCs w:val="22"/>
          <w:lang w:val="en-GB"/>
        </w:rPr>
        <w:t xml:space="preserve"> consists in dropping a fuel or a blend on a test paper</w:t>
      </w:r>
      <w:r w:rsidR="002F73A3">
        <w:rPr>
          <w:rFonts w:eastAsia="Calibri" w:cs="Calibri"/>
          <w:sz w:val="22"/>
          <w:szCs w:val="22"/>
          <w:lang w:val="en-GB"/>
        </w:rPr>
        <w:t>. T</w:t>
      </w:r>
      <w:r w:rsidR="0CB215E8" w:rsidRPr="5937A937">
        <w:rPr>
          <w:rFonts w:eastAsia="Calibri" w:cs="Calibri"/>
          <w:sz w:val="22"/>
          <w:szCs w:val="22"/>
          <w:lang w:val="en-GB"/>
        </w:rPr>
        <w:t>hen</w:t>
      </w:r>
      <w:r w:rsidRPr="5937A937">
        <w:rPr>
          <w:rFonts w:eastAsia="Calibri" w:cs="Calibri"/>
          <w:sz w:val="22"/>
          <w:szCs w:val="22"/>
          <w:lang w:val="en-GB"/>
        </w:rPr>
        <w:t xml:space="preserve"> assess the appearance of that based on a referred scale. To test </w:t>
      </w:r>
      <w:r w:rsidR="002F73A3">
        <w:rPr>
          <w:rFonts w:eastAsia="Calibri" w:cs="Calibri"/>
          <w:sz w:val="22"/>
          <w:szCs w:val="22"/>
          <w:lang w:val="en-GB"/>
        </w:rPr>
        <w:t xml:space="preserve">the </w:t>
      </w:r>
      <w:r w:rsidRPr="5937A937">
        <w:rPr>
          <w:rFonts w:eastAsia="Calibri" w:cs="Calibri"/>
          <w:sz w:val="22"/>
          <w:szCs w:val="22"/>
          <w:lang w:val="en-GB"/>
        </w:rPr>
        <w:t>fuel compatibility the methods ASTM D7157, D7060 and D7112 can be applied (CIMAC, 2019). Fuel compatibility is a key aspect considering the adoption of alternative fuels. It bring</w:t>
      </w:r>
      <w:r w:rsidR="00B93976">
        <w:rPr>
          <w:rFonts w:eastAsia="Calibri" w:cs="Calibri"/>
          <w:sz w:val="22"/>
          <w:szCs w:val="22"/>
          <w:lang w:val="en-GB"/>
        </w:rPr>
        <w:t>s</w:t>
      </w:r>
      <w:r w:rsidRPr="5937A937">
        <w:rPr>
          <w:rFonts w:eastAsia="Calibri" w:cs="Calibri"/>
          <w:sz w:val="22"/>
          <w:szCs w:val="22"/>
          <w:lang w:val="en-GB"/>
        </w:rPr>
        <w:t xml:space="preserve"> cheaper solutions to market by means of blended products, at the same time, it does not limit bunkering fuel when there is not availability.</w:t>
      </w:r>
    </w:p>
    <w:p w14:paraId="7752193B" w14:textId="30908175" w:rsidR="00C53804" w:rsidRPr="00650B23" w:rsidRDefault="2E071198" w:rsidP="5937A937">
      <w:pPr>
        <w:spacing w:line="360" w:lineRule="auto"/>
        <w:ind w:firstLine="720"/>
      </w:pPr>
      <w:r w:rsidRPr="5937A937">
        <w:rPr>
          <w:rFonts w:eastAsia="Calibri" w:cs="Calibri"/>
          <w:sz w:val="22"/>
          <w:szCs w:val="22"/>
          <w:lang w:val="en-GB"/>
        </w:rPr>
        <w:t xml:space="preserve">Apart from </w:t>
      </w:r>
      <w:r w:rsidR="7965B32D" w:rsidRPr="5937A937">
        <w:rPr>
          <w:rFonts w:eastAsia="Calibri" w:cs="Calibri"/>
          <w:sz w:val="22"/>
          <w:szCs w:val="22"/>
          <w:lang w:val="en-GB"/>
        </w:rPr>
        <w:t>stability and compatibility</w:t>
      </w:r>
      <w:r w:rsidRPr="5937A937">
        <w:rPr>
          <w:rFonts w:eastAsia="Calibri" w:cs="Calibri"/>
          <w:sz w:val="22"/>
          <w:szCs w:val="22"/>
          <w:lang w:val="en-GB"/>
        </w:rPr>
        <w:t xml:space="preserve">, other criteria should be considered while addressing blend potentials. The sulphur content will determine the regions where fuels can be used and, therefore, its potential market segmentation. The flash point is another </w:t>
      </w:r>
      <w:r w:rsidR="002405DB">
        <w:rPr>
          <w:rFonts w:eastAsia="Calibri" w:cs="Calibri"/>
          <w:sz w:val="22"/>
          <w:szCs w:val="22"/>
          <w:lang w:val="en-GB"/>
        </w:rPr>
        <w:t xml:space="preserve">important </w:t>
      </w:r>
      <w:r w:rsidRPr="5937A937">
        <w:rPr>
          <w:rFonts w:eastAsia="Calibri" w:cs="Calibri"/>
          <w:sz w:val="22"/>
          <w:szCs w:val="22"/>
          <w:lang w:val="en-GB"/>
        </w:rPr>
        <w:t xml:space="preserve"> property for end use, since it has a direct impact on </w:t>
      </w:r>
      <w:r w:rsidR="00835085">
        <w:rPr>
          <w:rFonts w:eastAsia="Calibri" w:cs="Calibri"/>
          <w:sz w:val="22"/>
          <w:szCs w:val="22"/>
          <w:lang w:val="en-GB"/>
        </w:rPr>
        <w:t>fuel handling safety</w:t>
      </w:r>
      <w:r w:rsidRPr="5937A937">
        <w:rPr>
          <w:rFonts w:eastAsia="Calibri" w:cs="Calibri"/>
          <w:sz w:val="22"/>
          <w:szCs w:val="22"/>
          <w:lang w:val="en-GB"/>
        </w:rPr>
        <w:t>. In terms of engine performance, the density, heating value</w:t>
      </w:r>
      <w:r w:rsidR="00FC4A4E">
        <w:rPr>
          <w:rFonts w:eastAsia="Calibri" w:cs="Calibri"/>
          <w:sz w:val="22"/>
          <w:szCs w:val="22"/>
          <w:lang w:val="en-GB"/>
        </w:rPr>
        <w:t>, cetane number</w:t>
      </w:r>
      <w:r w:rsidRPr="5937A937">
        <w:rPr>
          <w:rFonts w:eastAsia="Calibri" w:cs="Calibri"/>
          <w:sz w:val="22"/>
          <w:szCs w:val="22"/>
          <w:lang w:val="en-GB"/>
        </w:rPr>
        <w:t xml:space="preserve"> and viscosity are key parameters to consider for the resulted blend. Density will affect the mass of injected fuel</w:t>
      </w:r>
      <w:r w:rsidR="000E539E">
        <w:rPr>
          <w:rFonts w:eastAsia="Calibri" w:cs="Calibri"/>
          <w:sz w:val="22"/>
          <w:szCs w:val="22"/>
          <w:lang w:val="en-GB"/>
        </w:rPr>
        <w:t>. Cetane number relates to the ignition properties</w:t>
      </w:r>
      <w:r w:rsidR="00DB10B1">
        <w:rPr>
          <w:rFonts w:eastAsia="Calibri" w:cs="Calibri"/>
          <w:sz w:val="22"/>
          <w:szCs w:val="22"/>
          <w:lang w:val="en-GB"/>
        </w:rPr>
        <w:t>.</w:t>
      </w:r>
      <w:r w:rsidRPr="5937A937">
        <w:rPr>
          <w:rFonts w:eastAsia="Calibri" w:cs="Calibri"/>
          <w:sz w:val="22"/>
          <w:szCs w:val="22"/>
          <w:lang w:val="en-GB"/>
        </w:rPr>
        <w:t xml:space="preserve"> </w:t>
      </w:r>
      <w:r w:rsidR="00DB10B1">
        <w:rPr>
          <w:rFonts w:eastAsia="Calibri" w:cs="Calibri"/>
          <w:sz w:val="22"/>
          <w:szCs w:val="22"/>
          <w:lang w:val="en-GB"/>
        </w:rPr>
        <w:t>V</w:t>
      </w:r>
      <w:r w:rsidRPr="5937A937">
        <w:rPr>
          <w:rFonts w:eastAsia="Calibri" w:cs="Calibri"/>
          <w:sz w:val="22"/>
          <w:szCs w:val="22"/>
          <w:lang w:val="en-GB"/>
        </w:rPr>
        <w:t>iscosity will influence on the gas-liquid mixture homogenization and hydrostatic behaviour</w:t>
      </w:r>
      <w:r w:rsidR="0445CEF7" w:rsidRPr="5937A937">
        <w:rPr>
          <w:rFonts w:eastAsia="Calibri" w:cs="Calibri"/>
          <w:sz w:val="22"/>
          <w:szCs w:val="22"/>
          <w:lang w:val="en-GB"/>
        </w:rPr>
        <w:t xml:space="preserve"> during injection</w:t>
      </w:r>
      <w:r w:rsidRPr="5937A937">
        <w:rPr>
          <w:rFonts w:eastAsia="Calibri" w:cs="Calibri"/>
          <w:sz w:val="22"/>
          <w:szCs w:val="22"/>
          <w:lang w:val="en-GB"/>
        </w:rPr>
        <w:t xml:space="preserve"> while the heating value refers to the energy obtained during combustion (Panoutsou et al., 2021).</w:t>
      </w:r>
    </w:p>
    <w:p w14:paraId="3BED188D" w14:textId="663A7456" w:rsidR="00DC3405" w:rsidRDefault="00DC3405">
      <w:pPr>
        <w:spacing w:after="160" w:line="259" w:lineRule="auto"/>
        <w:jc w:val="left"/>
        <w:rPr>
          <w:szCs w:val="21"/>
          <w:lang w:val="en-GB"/>
        </w:rPr>
      </w:pPr>
      <w:r>
        <w:rPr>
          <w:szCs w:val="21"/>
          <w:lang w:val="en-GB"/>
        </w:rPr>
        <w:br w:type="page"/>
      </w:r>
    </w:p>
    <w:p w14:paraId="6B8DED71" w14:textId="77777777" w:rsidR="00C53804" w:rsidRPr="00650B23" w:rsidRDefault="00C53804" w:rsidP="5937A937">
      <w:pPr>
        <w:spacing w:line="360" w:lineRule="auto"/>
        <w:ind w:firstLine="720"/>
        <w:rPr>
          <w:szCs w:val="21"/>
          <w:lang w:val="en-GB"/>
        </w:rPr>
      </w:pPr>
    </w:p>
    <w:p w14:paraId="5905CC79" w14:textId="6EF476F1" w:rsidR="00C53804" w:rsidRPr="00650B23" w:rsidRDefault="00816FB2" w:rsidP="00816FB2">
      <w:pPr>
        <w:pStyle w:val="Caption"/>
      </w:pPr>
      <w:bookmarkStart w:id="29" w:name="_Toc85627889"/>
      <w:bookmarkStart w:id="30" w:name="_Toc85627895"/>
      <w:r>
        <w:t xml:space="preserve">Table </w:t>
      </w:r>
      <w:fldSimple w:instr=" SEQ Table \* ARABIC ">
        <w:r w:rsidR="009C66F7">
          <w:rPr>
            <w:noProof/>
          </w:rPr>
          <w:t>3</w:t>
        </w:r>
      </w:fldSimple>
      <w:r>
        <w:t xml:space="preserve">. </w:t>
      </w:r>
      <w:r w:rsidRPr="00AA43AF">
        <w:t>Fuel and engine compatibility (adapted from Uslu, 2019)</w:t>
      </w:r>
      <w:r>
        <w:t>.</w:t>
      </w:r>
      <w:bookmarkEnd w:id="29"/>
      <w:bookmarkEnd w:id="30"/>
    </w:p>
    <w:tbl>
      <w:tblPr>
        <w:tblStyle w:val="TableGrid"/>
        <w:tblW w:w="0" w:type="auto"/>
        <w:tblLayout w:type="fixed"/>
        <w:tblLook w:val="06A0" w:firstRow="1" w:lastRow="0" w:firstColumn="1" w:lastColumn="0" w:noHBand="1" w:noVBand="1"/>
      </w:tblPr>
      <w:tblGrid>
        <w:gridCol w:w="2535"/>
        <w:gridCol w:w="1035"/>
        <w:gridCol w:w="6060"/>
      </w:tblGrid>
      <w:tr w:rsidR="5937A937" w14:paraId="463A16CD" w14:textId="77777777" w:rsidTr="5937A937">
        <w:tc>
          <w:tcPr>
            <w:tcW w:w="2535" w:type="dxa"/>
            <w:tcBorders>
              <w:top w:val="single" w:sz="8" w:space="0" w:color="auto"/>
              <w:left w:val="nil"/>
              <w:bottom w:val="single" w:sz="8" w:space="0" w:color="auto"/>
              <w:right w:val="nil"/>
            </w:tcBorders>
          </w:tcPr>
          <w:p w14:paraId="2601A40F" w14:textId="0DC48A76" w:rsidR="5937A937" w:rsidRDefault="5937A937" w:rsidP="5937A937">
            <w:pPr>
              <w:spacing w:before="120" w:after="120"/>
              <w:jc w:val="center"/>
            </w:pPr>
            <w:r w:rsidRPr="5937A937">
              <w:rPr>
                <w:rFonts w:eastAsia="Calibri" w:cs="Calibri"/>
                <w:b/>
                <w:bCs/>
                <w:color w:val="0C0C0C" w:themeColor="text1"/>
                <w:sz w:val="18"/>
                <w:szCs w:val="18"/>
                <w:lang w:val="en-GB"/>
              </w:rPr>
              <w:t>Fuel</w:t>
            </w:r>
          </w:p>
        </w:tc>
        <w:tc>
          <w:tcPr>
            <w:tcW w:w="1035" w:type="dxa"/>
            <w:tcBorders>
              <w:top w:val="single" w:sz="8" w:space="0" w:color="auto"/>
              <w:left w:val="nil"/>
              <w:bottom w:val="single" w:sz="8" w:space="0" w:color="auto"/>
              <w:right w:val="nil"/>
            </w:tcBorders>
          </w:tcPr>
          <w:p w14:paraId="7D0548FE" w14:textId="3C7CEB8B" w:rsidR="5937A937" w:rsidRDefault="5937A937" w:rsidP="5937A937">
            <w:pPr>
              <w:spacing w:before="120" w:after="120"/>
              <w:jc w:val="center"/>
            </w:pPr>
            <w:r w:rsidRPr="5937A937">
              <w:rPr>
                <w:rFonts w:eastAsia="Calibri" w:cs="Calibri"/>
                <w:b/>
                <w:bCs/>
                <w:color w:val="0C0C0C" w:themeColor="text1"/>
                <w:sz w:val="18"/>
                <w:szCs w:val="18"/>
                <w:lang w:val="en-GB"/>
              </w:rPr>
              <w:t>Drop-in</w:t>
            </w:r>
          </w:p>
        </w:tc>
        <w:tc>
          <w:tcPr>
            <w:tcW w:w="6060" w:type="dxa"/>
            <w:tcBorders>
              <w:top w:val="single" w:sz="8" w:space="0" w:color="auto"/>
              <w:left w:val="nil"/>
              <w:bottom w:val="single" w:sz="8" w:space="0" w:color="auto"/>
              <w:right w:val="nil"/>
            </w:tcBorders>
          </w:tcPr>
          <w:p w14:paraId="7803ED79" w14:textId="096CCE26" w:rsidR="5937A937" w:rsidRDefault="5937A937" w:rsidP="5937A937">
            <w:pPr>
              <w:spacing w:before="120" w:after="120"/>
              <w:jc w:val="center"/>
            </w:pPr>
            <w:r w:rsidRPr="5937A937">
              <w:rPr>
                <w:rFonts w:eastAsia="Calibri" w:cs="Calibri"/>
                <w:b/>
                <w:bCs/>
                <w:color w:val="0C0C0C" w:themeColor="text1"/>
                <w:sz w:val="18"/>
                <w:szCs w:val="18"/>
                <w:lang w:val="en-GB"/>
              </w:rPr>
              <w:t>Engine's requirements</w:t>
            </w:r>
          </w:p>
        </w:tc>
      </w:tr>
      <w:tr w:rsidR="5937A937" w14:paraId="5E709B93" w14:textId="77777777" w:rsidTr="5937A937">
        <w:tc>
          <w:tcPr>
            <w:tcW w:w="2535" w:type="dxa"/>
            <w:tcBorders>
              <w:top w:val="single" w:sz="8" w:space="0" w:color="auto"/>
              <w:left w:val="nil"/>
              <w:bottom w:val="none" w:sz="4" w:space="0" w:color="000000"/>
              <w:right w:val="nil"/>
            </w:tcBorders>
            <w:vAlign w:val="center"/>
          </w:tcPr>
          <w:p w14:paraId="00266D02" w14:textId="122E0757" w:rsidR="5937A937" w:rsidRDefault="5937A937" w:rsidP="5937A937">
            <w:pPr>
              <w:spacing w:before="120" w:after="120"/>
              <w:jc w:val="center"/>
            </w:pPr>
            <w:r w:rsidRPr="5937A937">
              <w:rPr>
                <w:rFonts w:eastAsia="Calibri" w:cs="Calibri"/>
                <w:color w:val="0C0C0C" w:themeColor="text1"/>
                <w:sz w:val="18"/>
                <w:szCs w:val="18"/>
                <w:lang w:val="en-GB"/>
              </w:rPr>
              <w:t>Pyrolysis oil</w:t>
            </w:r>
          </w:p>
        </w:tc>
        <w:tc>
          <w:tcPr>
            <w:tcW w:w="1035" w:type="dxa"/>
            <w:tcBorders>
              <w:top w:val="single" w:sz="8" w:space="0" w:color="auto"/>
              <w:left w:val="nil"/>
              <w:bottom w:val="none" w:sz="4" w:space="0" w:color="000000"/>
              <w:right w:val="nil"/>
            </w:tcBorders>
            <w:vAlign w:val="center"/>
          </w:tcPr>
          <w:p w14:paraId="157E3912" w14:textId="2BDB3705" w:rsidR="5937A937" w:rsidRDefault="5937A937" w:rsidP="5937A937">
            <w:pPr>
              <w:spacing w:before="120" w:after="120"/>
              <w:jc w:val="center"/>
            </w:pPr>
            <w:r w:rsidRPr="5937A937">
              <w:rPr>
                <w:rFonts w:eastAsia="Calibri" w:cs="Calibri"/>
                <w:color w:val="0C0C0C" w:themeColor="text1"/>
                <w:sz w:val="18"/>
                <w:szCs w:val="18"/>
                <w:lang w:val="en-GB"/>
              </w:rPr>
              <w:t>No</w:t>
            </w:r>
          </w:p>
        </w:tc>
        <w:tc>
          <w:tcPr>
            <w:tcW w:w="6060" w:type="dxa"/>
            <w:tcBorders>
              <w:top w:val="single" w:sz="8" w:space="0" w:color="auto"/>
              <w:left w:val="nil"/>
              <w:bottom w:val="none" w:sz="4" w:space="0" w:color="000000"/>
              <w:right w:val="nil"/>
            </w:tcBorders>
            <w:vAlign w:val="center"/>
          </w:tcPr>
          <w:p w14:paraId="776928BD" w14:textId="314042A8" w:rsidR="5937A937" w:rsidRDefault="5937A937" w:rsidP="5937A937">
            <w:pPr>
              <w:spacing w:before="120" w:after="120"/>
              <w:jc w:val="center"/>
            </w:pPr>
            <w:r w:rsidRPr="5937A937">
              <w:rPr>
                <w:rFonts w:eastAsia="Calibri" w:cs="Calibri"/>
                <w:color w:val="0C0C0C" w:themeColor="text1"/>
                <w:sz w:val="18"/>
                <w:szCs w:val="18"/>
                <w:lang w:val="en-GB"/>
              </w:rPr>
              <w:t xml:space="preserve">It is not compatible with the engine and fuel system. Adaptations are needed </w:t>
            </w:r>
          </w:p>
        </w:tc>
      </w:tr>
      <w:tr w:rsidR="5937A937" w14:paraId="31358353"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499C73E1" w14:textId="298D51FE" w:rsidR="5937A937" w:rsidRDefault="5937A937" w:rsidP="5937A937">
            <w:pPr>
              <w:spacing w:before="120" w:after="120"/>
              <w:jc w:val="center"/>
            </w:pPr>
            <w:r w:rsidRPr="5937A937">
              <w:rPr>
                <w:rFonts w:eastAsia="Calibri" w:cs="Calibri"/>
                <w:color w:val="0C0C0C" w:themeColor="text1"/>
                <w:sz w:val="18"/>
                <w:szCs w:val="18"/>
                <w:lang w:val="en-GB"/>
              </w:rPr>
              <w:t>Upgraded Pyrolysis oil</w:t>
            </w:r>
          </w:p>
        </w:tc>
        <w:tc>
          <w:tcPr>
            <w:tcW w:w="1035" w:type="dxa"/>
            <w:tcBorders>
              <w:top w:val="none" w:sz="4" w:space="0" w:color="000000"/>
              <w:left w:val="none" w:sz="4" w:space="0" w:color="000000"/>
              <w:bottom w:val="none" w:sz="4" w:space="0" w:color="000000"/>
              <w:right w:val="none" w:sz="4" w:space="0" w:color="000000"/>
            </w:tcBorders>
            <w:vAlign w:val="center"/>
          </w:tcPr>
          <w:p w14:paraId="09AB4FAE" w14:textId="09D99C7A" w:rsidR="5937A937" w:rsidRDefault="5937A937" w:rsidP="5937A937">
            <w:pPr>
              <w:spacing w:before="120" w:after="120"/>
              <w:jc w:val="center"/>
            </w:pPr>
            <w:r w:rsidRPr="5937A937">
              <w:rPr>
                <w:rFonts w:eastAsia="Calibri" w:cs="Calibri"/>
                <w:color w:val="0C0C0C" w:themeColor="text1"/>
                <w:sz w:val="18"/>
                <w:szCs w:val="18"/>
                <w:lang w:val="en-GB"/>
              </w:rPr>
              <w:t>Yes</w:t>
            </w:r>
          </w:p>
        </w:tc>
        <w:tc>
          <w:tcPr>
            <w:tcW w:w="6060" w:type="dxa"/>
            <w:tcBorders>
              <w:top w:val="none" w:sz="4" w:space="0" w:color="000000"/>
              <w:left w:val="none" w:sz="4" w:space="0" w:color="000000"/>
              <w:bottom w:val="none" w:sz="4" w:space="0" w:color="000000"/>
              <w:right w:val="none" w:sz="4" w:space="0" w:color="000000"/>
            </w:tcBorders>
            <w:vAlign w:val="center"/>
          </w:tcPr>
          <w:p w14:paraId="48DCCF5D" w14:textId="05B3DDDE" w:rsidR="5937A937" w:rsidRDefault="5937A937" w:rsidP="5937A937">
            <w:pPr>
              <w:spacing w:before="120" w:after="120"/>
              <w:jc w:val="center"/>
            </w:pPr>
            <w:r w:rsidRPr="5937A937">
              <w:rPr>
                <w:rFonts w:eastAsia="Calibri" w:cs="Calibri"/>
                <w:color w:val="0C0C0C" w:themeColor="text1"/>
                <w:sz w:val="18"/>
                <w:szCs w:val="18"/>
                <w:lang w:val="en-GB"/>
              </w:rPr>
              <w:t>Similar characteristics to FT-Diesel and potentially be used for in-land shipping.</w:t>
            </w:r>
          </w:p>
        </w:tc>
      </w:tr>
      <w:tr w:rsidR="5937A937" w14:paraId="70E1B33F"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4774089F" w14:textId="5FE9801E" w:rsidR="5937A937" w:rsidRDefault="5937A937" w:rsidP="5937A937">
            <w:pPr>
              <w:spacing w:before="120" w:after="120"/>
              <w:jc w:val="center"/>
            </w:pPr>
            <w:r w:rsidRPr="5937A937">
              <w:rPr>
                <w:rFonts w:eastAsia="Calibri" w:cs="Calibri"/>
                <w:color w:val="0C0C0C" w:themeColor="text1"/>
                <w:sz w:val="18"/>
                <w:szCs w:val="18"/>
                <w:lang w:val="en-GB"/>
              </w:rPr>
              <w:t>FT- Diesel</w:t>
            </w:r>
          </w:p>
        </w:tc>
        <w:tc>
          <w:tcPr>
            <w:tcW w:w="1035" w:type="dxa"/>
            <w:tcBorders>
              <w:top w:val="none" w:sz="4" w:space="0" w:color="000000"/>
              <w:left w:val="none" w:sz="4" w:space="0" w:color="000000"/>
              <w:bottom w:val="none" w:sz="4" w:space="0" w:color="000000"/>
              <w:right w:val="none" w:sz="4" w:space="0" w:color="000000"/>
            </w:tcBorders>
            <w:vAlign w:val="center"/>
          </w:tcPr>
          <w:p w14:paraId="70BF8963" w14:textId="436060A7" w:rsidR="5937A937" w:rsidRDefault="5937A937" w:rsidP="5937A937">
            <w:pPr>
              <w:spacing w:before="120" w:after="120"/>
              <w:jc w:val="center"/>
            </w:pPr>
            <w:r w:rsidRPr="5937A937">
              <w:rPr>
                <w:rFonts w:eastAsia="Calibri" w:cs="Calibri"/>
                <w:color w:val="0C0C0C" w:themeColor="text1"/>
                <w:sz w:val="18"/>
                <w:szCs w:val="18"/>
                <w:lang w:val="en-GB"/>
              </w:rPr>
              <w:t>Yes</w:t>
            </w:r>
          </w:p>
        </w:tc>
        <w:tc>
          <w:tcPr>
            <w:tcW w:w="6060" w:type="dxa"/>
            <w:tcBorders>
              <w:top w:val="none" w:sz="4" w:space="0" w:color="000000"/>
              <w:left w:val="none" w:sz="4" w:space="0" w:color="000000"/>
              <w:bottom w:val="none" w:sz="4" w:space="0" w:color="000000"/>
              <w:right w:val="none" w:sz="4" w:space="0" w:color="000000"/>
            </w:tcBorders>
            <w:vAlign w:val="center"/>
          </w:tcPr>
          <w:p w14:paraId="7539A9FC" w14:textId="73C45029" w:rsidR="5937A937" w:rsidRDefault="5937A937" w:rsidP="5937A937">
            <w:pPr>
              <w:spacing w:before="120" w:after="120"/>
              <w:jc w:val="center"/>
            </w:pPr>
            <w:r w:rsidRPr="5937A937">
              <w:rPr>
                <w:rFonts w:eastAsia="Calibri" w:cs="Calibri"/>
                <w:color w:val="0C0C0C" w:themeColor="text1"/>
                <w:sz w:val="18"/>
                <w:szCs w:val="18"/>
                <w:lang w:val="en-GB"/>
              </w:rPr>
              <w:t>Need larger fuel tanks due to the lower volumetric energy density.</w:t>
            </w:r>
          </w:p>
          <w:p w14:paraId="3EE29C42" w14:textId="3028E07D" w:rsidR="5937A937" w:rsidRDefault="5937A937" w:rsidP="5937A937">
            <w:pPr>
              <w:spacing w:before="120" w:after="120"/>
              <w:jc w:val="center"/>
            </w:pPr>
            <w:r w:rsidRPr="5937A937">
              <w:rPr>
                <w:rFonts w:eastAsia="Calibri" w:cs="Calibri"/>
                <w:color w:val="0C0C0C" w:themeColor="text1"/>
                <w:sz w:val="18"/>
                <w:szCs w:val="18"/>
                <w:lang w:val="en-GB"/>
              </w:rPr>
              <w:t>Compatible with current vessel and port infrastructure.</w:t>
            </w:r>
          </w:p>
        </w:tc>
      </w:tr>
      <w:tr w:rsidR="5937A937" w14:paraId="78359E73"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64555A73" w14:textId="7844C72D" w:rsidR="5937A937" w:rsidRDefault="5937A937" w:rsidP="5937A937">
            <w:pPr>
              <w:spacing w:before="120" w:after="120"/>
              <w:jc w:val="center"/>
            </w:pPr>
            <w:r w:rsidRPr="5937A937">
              <w:rPr>
                <w:rFonts w:eastAsia="Calibri" w:cs="Calibri"/>
                <w:color w:val="0C0C0C" w:themeColor="text1"/>
                <w:sz w:val="18"/>
                <w:szCs w:val="18"/>
                <w:lang w:val="en-GB"/>
              </w:rPr>
              <w:t>HVO</w:t>
            </w:r>
          </w:p>
        </w:tc>
        <w:tc>
          <w:tcPr>
            <w:tcW w:w="1035" w:type="dxa"/>
            <w:tcBorders>
              <w:top w:val="none" w:sz="4" w:space="0" w:color="000000"/>
              <w:left w:val="none" w:sz="4" w:space="0" w:color="000000"/>
              <w:bottom w:val="none" w:sz="4" w:space="0" w:color="000000"/>
              <w:right w:val="none" w:sz="4" w:space="0" w:color="000000"/>
            </w:tcBorders>
            <w:vAlign w:val="center"/>
          </w:tcPr>
          <w:p w14:paraId="1774E237" w14:textId="132EB2DA" w:rsidR="5937A937" w:rsidRDefault="5937A937" w:rsidP="5937A937">
            <w:pPr>
              <w:spacing w:before="120" w:after="120"/>
              <w:jc w:val="center"/>
            </w:pPr>
            <w:r w:rsidRPr="5937A937">
              <w:rPr>
                <w:rFonts w:eastAsia="Calibri" w:cs="Calibri"/>
                <w:color w:val="0C0C0C" w:themeColor="text1"/>
                <w:sz w:val="18"/>
                <w:szCs w:val="18"/>
                <w:lang w:val="en-GB"/>
              </w:rPr>
              <w:t>Yes</w:t>
            </w:r>
          </w:p>
        </w:tc>
        <w:tc>
          <w:tcPr>
            <w:tcW w:w="6060" w:type="dxa"/>
            <w:tcBorders>
              <w:top w:val="none" w:sz="4" w:space="0" w:color="000000"/>
              <w:left w:val="none" w:sz="4" w:space="0" w:color="000000"/>
              <w:bottom w:val="none" w:sz="4" w:space="0" w:color="000000"/>
              <w:right w:val="none" w:sz="4" w:space="0" w:color="000000"/>
            </w:tcBorders>
            <w:vAlign w:val="center"/>
          </w:tcPr>
          <w:p w14:paraId="30A456E4" w14:textId="43F87910" w:rsidR="5937A937" w:rsidRDefault="5937A937" w:rsidP="5937A937">
            <w:pPr>
              <w:spacing w:before="120" w:after="120"/>
              <w:jc w:val="center"/>
            </w:pPr>
            <w:r w:rsidRPr="5937A937">
              <w:rPr>
                <w:rFonts w:eastAsia="Calibri" w:cs="Calibri"/>
                <w:color w:val="0C0C0C" w:themeColor="text1"/>
                <w:sz w:val="18"/>
                <w:szCs w:val="18"/>
                <w:lang w:val="en-GB"/>
              </w:rPr>
              <w:t>Compatible with current marine diesel engines running on HFO, MDO, and MGO</w:t>
            </w:r>
          </w:p>
        </w:tc>
      </w:tr>
      <w:tr w:rsidR="5937A937" w14:paraId="3D37666C"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37818AF1" w14:textId="03402E12" w:rsidR="5937A937" w:rsidRDefault="5937A937" w:rsidP="5937A937">
            <w:pPr>
              <w:spacing w:before="120" w:after="120"/>
              <w:jc w:val="center"/>
            </w:pPr>
            <w:r w:rsidRPr="5937A937">
              <w:rPr>
                <w:rFonts w:eastAsia="Calibri" w:cs="Calibri"/>
                <w:color w:val="0C0C0C" w:themeColor="text1"/>
                <w:sz w:val="18"/>
                <w:szCs w:val="18"/>
                <w:lang w:val="en-GB"/>
              </w:rPr>
              <w:t>(Bio) Methanol</w:t>
            </w:r>
          </w:p>
        </w:tc>
        <w:tc>
          <w:tcPr>
            <w:tcW w:w="1035" w:type="dxa"/>
            <w:tcBorders>
              <w:top w:val="none" w:sz="4" w:space="0" w:color="000000"/>
              <w:left w:val="none" w:sz="4" w:space="0" w:color="000000"/>
              <w:bottom w:val="none" w:sz="4" w:space="0" w:color="000000"/>
              <w:right w:val="none" w:sz="4" w:space="0" w:color="000000"/>
            </w:tcBorders>
            <w:vAlign w:val="center"/>
          </w:tcPr>
          <w:p w14:paraId="38192A50" w14:textId="360FAF03" w:rsidR="5937A937" w:rsidRDefault="5937A937" w:rsidP="5937A937">
            <w:pPr>
              <w:spacing w:before="120" w:after="120"/>
              <w:jc w:val="center"/>
            </w:pPr>
            <w:r w:rsidRPr="5937A937">
              <w:rPr>
                <w:rFonts w:eastAsia="Calibri" w:cs="Calibri"/>
                <w:color w:val="0C0C0C" w:themeColor="text1"/>
                <w:sz w:val="18"/>
                <w:szCs w:val="18"/>
                <w:lang w:val="en-GB"/>
              </w:rPr>
              <w:t>No</w:t>
            </w:r>
          </w:p>
        </w:tc>
        <w:tc>
          <w:tcPr>
            <w:tcW w:w="6060" w:type="dxa"/>
            <w:tcBorders>
              <w:top w:val="none" w:sz="4" w:space="0" w:color="000000"/>
              <w:left w:val="none" w:sz="4" w:space="0" w:color="000000"/>
              <w:bottom w:val="none" w:sz="4" w:space="0" w:color="000000"/>
              <w:right w:val="none" w:sz="4" w:space="0" w:color="000000"/>
            </w:tcBorders>
            <w:vAlign w:val="center"/>
          </w:tcPr>
          <w:p w14:paraId="3AC8132A" w14:textId="0913E494" w:rsidR="5937A937" w:rsidRDefault="5937A937" w:rsidP="5937A937">
            <w:pPr>
              <w:spacing w:before="120" w:after="120"/>
              <w:jc w:val="center"/>
            </w:pPr>
            <w:r w:rsidRPr="5937A937">
              <w:rPr>
                <w:rFonts w:eastAsia="Calibri" w:cs="Calibri"/>
                <w:color w:val="0C0C0C" w:themeColor="text1"/>
                <w:sz w:val="18"/>
                <w:szCs w:val="18"/>
                <w:lang w:val="en-GB"/>
              </w:rPr>
              <w:t xml:space="preserve">Higher application potential for short-sea-shipping due to the lower energy density. </w:t>
            </w:r>
          </w:p>
          <w:p w14:paraId="30D918FA" w14:textId="764CE780" w:rsidR="5937A937" w:rsidRDefault="5937A937" w:rsidP="5937A937">
            <w:pPr>
              <w:spacing w:before="120" w:after="120"/>
              <w:jc w:val="center"/>
            </w:pPr>
            <w:r w:rsidRPr="5937A937">
              <w:rPr>
                <w:rFonts w:eastAsia="Calibri" w:cs="Calibri"/>
                <w:color w:val="0C0C0C" w:themeColor="text1"/>
                <w:sz w:val="18"/>
                <w:szCs w:val="18"/>
                <w:lang w:val="en-GB"/>
              </w:rPr>
              <w:t xml:space="preserve">Mayor changes in engine system are needed, including injection, ignition enhancer, fuelling system and storage. </w:t>
            </w:r>
          </w:p>
        </w:tc>
      </w:tr>
      <w:tr w:rsidR="5937A937" w14:paraId="7186B269" w14:textId="77777777" w:rsidTr="5937A937">
        <w:tc>
          <w:tcPr>
            <w:tcW w:w="2535" w:type="dxa"/>
            <w:tcBorders>
              <w:top w:val="none" w:sz="4" w:space="0" w:color="000000"/>
              <w:left w:val="nil"/>
              <w:bottom w:val="single" w:sz="8" w:space="0" w:color="auto"/>
              <w:right w:val="nil"/>
            </w:tcBorders>
            <w:vAlign w:val="center"/>
          </w:tcPr>
          <w:p w14:paraId="5835EF6C" w14:textId="4AB0D284" w:rsidR="5937A937" w:rsidRDefault="5937A937" w:rsidP="5937A937">
            <w:pPr>
              <w:spacing w:before="120" w:after="120"/>
              <w:jc w:val="center"/>
            </w:pPr>
            <w:r w:rsidRPr="5937A937">
              <w:rPr>
                <w:rFonts w:eastAsia="Calibri" w:cs="Calibri"/>
                <w:color w:val="0C0C0C" w:themeColor="text1"/>
                <w:sz w:val="18"/>
                <w:szCs w:val="18"/>
                <w:lang w:val="en-GB"/>
              </w:rPr>
              <w:t>Ethanol (lignocellulose base)</w:t>
            </w:r>
          </w:p>
        </w:tc>
        <w:tc>
          <w:tcPr>
            <w:tcW w:w="1035" w:type="dxa"/>
            <w:tcBorders>
              <w:top w:val="none" w:sz="4" w:space="0" w:color="000000"/>
              <w:left w:val="nil"/>
              <w:bottom w:val="single" w:sz="8" w:space="0" w:color="auto"/>
              <w:right w:val="nil"/>
            </w:tcBorders>
            <w:vAlign w:val="center"/>
          </w:tcPr>
          <w:p w14:paraId="255D307B" w14:textId="369DB33E" w:rsidR="5937A937" w:rsidRDefault="5937A937" w:rsidP="5937A937">
            <w:pPr>
              <w:spacing w:before="120" w:after="120"/>
              <w:jc w:val="center"/>
            </w:pPr>
            <w:r w:rsidRPr="5937A937">
              <w:rPr>
                <w:rFonts w:eastAsia="Calibri" w:cs="Calibri"/>
                <w:color w:val="0C0C0C" w:themeColor="text1"/>
                <w:sz w:val="18"/>
                <w:szCs w:val="18"/>
                <w:lang w:val="en-GB"/>
              </w:rPr>
              <w:t>No</w:t>
            </w:r>
          </w:p>
        </w:tc>
        <w:tc>
          <w:tcPr>
            <w:tcW w:w="6060" w:type="dxa"/>
            <w:tcBorders>
              <w:top w:val="none" w:sz="4" w:space="0" w:color="000000"/>
              <w:left w:val="nil"/>
              <w:bottom w:val="single" w:sz="8" w:space="0" w:color="auto"/>
              <w:right w:val="nil"/>
            </w:tcBorders>
            <w:vAlign w:val="center"/>
          </w:tcPr>
          <w:p w14:paraId="3D0C7B18" w14:textId="3EC4DA22" w:rsidR="5937A937" w:rsidRDefault="5937A937" w:rsidP="5937A937">
            <w:pPr>
              <w:spacing w:before="120" w:after="120"/>
              <w:jc w:val="center"/>
            </w:pPr>
            <w:r w:rsidRPr="5937A937">
              <w:rPr>
                <w:rFonts w:eastAsia="Calibri" w:cs="Calibri"/>
                <w:color w:val="0C0C0C" w:themeColor="text1"/>
                <w:sz w:val="18"/>
                <w:szCs w:val="18"/>
                <w:lang w:val="en-GB"/>
              </w:rPr>
              <w:t>Similar requirements to methanol.</w:t>
            </w:r>
          </w:p>
        </w:tc>
      </w:tr>
    </w:tbl>
    <w:p w14:paraId="1D9C6626" w14:textId="77777777" w:rsidR="0022473B" w:rsidRDefault="0022473B" w:rsidP="5937A937">
      <w:pPr>
        <w:spacing w:line="360" w:lineRule="auto"/>
        <w:ind w:firstLine="720"/>
        <w:rPr>
          <w:szCs w:val="21"/>
          <w:lang w:val="en-GB"/>
        </w:rPr>
      </w:pPr>
    </w:p>
    <w:p w14:paraId="3B81A2BC" w14:textId="77777777" w:rsidR="00DC3405" w:rsidRDefault="00DC3405">
      <w:pPr>
        <w:spacing w:after="160" w:line="259" w:lineRule="auto"/>
        <w:jc w:val="left"/>
        <w:rPr>
          <w:rFonts w:asciiTheme="minorHAnsi" w:eastAsiaTheme="majorEastAsia" w:hAnsiTheme="minorHAnsi" w:cstheme="majorBidi"/>
          <w:b/>
          <w:color w:val="002244"/>
          <w:sz w:val="28"/>
          <w:szCs w:val="32"/>
          <w:lang w:val="en-GB"/>
        </w:rPr>
      </w:pPr>
      <w:r>
        <w:br w:type="page"/>
      </w:r>
    </w:p>
    <w:p w14:paraId="25E2EEFA" w14:textId="5A52F4AE" w:rsidR="00C53804" w:rsidRPr="00650B23" w:rsidRDefault="1C595714" w:rsidP="00DC3405">
      <w:pPr>
        <w:pStyle w:val="Heading1"/>
      </w:pPr>
      <w:bookmarkStart w:id="31" w:name="_Toc85627867"/>
      <w:r>
        <w:lastRenderedPageBreak/>
        <w:t>Future Market</w:t>
      </w:r>
      <w:bookmarkEnd w:id="31"/>
    </w:p>
    <w:p w14:paraId="14CF1E58" w14:textId="5795B5DC" w:rsidR="00C53804" w:rsidRPr="00650B23" w:rsidRDefault="00C53804" w:rsidP="65215FB1">
      <w:pPr>
        <w:rPr>
          <w:lang w:val="en-GB"/>
        </w:rPr>
      </w:pPr>
    </w:p>
    <w:p w14:paraId="7E20B84D" w14:textId="36E983DE" w:rsidR="7BF6C1B3" w:rsidRDefault="7BF6C1B3" w:rsidP="5937A937">
      <w:pPr>
        <w:spacing w:line="360" w:lineRule="auto"/>
        <w:ind w:firstLine="720"/>
        <w:rPr>
          <w:rFonts w:eastAsia="Calibri" w:cs="Calibri"/>
          <w:sz w:val="22"/>
          <w:szCs w:val="22"/>
          <w:lang w:val="en-GB"/>
        </w:rPr>
      </w:pPr>
      <w:r w:rsidRPr="5937A937">
        <w:rPr>
          <w:rFonts w:eastAsia="Calibri" w:cs="Calibri"/>
          <w:sz w:val="22"/>
          <w:szCs w:val="22"/>
          <w:lang w:val="en-GB"/>
        </w:rPr>
        <w:t xml:space="preserve">The </w:t>
      </w:r>
      <w:r w:rsidR="35FCEE24" w:rsidRPr="5937A937">
        <w:rPr>
          <w:rFonts w:eastAsia="Calibri" w:cs="Calibri"/>
          <w:sz w:val="22"/>
          <w:szCs w:val="22"/>
          <w:lang w:val="en-GB"/>
        </w:rPr>
        <w:t xml:space="preserve">potential </w:t>
      </w:r>
      <w:r w:rsidRPr="5937A937">
        <w:rPr>
          <w:rFonts w:eastAsia="Calibri" w:cs="Calibri"/>
          <w:sz w:val="22"/>
          <w:szCs w:val="22"/>
          <w:lang w:val="en-GB"/>
        </w:rPr>
        <w:t xml:space="preserve">market </w:t>
      </w:r>
      <w:r w:rsidR="06D44FC7" w:rsidRPr="5937A937">
        <w:rPr>
          <w:rFonts w:eastAsia="Calibri" w:cs="Calibri"/>
          <w:sz w:val="22"/>
          <w:szCs w:val="22"/>
          <w:lang w:val="en-GB"/>
        </w:rPr>
        <w:t>for</w:t>
      </w:r>
      <w:r w:rsidRPr="5937A937">
        <w:rPr>
          <w:rFonts w:eastAsia="Calibri" w:cs="Calibri"/>
          <w:sz w:val="22"/>
          <w:szCs w:val="22"/>
          <w:lang w:val="en-GB"/>
        </w:rPr>
        <w:t xml:space="preserve"> a fuel will depend on the market size</w:t>
      </w:r>
      <w:r w:rsidR="5C0FDE09" w:rsidRPr="5937A937">
        <w:rPr>
          <w:rFonts w:eastAsia="Calibri" w:cs="Calibri"/>
          <w:sz w:val="22"/>
          <w:szCs w:val="22"/>
          <w:lang w:val="en-GB"/>
        </w:rPr>
        <w:t xml:space="preserve"> and profile</w:t>
      </w:r>
      <w:r w:rsidRPr="5937A937">
        <w:rPr>
          <w:rFonts w:eastAsia="Calibri" w:cs="Calibri"/>
          <w:sz w:val="22"/>
          <w:szCs w:val="22"/>
          <w:lang w:val="en-GB"/>
        </w:rPr>
        <w:t xml:space="preserve">, </w:t>
      </w:r>
      <w:r w:rsidR="68418B33" w:rsidRPr="5937A937">
        <w:rPr>
          <w:rFonts w:eastAsia="Calibri" w:cs="Calibri"/>
          <w:sz w:val="22"/>
          <w:szCs w:val="22"/>
          <w:lang w:val="en-GB"/>
        </w:rPr>
        <w:t>legislation, competition</w:t>
      </w:r>
      <w:r w:rsidRPr="5937A937">
        <w:rPr>
          <w:rFonts w:eastAsia="Calibri" w:cs="Calibri"/>
          <w:sz w:val="22"/>
          <w:szCs w:val="22"/>
          <w:lang w:val="en-GB"/>
        </w:rPr>
        <w:t xml:space="preserve"> and prices.  </w:t>
      </w:r>
      <w:r w:rsidR="4B5BAC0F" w:rsidRPr="5937A937">
        <w:rPr>
          <w:rFonts w:eastAsia="Calibri" w:cs="Calibri"/>
          <w:sz w:val="22"/>
          <w:szCs w:val="22"/>
          <w:lang w:val="en-GB"/>
        </w:rPr>
        <w:t>I</w:t>
      </w:r>
      <w:r w:rsidR="2DCEBBD1" w:rsidRPr="5937A937">
        <w:rPr>
          <w:rFonts w:eastAsia="Calibri" w:cs="Calibri"/>
          <w:sz w:val="22"/>
          <w:szCs w:val="22"/>
          <w:lang w:val="en-GB"/>
        </w:rPr>
        <w:t>n</w:t>
      </w:r>
      <w:r w:rsidR="4B5BAC0F" w:rsidRPr="5937A937">
        <w:rPr>
          <w:rFonts w:eastAsia="Calibri" w:cs="Calibri"/>
          <w:sz w:val="22"/>
          <w:szCs w:val="22"/>
          <w:lang w:val="en-GB"/>
        </w:rPr>
        <w:t xml:space="preserve"> this section, each of </w:t>
      </w:r>
      <w:r w:rsidR="429EC17A" w:rsidRPr="5937A937">
        <w:rPr>
          <w:rFonts w:eastAsia="Calibri" w:cs="Calibri"/>
          <w:sz w:val="22"/>
          <w:szCs w:val="22"/>
          <w:lang w:val="en-GB"/>
        </w:rPr>
        <w:t>these aspects</w:t>
      </w:r>
      <w:r w:rsidR="4B5BAC0F" w:rsidRPr="5937A937">
        <w:rPr>
          <w:rFonts w:eastAsia="Calibri" w:cs="Calibri"/>
          <w:sz w:val="22"/>
          <w:szCs w:val="22"/>
          <w:lang w:val="en-GB"/>
        </w:rPr>
        <w:t xml:space="preserve"> are discussed</w:t>
      </w:r>
      <w:r w:rsidR="0CB6C6DE" w:rsidRPr="5937A937">
        <w:rPr>
          <w:rFonts w:eastAsia="Calibri" w:cs="Calibri"/>
          <w:sz w:val="22"/>
          <w:szCs w:val="22"/>
          <w:lang w:val="en-GB"/>
        </w:rPr>
        <w:t>, but legislation which has a dedicated</w:t>
      </w:r>
      <w:r w:rsidR="13208DDD" w:rsidRPr="5937A937">
        <w:rPr>
          <w:rFonts w:eastAsia="Calibri" w:cs="Calibri"/>
          <w:sz w:val="22"/>
          <w:szCs w:val="22"/>
          <w:lang w:val="en-GB"/>
        </w:rPr>
        <w:t xml:space="preserve"> section already discussed.</w:t>
      </w:r>
    </w:p>
    <w:p w14:paraId="4D3CFB40" w14:textId="07B66FDC" w:rsidR="5937A937" w:rsidRDefault="5937A937" w:rsidP="5937A937">
      <w:pPr>
        <w:rPr>
          <w:szCs w:val="21"/>
        </w:rPr>
      </w:pPr>
    </w:p>
    <w:p w14:paraId="69FF9790" w14:textId="424EE8ED" w:rsidR="00C53804" w:rsidRPr="00650B23" w:rsidRDefault="65E29757" w:rsidP="002F7E75">
      <w:pPr>
        <w:pStyle w:val="Heading2"/>
        <w:rPr>
          <w:rFonts w:asciiTheme="majorHAnsi" w:hAnsiTheme="majorHAnsi"/>
          <w:color w:val="0075B0" w:themeColor="accent6"/>
          <w:sz w:val="24"/>
          <w:szCs w:val="24"/>
        </w:rPr>
      </w:pPr>
      <w:bookmarkStart w:id="32" w:name="_Toc85627868"/>
      <w:r>
        <w:t>Market Size</w:t>
      </w:r>
      <w:bookmarkEnd w:id="32"/>
    </w:p>
    <w:p w14:paraId="16905DAF" w14:textId="62AF0535" w:rsidR="7D6C5C87" w:rsidRPr="00A24536" w:rsidRDefault="7D6C5C87" w:rsidP="59587566">
      <w:pPr>
        <w:spacing w:line="360" w:lineRule="auto"/>
        <w:ind w:firstLine="720"/>
        <w:rPr>
          <w:rFonts w:asciiTheme="majorHAnsi" w:hAnsiTheme="majorHAnsi" w:cstheme="majorHAnsi"/>
          <w:szCs w:val="21"/>
          <w:lang w:val="en-GB"/>
        </w:rPr>
      </w:pPr>
      <w:r w:rsidRPr="00A24536">
        <w:rPr>
          <w:rFonts w:asciiTheme="majorHAnsi" w:hAnsiTheme="majorHAnsi" w:cstheme="majorHAnsi"/>
          <w:color w:val="0C0C0C" w:themeColor="text1"/>
          <w:sz w:val="22"/>
          <w:szCs w:val="22"/>
          <w:lang w:val="en-GB"/>
        </w:rPr>
        <w:t>Without specific policy in place, the future market for alternative marine fuels will be mostly governed by price on costumer decision making</w:t>
      </w:r>
      <w:r w:rsidR="33FA7740" w:rsidRPr="00A24536">
        <w:rPr>
          <w:rFonts w:asciiTheme="majorHAnsi" w:hAnsiTheme="majorHAnsi" w:cstheme="majorHAnsi"/>
          <w:color w:val="0C0C0C" w:themeColor="text1"/>
          <w:sz w:val="22"/>
          <w:szCs w:val="22"/>
          <w:lang w:val="en-GB"/>
        </w:rPr>
        <w:t>. This assumption is</w:t>
      </w:r>
      <w:r w:rsidR="632A3326" w:rsidRPr="00A24536">
        <w:rPr>
          <w:rFonts w:asciiTheme="majorHAnsi" w:hAnsiTheme="majorHAnsi" w:cstheme="majorHAnsi"/>
          <w:color w:val="0C0C0C" w:themeColor="text1"/>
          <w:sz w:val="22"/>
          <w:szCs w:val="22"/>
          <w:lang w:val="en-GB"/>
        </w:rPr>
        <w:t xml:space="preserve"> also indicated by respondents of public consultation</w:t>
      </w:r>
      <w:r w:rsidR="00DC4B5A">
        <w:rPr>
          <w:rFonts w:asciiTheme="majorHAnsi" w:hAnsiTheme="majorHAnsi" w:cstheme="majorHAnsi"/>
          <w:color w:val="0C0C0C" w:themeColor="text1"/>
          <w:sz w:val="22"/>
          <w:szCs w:val="22"/>
          <w:lang w:val="en-GB"/>
        </w:rPr>
        <w:t xml:space="preserve"> (Fig. </w:t>
      </w:r>
      <w:r w:rsidR="002174B6">
        <w:rPr>
          <w:rFonts w:asciiTheme="majorHAnsi" w:hAnsiTheme="majorHAnsi" w:cstheme="majorHAnsi"/>
          <w:color w:val="0C0C0C" w:themeColor="text1"/>
          <w:sz w:val="22"/>
          <w:szCs w:val="22"/>
          <w:lang w:val="en-GB"/>
        </w:rPr>
        <w:t>6)</w:t>
      </w:r>
      <w:r w:rsidR="3C9A417D" w:rsidRPr="00A24536">
        <w:rPr>
          <w:rFonts w:asciiTheme="majorHAnsi" w:hAnsiTheme="majorHAnsi" w:cstheme="majorHAnsi"/>
          <w:color w:val="0C0C0C" w:themeColor="text1"/>
          <w:sz w:val="22"/>
          <w:szCs w:val="22"/>
          <w:lang w:val="en-GB"/>
        </w:rPr>
        <w:t>, in which</w:t>
      </w:r>
      <w:r w:rsidR="40C175EF" w:rsidRPr="00A24536">
        <w:rPr>
          <w:rFonts w:asciiTheme="majorHAnsi" w:hAnsiTheme="majorHAnsi" w:cstheme="majorHAnsi"/>
          <w:color w:val="0C0C0C" w:themeColor="text1"/>
          <w:sz w:val="22"/>
          <w:szCs w:val="22"/>
          <w:lang w:val="en-GB"/>
        </w:rPr>
        <w:t xml:space="preserve"> </w:t>
      </w:r>
      <w:r w:rsidR="431005C7" w:rsidRPr="00A24536">
        <w:rPr>
          <w:rFonts w:asciiTheme="majorHAnsi" w:hAnsiTheme="majorHAnsi" w:cstheme="majorHAnsi"/>
          <w:color w:val="0C0C0C" w:themeColor="text1"/>
          <w:sz w:val="22"/>
          <w:szCs w:val="22"/>
          <w:lang w:val="en-GB"/>
        </w:rPr>
        <w:t xml:space="preserve">87 % of respondents focused on the demand-side </w:t>
      </w:r>
      <w:r w:rsidR="3B990D97" w:rsidRPr="00A24536">
        <w:rPr>
          <w:rFonts w:asciiTheme="majorHAnsi" w:hAnsiTheme="majorHAnsi" w:cstheme="majorHAnsi"/>
          <w:color w:val="0C0C0C" w:themeColor="text1"/>
          <w:sz w:val="22"/>
          <w:szCs w:val="22"/>
          <w:lang w:val="en-GB"/>
        </w:rPr>
        <w:t>while addressing renewables uptake in the marine sector.</w:t>
      </w:r>
      <w:r w:rsidR="431005C7" w:rsidRPr="00A24536">
        <w:rPr>
          <w:rFonts w:asciiTheme="majorHAnsi" w:hAnsiTheme="majorHAnsi" w:cstheme="majorHAnsi"/>
          <w:color w:val="0C0C0C" w:themeColor="text1"/>
          <w:sz w:val="22"/>
          <w:szCs w:val="22"/>
          <w:lang w:val="en-GB"/>
        </w:rPr>
        <w:t xml:space="preserve"> </w:t>
      </w:r>
      <w:r w:rsidR="3FC67022" w:rsidRPr="00A24536">
        <w:rPr>
          <w:rFonts w:asciiTheme="majorHAnsi" w:eastAsia="Calibri" w:hAnsiTheme="majorHAnsi" w:cstheme="majorHAnsi"/>
          <w:color w:val="0C0C0C" w:themeColor="text1"/>
          <w:sz w:val="22"/>
          <w:szCs w:val="22"/>
          <w:lang w:val="en-GB"/>
        </w:rPr>
        <w:t>In a business-as-usual scenario, the emission of maritime sector would rise 14 % and 30% by 2030 and 2050, respectively, incompatible with the road map for carbon neutrality 2050.</w:t>
      </w:r>
    </w:p>
    <w:p w14:paraId="5E0B9EA5" w14:textId="0E0F3700" w:rsidR="5937A937" w:rsidRDefault="5937A937" w:rsidP="5937A937">
      <w:pPr>
        <w:rPr>
          <w:rFonts w:eastAsia="Calibri" w:cs="Calibri"/>
          <w:b/>
          <w:bCs/>
          <w:color w:val="4C565C"/>
          <w:sz w:val="18"/>
          <w:szCs w:val="18"/>
          <w:lang w:val="en-GB"/>
        </w:rPr>
      </w:pPr>
    </w:p>
    <w:p w14:paraId="00F18B40" w14:textId="77777777" w:rsidR="00092EB5" w:rsidRDefault="31BB4A89" w:rsidP="00092EB5">
      <w:pPr>
        <w:keepNext/>
      </w:pPr>
      <w:r>
        <w:rPr>
          <w:noProof/>
        </w:rPr>
        <w:drawing>
          <wp:inline distT="0" distB="0" distL="0" distR="0" wp14:anchorId="0B50B111" wp14:editId="697B1190">
            <wp:extent cx="6019802" cy="1467326"/>
            <wp:effectExtent l="0" t="0" r="0" b="0"/>
            <wp:docPr id="1963332890" name="Picture 203119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193117"/>
                    <pic:cNvPicPr/>
                  </pic:nvPicPr>
                  <pic:blipFill>
                    <a:blip r:embed="rId18">
                      <a:extLst>
                        <a:ext uri="{28A0092B-C50C-407E-A947-70E740481C1C}">
                          <a14:useLocalDpi xmlns:a14="http://schemas.microsoft.com/office/drawing/2010/main" val="0"/>
                        </a:ext>
                      </a:extLst>
                    </a:blip>
                    <a:stretch>
                      <a:fillRect/>
                    </a:stretch>
                  </pic:blipFill>
                  <pic:spPr>
                    <a:xfrm>
                      <a:off x="0" y="0"/>
                      <a:ext cx="6019802" cy="1467326"/>
                    </a:xfrm>
                    <a:prstGeom prst="rect">
                      <a:avLst/>
                    </a:prstGeom>
                  </pic:spPr>
                </pic:pic>
              </a:graphicData>
            </a:graphic>
          </wp:inline>
        </w:drawing>
      </w:r>
    </w:p>
    <w:p w14:paraId="0E426A23" w14:textId="6EC95842" w:rsidR="31BB4A89" w:rsidRDefault="00092EB5" w:rsidP="00092EB5">
      <w:pPr>
        <w:pStyle w:val="Caption"/>
        <w:rPr>
          <w:szCs w:val="21"/>
        </w:rPr>
      </w:pPr>
      <w:bookmarkStart w:id="33" w:name="_Toc85627884"/>
      <w:r>
        <w:t xml:space="preserve">Figure </w:t>
      </w:r>
      <w:fldSimple w:instr=" SEQ Figure \* ARABIC ">
        <w:r w:rsidR="009C66F7">
          <w:rPr>
            <w:noProof/>
          </w:rPr>
          <w:t>6</w:t>
        </w:r>
      </w:fldSimple>
      <w:r>
        <w:t xml:space="preserve">. </w:t>
      </w:r>
      <w:r w:rsidRPr="006915C9">
        <w:t xml:space="preserve">Public consultation: How likely is the uptake of renewable fuels in the marine sector without specific policy intervention? </w:t>
      </w:r>
      <w:r w:rsidR="000378E4">
        <w:t>(</w:t>
      </w:r>
      <w:r w:rsidRPr="006915C9">
        <w:t>Source: European Commission Proposal 2021 – Amending Directive 2009/16/EC</w:t>
      </w:r>
      <w:r w:rsidR="000378E4">
        <w:t>)</w:t>
      </w:r>
      <w:bookmarkEnd w:id="33"/>
    </w:p>
    <w:p w14:paraId="5E10E405" w14:textId="49BB0C36" w:rsidR="5937A937" w:rsidRDefault="5937A937" w:rsidP="5937A937">
      <w:pPr>
        <w:rPr>
          <w:b/>
          <w:bCs/>
          <w:szCs w:val="21"/>
          <w:lang w:val="en-GB"/>
        </w:rPr>
      </w:pPr>
    </w:p>
    <w:p w14:paraId="17E78F73" w14:textId="6B3EEF6A" w:rsidR="2989D637" w:rsidRDefault="2989D637" w:rsidP="5937A937">
      <w:pPr>
        <w:spacing w:line="360" w:lineRule="auto"/>
        <w:ind w:firstLine="720"/>
      </w:pPr>
      <w:r w:rsidRPr="59587566">
        <w:rPr>
          <w:rFonts w:eastAsia="Calibri" w:cs="Calibri"/>
          <w:color w:val="0C0C0C" w:themeColor="text1"/>
          <w:sz w:val="22"/>
          <w:szCs w:val="22"/>
          <w:lang w:val="en-GB"/>
        </w:rPr>
        <w:t xml:space="preserve">Having said that, the future market of alternative fuels will be </w:t>
      </w:r>
      <w:r w:rsidR="6C66705B" w:rsidRPr="59587566">
        <w:rPr>
          <w:rFonts w:eastAsia="Calibri" w:cs="Calibri"/>
          <w:color w:val="0C0C0C" w:themeColor="text1"/>
          <w:sz w:val="22"/>
          <w:szCs w:val="22"/>
          <w:lang w:val="en-GB"/>
        </w:rPr>
        <w:t>influenced</w:t>
      </w:r>
      <w:r w:rsidRPr="59587566">
        <w:rPr>
          <w:rFonts w:eastAsia="Calibri" w:cs="Calibri"/>
          <w:color w:val="0C0C0C" w:themeColor="text1"/>
          <w:sz w:val="22"/>
          <w:szCs w:val="22"/>
          <w:lang w:val="en-GB"/>
        </w:rPr>
        <w:t xml:space="preserve">, </w:t>
      </w:r>
      <w:r w:rsidR="14784FDE" w:rsidRPr="59587566">
        <w:rPr>
          <w:rFonts w:eastAsia="Calibri" w:cs="Calibri"/>
          <w:color w:val="0C0C0C" w:themeColor="text1"/>
          <w:sz w:val="22"/>
          <w:szCs w:val="22"/>
          <w:lang w:val="en-GB"/>
        </w:rPr>
        <w:t>apart from</w:t>
      </w:r>
      <w:r w:rsidRPr="59587566">
        <w:rPr>
          <w:rFonts w:eastAsia="Calibri" w:cs="Calibri"/>
          <w:color w:val="0C0C0C" w:themeColor="text1"/>
          <w:sz w:val="22"/>
          <w:szCs w:val="22"/>
          <w:lang w:val="en-GB"/>
        </w:rPr>
        <w:t xml:space="preserve"> price, by mandates and incentives. Mandates will guarantee a floor level for alternative fuels market size. Incentives will be translated into premium payment, benefiting the adoption of renewable fuels from a pricing perspective, most likely aligned to carbon equivalent metrics.  </w:t>
      </w:r>
    </w:p>
    <w:p w14:paraId="4C45DC6E" w14:textId="261358AF" w:rsidR="4A4C348F" w:rsidRDefault="307B6CC7" w:rsidP="59587566">
      <w:pPr>
        <w:spacing w:line="360" w:lineRule="auto"/>
        <w:ind w:firstLine="720"/>
        <w:rPr>
          <w:rFonts w:eastAsia="Calibri" w:cs="Calibri"/>
          <w:sz w:val="22"/>
          <w:szCs w:val="22"/>
          <w:lang w:val="en-GB"/>
        </w:rPr>
      </w:pPr>
      <w:r w:rsidRPr="59587566">
        <w:rPr>
          <w:rFonts w:eastAsia="Calibri" w:cs="Calibri"/>
          <w:color w:val="0C0C0C" w:themeColor="text1"/>
          <w:sz w:val="22"/>
          <w:szCs w:val="22"/>
          <w:lang w:val="en-GB"/>
        </w:rPr>
        <w:t xml:space="preserve">In 2018, IMO </w:t>
      </w:r>
      <w:r w:rsidR="2E66AF50" w:rsidRPr="59587566">
        <w:rPr>
          <w:rFonts w:eastAsia="Calibri" w:cs="Calibri"/>
          <w:color w:val="0C0C0C" w:themeColor="text1"/>
          <w:sz w:val="22"/>
          <w:szCs w:val="22"/>
          <w:lang w:val="en-GB"/>
        </w:rPr>
        <w:t>a</w:t>
      </w:r>
      <w:r w:rsidRPr="59587566">
        <w:rPr>
          <w:rFonts w:eastAsia="Calibri" w:cs="Calibri"/>
          <w:color w:val="0C0C0C" w:themeColor="text1"/>
          <w:sz w:val="22"/>
          <w:szCs w:val="22"/>
          <w:lang w:val="en-GB"/>
        </w:rPr>
        <w:t xml:space="preserve">dopted the UN </w:t>
      </w:r>
      <w:r w:rsidR="63DB84AC" w:rsidRPr="59587566">
        <w:rPr>
          <w:rFonts w:eastAsia="Calibri" w:cs="Calibri"/>
          <w:color w:val="0C0C0C" w:themeColor="text1"/>
          <w:sz w:val="22"/>
          <w:szCs w:val="22"/>
          <w:lang w:val="en-GB"/>
        </w:rPr>
        <w:t>strategy for shipping</w:t>
      </w:r>
      <w:r w:rsidR="2093CCE2" w:rsidRPr="59587566">
        <w:rPr>
          <w:rFonts w:eastAsia="Calibri" w:cs="Calibri"/>
          <w:color w:val="0C0C0C" w:themeColor="text1"/>
          <w:sz w:val="22"/>
          <w:szCs w:val="22"/>
          <w:lang w:val="en-GB"/>
        </w:rPr>
        <w:t xml:space="preserve"> GHG emissions with 3 main </w:t>
      </w:r>
      <w:r w:rsidR="4BEF3E70" w:rsidRPr="59587566">
        <w:rPr>
          <w:rFonts w:eastAsia="Calibri" w:cs="Calibri"/>
          <w:color w:val="0C0C0C" w:themeColor="text1"/>
          <w:sz w:val="22"/>
          <w:szCs w:val="22"/>
          <w:lang w:val="en-GB"/>
        </w:rPr>
        <w:t xml:space="preserve">objectives: i) reduction in the energy intensity of </w:t>
      </w:r>
      <w:r w:rsidR="1EF8B663" w:rsidRPr="59587566">
        <w:rPr>
          <w:rFonts w:eastAsia="Calibri" w:cs="Calibri"/>
          <w:color w:val="0C0C0C" w:themeColor="text1"/>
          <w:sz w:val="22"/>
          <w:szCs w:val="22"/>
          <w:lang w:val="en-GB"/>
        </w:rPr>
        <w:t>ships</w:t>
      </w:r>
      <w:r w:rsidR="05D13E6C" w:rsidRPr="59587566">
        <w:rPr>
          <w:rFonts w:eastAsia="Calibri" w:cs="Calibri"/>
          <w:color w:val="0C0C0C" w:themeColor="text1"/>
          <w:sz w:val="22"/>
          <w:szCs w:val="22"/>
          <w:lang w:val="en-GB"/>
        </w:rPr>
        <w:t xml:space="preserve">; ii) </w:t>
      </w:r>
      <w:r w:rsidR="6FC8FA7C" w:rsidRPr="59587566">
        <w:rPr>
          <w:rFonts w:eastAsia="Calibri" w:cs="Calibri"/>
          <w:color w:val="0C0C0C" w:themeColor="text1"/>
          <w:sz w:val="22"/>
          <w:szCs w:val="22"/>
          <w:lang w:val="en-GB"/>
        </w:rPr>
        <w:t xml:space="preserve">international emission to decline by at least 40 % by 2030, </w:t>
      </w:r>
      <w:r w:rsidR="3CF00E2D" w:rsidRPr="59587566">
        <w:rPr>
          <w:rFonts w:eastAsia="Calibri" w:cs="Calibri"/>
          <w:color w:val="0C0C0C" w:themeColor="text1"/>
          <w:sz w:val="22"/>
          <w:szCs w:val="22"/>
          <w:lang w:val="en-GB"/>
        </w:rPr>
        <w:t>pursuing</w:t>
      </w:r>
      <w:r w:rsidR="6FC8FA7C" w:rsidRPr="59587566">
        <w:rPr>
          <w:rFonts w:eastAsia="Calibri" w:cs="Calibri"/>
          <w:color w:val="0C0C0C" w:themeColor="text1"/>
          <w:sz w:val="22"/>
          <w:szCs w:val="22"/>
          <w:lang w:val="en-GB"/>
        </w:rPr>
        <w:t xml:space="preserve"> efforts </w:t>
      </w:r>
      <w:r w:rsidR="134F2C45" w:rsidRPr="59587566">
        <w:rPr>
          <w:rFonts w:eastAsia="Calibri" w:cs="Calibri"/>
          <w:color w:val="0C0C0C" w:themeColor="text1"/>
          <w:sz w:val="22"/>
          <w:szCs w:val="22"/>
          <w:lang w:val="en-GB"/>
        </w:rPr>
        <w:t>towards</w:t>
      </w:r>
      <w:r w:rsidR="6FC8FA7C" w:rsidRPr="59587566">
        <w:rPr>
          <w:rFonts w:eastAsia="Calibri" w:cs="Calibri"/>
          <w:color w:val="0C0C0C" w:themeColor="text1"/>
          <w:sz w:val="22"/>
          <w:szCs w:val="22"/>
          <w:lang w:val="en-GB"/>
        </w:rPr>
        <w:t xml:space="preserve"> 70 % by 2050</w:t>
      </w:r>
      <w:r w:rsidR="193B2CB9" w:rsidRPr="59587566">
        <w:rPr>
          <w:rFonts w:eastAsia="Calibri" w:cs="Calibri"/>
          <w:color w:val="0C0C0C" w:themeColor="text1"/>
          <w:sz w:val="22"/>
          <w:szCs w:val="22"/>
          <w:lang w:val="en-GB"/>
        </w:rPr>
        <w:t xml:space="preserve"> (2008 base case)</w:t>
      </w:r>
      <w:r w:rsidR="6FC8FA7C" w:rsidRPr="59587566">
        <w:rPr>
          <w:rFonts w:eastAsia="Calibri" w:cs="Calibri"/>
          <w:color w:val="0C0C0C" w:themeColor="text1"/>
          <w:sz w:val="22"/>
          <w:szCs w:val="22"/>
          <w:lang w:val="en-GB"/>
        </w:rPr>
        <w:t xml:space="preserve">; iii) </w:t>
      </w:r>
      <w:r w:rsidR="606E4C2D" w:rsidRPr="59587566">
        <w:rPr>
          <w:rFonts w:eastAsia="Calibri" w:cs="Calibri"/>
          <w:color w:val="0C0C0C" w:themeColor="text1"/>
          <w:sz w:val="22"/>
          <w:szCs w:val="22"/>
          <w:lang w:val="en-GB"/>
        </w:rPr>
        <w:t>total emissions to peak and decline as soon as possible, reducing total annual emissions at least</w:t>
      </w:r>
      <w:r w:rsidR="07F138A3" w:rsidRPr="59587566">
        <w:rPr>
          <w:rFonts w:eastAsia="Calibri" w:cs="Calibri"/>
          <w:color w:val="0C0C0C" w:themeColor="text1"/>
          <w:sz w:val="22"/>
          <w:szCs w:val="22"/>
          <w:lang w:val="en-GB"/>
        </w:rPr>
        <w:t xml:space="preserve"> by 50 % by 2050. </w:t>
      </w:r>
      <w:r w:rsidR="4324AE6B" w:rsidRPr="59587566">
        <w:rPr>
          <w:rFonts w:eastAsia="Calibri" w:cs="Calibri"/>
          <w:color w:val="0C0C0C" w:themeColor="text1"/>
          <w:sz w:val="22"/>
          <w:szCs w:val="22"/>
          <w:lang w:val="en-GB"/>
        </w:rPr>
        <w:t>Framed by these commitments, 3 different scenarios were assumed</w:t>
      </w:r>
      <w:r w:rsidR="22772104" w:rsidRPr="59587566">
        <w:rPr>
          <w:rFonts w:eastAsia="Calibri" w:cs="Calibri"/>
          <w:color w:val="0C0C0C" w:themeColor="text1"/>
          <w:sz w:val="22"/>
          <w:szCs w:val="22"/>
          <w:lang w:val="en-GB"/>
        </w:rPr>
        <w:t xml:space="preserve"> towards decarbonisation</w:t>
      </w:r>
      <w:r w:rsidR="42A7ACA7" w:rsidRPr="59587566">
        <w:rPr>
          <w:rFonts w:eastAsia="Calibri" w:cs="Calibri"/>
          <w:color w:val="0C0C0C" w:themeColor="text1"/>
          <w:sz w:val="22"/>
          <w:szCs w:val="22"/>
          <w:lang w:val="en-GB"/>
        </w:rPr>
        <w:t xml:space="preserve">, two </w:t>
      </w:r>
      <w:r w:rsidR="3FCCA3BE" w:rsidRPr="59587566">
        <w:rPr>
          <w:rFonts w:eastAsia="Calibri" w:cs="Calibri"/>
          <w:color w:val="0C0C0C" w:themeColor="text1"/>
          <w:sz w:val="22"/>
          <w:szCs w:val="22"/>
          <w:lang w:val="en-GB"/>
        </w:rPr>
        <w:t xml:space="preserve">considering </w:t>
      </w:r>
      <w:r w:rsidR="42A7ACA7" w:rsidRPr="59587566">
        <w:rPr>
          <w:rFonts w:eastAsia="Calibri" w:cs="Calibri"/>
          <w:color w:val="0C0C0C" w:themeColor="text1"/>
          <w:sz w:val="22"/>
          <w:szCs w:val="22"/>
          <w:lang w:val="en-GB"/>
        </w:rPr>
        <w:t>the uptak</w:t>
      </w:r>
      <w:r w:rsidR="2860B5A4" w:rsidRPr="59587566">
        <w:rPr>
          <w:rFonts w:eastAsia="Calibri" w:cs="Calibri"/>
          <w:color w:val="0C0C0C" w:themeColor="text1"/>
          <w:sz w:val="22"/>
          <w:szCs w:val="22"/>
          <w:lang w:val="en-GB"/>
        </w:rPr>
        <w:t xml:space="preserve">e of </w:t>
      </w:r>
      <w:r w:rsidR="00772DBC">
        <w:rPr>
          <w:rFonts w:eastAsia="Calibri" w:cs="Calibri"/>
          <w:color w:val="0C0C0C" w:themeColor="text1"/>
          <w:sz w:val="22"/>
          <w:szCs w:val="22"/>
          <w:lang w:val="en-GB"/>
        </w:rPr>
        <w:t>hydrogen (</w:t>
      </w:r>
      <w:r w:rsidR="2860B5A4" w:rsidRPr="59587566">
        <w:rPr>
          <w:rFonts w:eastAsia="Calibri" w:cs="Calibri"/>
          <w:color w:val="0C0C0C" w:themeColor="text1"/>
          <w:sz w:val="22"/>
          <w:szCs w:val="22"/>
          <w:lang w:val="en-GB"/>
        </w:rPr>
        <w:t>H</w:t>
      </w:r>
      <w:r w:rsidR="2860B5A4" w:rsidRPr="00B55ADC">
        <w:rPr>
          <w:rFonts w:eastAsia="Calibri" w:cs="Calibri"/>
          <w:color w:val="0C0C0C" w:themeColor="text1"/>
          <w:sz w:val="22"/>
          <w:szCs w:val="22"/>
          <w:vertAlign w:val="subscript"/>
          <w:lang w:val="en-GB"/>
        </w:rPr>
        <w:t>2</w:t>
      </w:r>
      <w:r w:rsidR="00772DBC">
        <w:rPr>
          <w:rFonts w:eastAsia="Calibri" w:cs="Calibri"/>
          <w:color w:val="0C0C0C" w:themeColor="text1"/>
          <w:sz w:val="22"/>
          <w:szCs w:val="22"/>
          <w:lang w:val="en-GB"/>
        </w:rPr>
        <w:t>)</w:t>
      </w:r>
      <w:r w:rsidR="2860B5A4" w:rsidRPr="59587566">
        <w:rPr>
          <w:rFonts w:eastAsia="Calibri" w:cs="Calibri"/>
          <w:color w:val="0C0C0C" w:themeColor="text1"/>
          <w:sz w:val="22"/>
          <w:szCs w:val="22"/>
          <w:lang w:val="en-GB"/>
        </w:rPr>
        <w:t xml:space="preserve"> and one </w:t>
      </w:r>
      <w:r w:rsidR="50F6CEC0" w:rsidRPr="59587566">
        <w:rPr>
          <w:rFonts w:eastAsia="Calibri" w:cs="Calibri"/>
          <w:color w:val="0C0C0C" w:themeColor="text1"/>
          <w:sz w:val="22"/>
          <w:szCs w:val="22"/>
          <w:lang w:val="en-GB"/>
        </w:rPr>
        <w:t>follow</w:t>
      </w:r>
      <w:r w:rsidR="2860B5A4" w:rsidRPr="59587566">
        <w:rPr>
          <w:rFonts w:eastAsia="Calibri" w:cs="Calibri"/>
          <w:color w:val="0C0C0C" w:themeColor="text1"/>
          <w:sz w:val="22"/>
          <w:szCs w:val="22"/>
          <w:lang w:val="en-GB"/>
        </w:rPr>
        <w:t xml:space="preserve">ing the </w:t>
      </w:r>
      <w:r w:rsidR="28CF7E4E" w:rsidRPr="59587566">
        <w:rPr>
          <w:rFonts w:eastAsia="Calibri" w:cs="Calibri"/>
          <w:color w:val="0C0C0C" w:themeColor="text1"/>
          <w:sz w:val="22"/>
          <w:szCs w:val="22"/>
          <w:lang w:val="en-GB"/>
        </w:rPr>
        <w:t>UN</w:t>
      </w:r>
      <w:r w:rsidR="2860B5A4" w:rsidRPr="59587566">
        <w:rPr>
          <w:rFonts w:eastAsia="Calibri" w:cs="Calibri"/>
          <w:color w:val="0C0C0C" w:themeColor="text1"/>
          <w:sz w:val="22"/>
          <w:szCs w:val="22"/>
          <w:lang w:val="en-GB"/>
        </w:rPr>
        <w:t xml:space="preserve"> below 1.5 °</w:t>
      </w:r>
      <w:r w:rsidR="2215ED7D" w:rsidRPr="59587566">
        <w:rPr>
          <w:rFonts w:eastAsia="Calibri" w:cs="Calibri"/>
          <w:color w:val="0C0C0C" w:themeColor="text1"/>
          <w:sz w:val="22"/>
          <w:szCs w:val="22"/>
          <w:lang w:val="en-GB"/>
        </w:rPr>
        <w:t>C global warming potential</w:t>
      </w:r>
      <w:r w:rsidR="1369B7A7" w:rsidRPr="59587566">
        <w:rPr>
          <w:rFonts w:eastAsia="Calibri" w:cs="Calibri"/>
          <w:color w:val="0C0C0C" w:themeColor="text1"/>
          <w:sz w:val="22"/>
          <w:szCs w:val="22"/>
          <w:lang w:val="en-GB"/>
        </w:rPr>
        <w:t xml:space="preserve">, </w:t>
      </w:r>
      <w:r w:rsidR="2215ED7D" w:rsidRPr="59587566">
        <w:rPr>
          <w:rFonts w:eastAsia="Calibri" w:cs="Calibri"/>
          <w:color w:val="0C0C0C" w:themeColor="text1"/>
          <w:sz w:val="22"/>
          <w:szCs w:val="22"/>
          <w:lang w:val="en-GB"/>
        </w:rPr>
        <w:t>as depicted in Figure</w:t>
      </w:r>
      <w:r w:rsidR="7B455A4A" w:rsidRPr="59587566">
        <w:rPr>
          <w:rFonts w:eastAsia="Calibri" w:cs="Calibri"/>
          <w:color w:val="0C0C0C" w:themeColor="text1"/>
          <w:sz w:val="22"/>
          <w:szCs w:val="22"/>
          <w:lang w:val="en-GB"/>
        </w:rPr>
        <w:t xml:space="preserve"> </w:t>
      </w:r>
      <w:r w:rsidR="007E37EB">
        <w:rPr>
          <w:rFonts w:eastAsia="Calibri" w:cs="Calibri"/>
          <w:color w:val="0C0C0C" w:themeColor="text1"/>
          <w:sz w:val="22"/>
          <w:szCs w:val="22"/>
          <w:lang w:val="en-GB"/>
        </w:rPr>
        <w:t>7</w:t>
      </w:r>
      <w:r w:rsidR="2215ED7D" w:rsidRPr="59587566">
        <w:rPr>
          <w:rFonts w:eastAsia="Calibri" w:cs="Calibri"/>
          <w:sz w:val="22"/>
          <w:szCs w:val="22"/>
          <w:lang w:val="en-GB"/>
        </w:rPr>
        <w:t xml:space="preserve"> (Prussi et al., 2021)</w:t>
      </w:r>
      <w:r w:rsidR="2215ED7D" w:rsidRPr="59587566">
        <w:rPr>
          <w:rFonts w:eastAsia="Calibri" w:cs="Calibri"/>
          <w:color w:val="0C0C0C" w:themeColor="text1"/>
          <w:sz w:val="22"/>
          <w:szCs w:val="22"/>
          <w:lang w:val="en-GB"/>
        </w:rPr>
        <w:t xml:space="preserve">. </w:t>
      </w:r>
      <w:r w:rsidR="5BAF9AFB" w:rsidRPr="59587566">
        <w:rPr>
          <w:rFonts w:eastAsia="Calibri" w:cs="Calibri"/>
          <w:color w:val="0C0C0C" w:themeColor="text1"/>
          <w:sz w:val="22"/>
          <w:szCs w:val="22"/>
          <w:lang w:val="en-GB"/>
        </w:rPr>
        <w:t xml:space="preserve"> Scenarios I, II and 1.5 °C consider</w:t>
      </w:r>
      <w:r w:rsidR="22772104" w:rsidRPr="59587566">
        <w:rPr>
          <w:rFonts w:eastAsia="Calibri" w:cs="Calibri"/>
          <w:color w:val="0C0C0C" w:themeColor="text1"/>
          <w:sz w:val="22"/>
          <w:szCs w:val="22"/>
          <w:lang w:val="en-GB"/>
        </w:rPr>
        <w:t xml:space="preserve"> </w:t>
      </w:r>
      <w:r w:rsidR="49843C13" w:rsidRPr="59587566">
        <w:rPr>
          <w:rFonts w:eastAsia="Calibri" w:cs="Calibri"/>
          <w:color w:val="0C0C0C" w:themeColor="text1"/>
          <w:sz w:val="22"/>
          <w:szCs w:val="22"/>
          <w:lang w:val="en-GB"/>
        </w:rPr>
        <w:t xml:space="preserve">a biofuel uptake </w:t>
      </w:r>
      <w:r w:rsidR="49843C13" w:rsidRPr="59587566">
        <w:rPr>
          <w:rFonts w:eastAsia="Calibri" w:cs="Calibri"/>
          <w:sz w:val="22"/>
          <w:szCs w:val="22"/>
          <w:lang w:val="en-GB"/>
        </w:rPr>
        <w:t>of 37 %, 54 % and 54 %, respectively.</w:t>
      </w:r>
    </w:p>
    <w:p w14:paraId="4F3E057E" w14:textId="77777777" w:rsidR="00244B79" w:rsidRDefault="00244B79" w:rsidP="59587566">
      <w:pPr>
        <w:spacing w:line="360" w:lineRule="auto"/>
        <w:ind w:firstLine="720"/>
        <w:rPr>
          <w:szCs w:val="21"/>
          <w:lang w:val="en-GB"/>
        </w:rPr>
      </w:pPr>
    </w:p>
    <w:p w14:paraId="033717C7" w14:textId="77777777" w:rsidR="00092EB5" w:rsidRDefault="007E37EB" w:rsidP="00092EB5">
      <w:pPr>
        <w:keepNext/>
        <w:spacing w:line="360" w:lineRule="auto"/>
        <w:ind w:firstLine="720"/>
      </w:pPr>
      <w:r>
        <w:rPr>
          <w:noProof/>
        </w:rPr>
        <w:lastRenderedPageBreak/>
        <w:drawing>
          <wp:inline distT="0" distB="0" distL="0" distR="0" wp14:anchorId="76514292" wp14:editId="2673DAF2">
            <wp:extent cx="5388926" cy="2469924"/>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388926" cy="2469924"/>
                    </a:xfrm>
                    <a:prstGeom prst="rect">
                      <a:avLst/>
                    </a:prstGeom>
                  </pic:spPr>
                </pic:pic>
              </a:graphicData>
            </a:graphic>
          </wp:inline>
        </w:drawing>
      </w:r>
    </w:p>
    <w:p w14:paraId="71EE6A61" w14:textId="13092365" w:rsidR="4A4C348F" w:rsidRDefault="00092EB5" w:rsidP="00092EB5">
      <w:pPr>
        <w:pStyle w:val="Caption"/>
        <w:jc w:val="center"/>
        <w:rPr>
          <w:szCs w:val="21"/>
        </w:rPr>
      </w:pPr>
      <w:bookmarkStart w:id="34" w:name="_Toc85627885"/>
      <w:r>
        <w:t xml:space="preserve">Figure </w:t>
      </w:r>
      <w:fldSimple w:instr=" SEQ Figure \* ARABIC ">
        <w:r w:rsidR="009C66F7">
          <w:rPr>
            <w:noProof/>
          </w:rPr>
          <w:t>7</w:t>
        </w:r>
      </w:fldSimple>
      <w:r>
        <w:t xml:space="preserve">. </w:t>
      </w:r>
      <w:r w:rsidRPr="001A50D5">
        <w:t>European Commission 2050 long-term scenarios for maritime fuel mix</w:t>
      </w:r>
      <w:r>
        <w:t xml:space="preserve"> (source</w:t>
      </w:r>
      <w:r w:rsidR="00244B79">
        <w:t>:</w:t>
      </w:r>
      <w:r>
        <w:t xml:space="preserve"> Prussi et al., 2021)</w:t>
      </w:r>
      <w:bookmarkEnd w:id="34"/>
    </w:p>
    <w:p w14:paraId="5972571E" w14:textId="3D52DD80" w:rsidR="00C53804" w:rsidRPr="00650B23" w:rsidRDefault="654CA926" w:rsidP="005D6854">
      <w:pPr>
        <w:pStyle w:val="Heading2"/>
      </w:pPr>
      <w:bookmarkStart w:id="35" w:name="_Toc85627869"/>
      <w:r>
        <w:t>Pricing</w:t>
      </w:r>
      <w:bookmarkEnd w:id="35"/>
    </w:p>
    <w:p w14:paraId="26D61B91" w14:textId="6653826D" w:rsidR="00C53804" w:rsidRPr="00650B23" w:rsidRDefault="00C53804" w:rsidP="65215FB1"/>
    <w:p w14:paraId="5CF19AE5" w14:textId="72FF6311" w:rsidR="00C53804" w:rsidRPr="00650B23" w:rsidRDefault="4FE1F1F2" w:rsidP="59587566">
      <w:pPr>
        <w:spacing w:after="120" w:line="360" w:lineRule="auto"/>
        <w:ind w:firstLine="720"/>
        <w:rPr>
          <w:rFonts w:asciiTheme="majorHAnsi" w:eastAsiaTheme="majorEastAsia" w:hAnsiTheme="majorHAnsi" w:cstheme="majorBidi"/>
          <w:sz w:val="22"/>
          <w:szCs w:val="22"/>
          <w:lang w:val="en-GB"/>
        </w:rPr>
      </w:pPr>
      <w:r w:rsidRPr="59587566">
        <w:rPr>
          <w:rFonts w:asciiTheme="majorHAnsi" w:eastAsiaTheme="majorEastAsia" w:hAnsiTheme="majorHAnsi" w:cstheme="majorBidi"/>
          <w:sz w:val="22"/>
          <w:szCs w:val="22"/>
          <w:lang w:val="en-GB"/>
        </w:rPr>
        <w:t xml:space="preserve">Price is usually the most impacting factor on </w:t>
      </w:r>
      <w:r w:rsidR="3B7D5F31" w:rsidRPr="59587566">
        <w:rPr>
          <w:rFonts w:asciiTheme="majorHAnsi" w:eastAsiaTheme="majorEastAsia" w:hAnsiTheme="majorHAnsi" w:cstheme="majorBidi"/>
          <w:sz w:val="22"/>
          <w:szCs w:val="22"/>
          <w:lang w:val="en-GB"/>
        </w:rPr>
        <w:t>costumers'</w:t>
      </w:r>
      <w:r w:rsidRPr="59587566">
        <w:rPr>
          <w:rFonts w:asciiTheme="majorHAnsi" w:eastAsiaTheme="majorEastAsia" w:hAnsiTheme="majorHAnsi" w:cstheme="majorBidi"/>
          <w:sz w:val="22"/>
          <w:szCs w:val="22"/>
          <w:lang w:val="en-GB"/>
        </w:rPr>
        <w:t xml:space="preserve"> decision making. Fossil fuels, on </w:t>
      </w:r>
      <w:r w:rsidR="796EBD1A" w:rsidRPr="59587566">
        <w:rPr>
          <w:rFonts w:asciiTheme="majorHAnsi" w:eastAsiaTheme="majorEastAsia" w:hAnsiTheme="majorHAnsi" w:cstheme="majorBidi"/>
          <w:sz w:val="22"/>
          <w:szCs w:val="22"/>
          <w:lang w:val="en-GB"/>
        </w:rPr>
        <w:t>this</w:t>
      </w:r>
      <w:r w:rsidRPr="59587566">
        <w:rPr>
          <w:rFonts w:asciiTheme="majorHAnsi" w:eastAsiaTheme="majorEastAsia" w:hAnsiTheme="majorHAnsi" w:cstheme="majorBidi"/>
          <w:sz w:val="22"/>
          <w:szCs w:val="22"/>
          <w:lang w:val="en-GB"/>
        </w:rPr>
        <w:t xml:space="preserve"> regard, have enormous advanta</w:t>
      </w:r>
      <w:r w:rsidR="66FCC257" w:rsidRPr="59587566">
        <w:rPr>
          <w:rFonts w:asciiTheme="majorHAnsi" w:eastAsiaTheme="majorEastAsia" w:hAnsiTheme="majorHAnsi" w:cstheme="majorBidi"/>
          <w:sz w:val="22"/>
          <w:szCs w:val="22"/>
          <w:lang w:val="en-GB"/>
        </w:rPr>
        <w:t>ge</w:t>
      </w:r>
      <w:r w:rsidR="5DB5988D" w:rsidRPr="59587566">
        <w:rPr>
          <w:rFonts w:asciiTheme="majorHAnsi" w:eastAsiaTheme="majorEastAsia" w:hAnsiTheme="majorHAnsi" w:cstheme="majorBidi"/>
          <w:sz w:val="22"/>
          <w:szCs w:val="22"/>
          <w:lang w:val="en-GB"/>
        </w:rPr>
        <w:t xml:space="preserve"> on biofuels</w:t>
      </w:r>
      <w:r w:rsidR="481C2182" w:rsidRPr="59587566">
        <w:rPr>
          <w:rFonts w:asciiTheme="majorHAnsi" w:eastAsiaTheme="majorEastAsia" w:hAnsiTheme="majorHAnsi" w:cstheme="majorBidi"/>
          <w:sz w:val="22"/>
          <w:szCs w:val="22"/>
          <w:lang w:val="en-GB"/>
        </w:rPr>
        <w:t xml:space="preserve">. The higher </w:t>
      </w:r>
      <w:r w:rsidR="786C0C1A" w:rsidRPr="59587566">
        <w:rPr>
          <w:rFonts w:asciiTheme="majorHAnsi" w:eastAsiaTheme="majorEastAsia" w:hAnsiTheme="majorHAnsi" w:cstheme="majorBidi"/>
          <w:sz w:val="22"/>
          <w:szCs w:val="22"/>
          <w:lang w:val="en-GB"/>
        </w:rPr>
        <w:t xml:space="preserve">prices of </w:t>
      </w:r>
      <w:r w:rsidR="481C2182" w:rsidRPr="59587566">
        <w:rPr>
          <w:rFonts w:asciiTheme="majorHAnsi" w:eastAsiaTheme="majorEastAsia" w:hAnsiTheme="majorHAnsi" w:cstheme="majorBidi"/>
          <w:sz w:val="22"/>
          <w:szCs w:val="22"/>
          <w:lang w:val="en-GB"/>
        </w:rPr>
        <w:t xml:space="preserve">biofuel are mostly </w:t>
      </w:r>
      <w:r w:rsidR="56D28CA3" w:rsidRPr="59587566">
        <w:rPr>
          <w:rFonts w:asciiTheme="majorHAnsi" w:eastAsiaTheme="majorEastAsia" w:hAnsiTheme="majorHAnsi" w:cstheme="majorBidi"/>
          <w:sz w:val="22"/>
          <w:szCs w:val="22"/>
          <w:lang w:val="en-GB"/>
        </w:rPr>
        <w:t xml:space="preserve">attributed to </w:t>
      </w:r>
      <w:r w:rsidR="00963F36">
        <w:rPr>
          <w:rFonts w:asciiTheme="majorHAnsi" w:eastAsiaTheme="majorEastAsia" w:hAnsiTheme="majorHAnsi" w:cstheme="majorBidi"/>
          <w:sz w:val="22"/>
          <w:szCs w:val="22"/>
          <w:lang w:val="en-GB"/>
        </w:rPr>
        <w:t>its</w:t>
      </w:r>
      <w:r w:rsidR="56D28CA3" w:rsidRPr="59587566">
        <w:rPr>
          <w:rFonts w:asciiTheme="majorHAnsi" w:eastAsiaTheme="majorEastAsia" w:hAnsiTheme="majorHAnsi" w:cstheme="majorBidi"/>
          <w:sz w:val="22"/>
          <w:szCs w:val="22"/>
          <w:lang w:val="en-GB"/>
        </w:rPr>
        <w:t xml:space="preserve"> production and feedstock costs. </w:t>
      </w:r>
      <w:r w:rsidR="3710F14C" w:rsidRPr="59587566">
        <w:rPr>
          <w:rFonts w:asciiTheme="majorHAnsi" w:eastAsiaTheme="majorEastAsia" w:hAnsiTheme="majorHAnsi" w:cstheme="majorBidi"/>
          <w:sz w:val="22"/>
          <w:szCs w:val="22"/>
          <w:lang w:val="en-GB"/>
        </w:rPr>
        <w:t>Nevertheless, overall p</w:t>
      </w:r>
      <w:r w:rsidR="56D28CA3" w:rsidRPr="59587566">
        <w:rPr>
          <w:rFonts w:asciiTheme="majorHAnsi" w:eastAsiaTheme="majorEastAsia" w:hAnsiTheme="majorHAnsi" w:cstheme="majorBidi"/>
          <w:sz w:val="22"/>
          <w:szCs w:val="22"/>
          <w:lang w:val="en-GB"/>
        </w:rPr>
        <w:t>rices tend to dec</w:t>
      </w:r>
      <w:r w:rsidR="1920A23E" w:rsidRPr="59587566">
        <w:rPr>
          <w:rFonts w:asciiTheme="majorHAnsi" w:eastAsiaTheme="majorEastAsia" w:hAnsiTheme="majorHAnsi" w:cstheme="majorBidi"/>
          <w:sz w:val="22"/>
          <w:szCs w:val="22"/>
          <w:lang w:val="en-GB"/>
        </w:rPr>
        <w:t xml:space="preserve">rease </w:t>
      </w:r>
      <w:r w:rsidR="19A7FEE7" w:rsidRPr="59587566">
        <w:rPr>
          <w:rFonts w:asciiTheme="majorHAnsi" w:eastAsiaTheme="majorEastAsia" w:hAnsiTheme="majorHAnsi" w:cstheme="majorBidi"/>
          <w:sz w:val="22"/>
          <w:szCs w:val="22"/>
          <w:lang w:val="en-GB"/>
        </w:rPr>
        <w:t xml:space="preserve">with time as a consequence </w:t>
      </w:r>
      <w:r w:rsidR="2912F4EF" w:rsidRPr="59587566">
        <w:rPr>
          <w:rFonts w:asciiTheme="majorHAnsi" w:eastAsiaTheme="majorEastAsia" w:hAnsiTheme="majorHAnsi" w:cstheme="majorBidi"/>
          <w:sz w:val="22"/>
          <w:szCs w:val="22"/>
          <w:lang w:val="en-GB"/>
        </w:rPr>
        <w:t>of technology development and economy of scale</w:t>
      </w:r>
      <w:r w:rsidR="008F4F1A">
        <w:rPr>
          <w:rFonts w:asciiTheme="majorHAnsi" w:eastAsiaTheme="majorEastAsia" w:hAnsiTheme="majorHAnsi" w:cstheme="majorBidi"/>
          <w:sz w:val="22"/>
          <w:szCs w:val="22"/>
          <w:lang w:val="en-GB"/>
        </w:rPr>
        <w:t xml:space="preserve"> </w:t>
      </w:r>
      <w:r w:rsidR="00943179" w:rsidRPr="59587566">
        <w:rPr>
          <w:rFonts w:asciiTheme="majorHAnsi" w:eastAsiaTheme="majorEastAsia" w:hAnsiTheme="majorHAnsi" w:cstheme="majorBidi"/>
          <w:sz w:val="22"/>
          <w:szCs w:val="22"/>
          <w:lang w:val="en-GB"/>
        </w:rPr>
        <w:t>(Brown et al., 2020).</w:t>
      </w:r>
      <w:r w:rsidR="1DB5C4B7" w:rsidRPr="59587566">
        <w:rPr>
          <w:rFonts w:asciiTheme="majorHAnsi" w:eastAsiaTheme="majorEastAsia" w:hAnsiTheme="majorHAnsi" w:cstheme="majorBidi"/>
          <w:sz w:val="22"/>
          <w:szCs w:val="22"/>
          <w:lang w:val="en-GB"/>
        </w:rPr>
        <w:t xml:space="preserve"> </w:t>
      </w:r>
      <w:r w:rsidR="1920A23E" w:rsidRPr="59587566">
        <w:rPr>
          <w:rFonts w:asciiTheme="majorHAnsi" w:eastAsiaTheme="majorEastAsia" w:hAnsiTheme="majorHAnsi" w:cstheme="majorBidi"/>
          <w:sz w:val="22"/>
          <w:szCs w:val="22"/>
          <w:lang w:val="en-GB"/>
        </w:rPr>
        <w:t xml:space="preserve"> </w:t>
      </w:r>
      <w:r w:rsidR="56D28CA3" w:rsidRPr="59587566">
        <w:rPr>
          <w:rFonts w:asciiTheme="majorHAnsi" w:eastAsiaTheme="majorEastAsia" w:hAnsiTheme="majorHAnsi" w:cstheme="majorBidi"/>
          <w:sz w:val="22"/>
          <w:szCs w:val="22"/>
          <w:lang w:val="en-GB"/>
        </w:rPr>
        <w:t xml:space="preserve"> </w:t>
      </w:r>
    </w:p>
    <w:p w14:paraId="14305A17" w14:textId="718A81FB" w:rsidR="00C53804" w:rsidRPr="00650B23" w:rsidRDefault="3056F505" w:rsidP="59587566">
      <w:pPr>
        <w:spacing w:after="120" w:line="360" w:lineRule="auto"/>
        <w:ind w:firstLine="720"/>
        <w:rPr>
          <w:rFonts w:asciiTheme="majorHAnsi" w:eastAsiaTheme="majorEastAsia" w:hAnsiTheme="majorHAnsi" w:cstheme="majorBidi"/>
          <w:sz w:val="22"/>
          <w:szCs w:val="22"/>
          <w:lang w:val="en-GB"/>
        </w:rPr>
      </w:pPr>
      <w:r w:rsidRPr="59587566">
        <w:rPr>
          <w:rFonts w:asciiTheme="majorHAnsi" w:eastAsiaTheme="majorEastAsia" w:hAnsiTheme="majorHAnsi" w:cstheme="majorBidi"/>
          <w:sz w:val="22"/>
          <w:szCs w:val="22"/>
          <w:lang w:val="en-GB"/>
        </w:rPr>
        <w:t xml:space="preserve">Feedstock </w:t>
      </w:r>
      <w:r w:rsidR="1A899612" w:rsidRPr="59587566">
        <w:rPr>
          <w:rFonts w:asciiTheme="majorHAnsi" w:eastAsiaTheme="majorEastAsia" w:hAnsiTheme="majorHAnsi" w:cstheme="majorBidi"/>
          <w:sz w:val="22"/>
          <w:szCs w:val="22"/>
          <w:lang w:val="en-GB"/>
        </w:rPr>
        <w:t xml:space="preserve">availability </w:t>
      </w:r>
      <w:r w:rsidRPr="59587566">
        <w:rPr>
          <w:rFonts w:asciiTheme="majorHAnsi" w:eastAsiaTheme="majorEastAsia" w:hAnsiTheme="majorHAnsi" w:cstheme="majorBidi"/>
          <w:sz w:val="22"/>
          <w:szCs w:val="22"/>
          <w:lang w:val="en-GB"/>
        </w:rPr>
        <w:t xml:space="preserve">is </w:t>
      </w:r>
      <w:r w:rsidR="3461C46B" w:rsidRPr="59587566">
        <w:rPr>
          <w:rFonts w:asciiTheme="majorHAnsi" w:eastAsiaTheme="majorEastAsia" w:hAnsiTheme="majorHAnsi" w:cstheme="majorBidi"/>
          <w:sz w:val="22"/>
          <w:szCs w:val="22"/>
          <w:lang w:val="en-GB"/>
        </w:rPr>
        <w:t xml:space="preserve">a </w:t>
      </w:r>
      <w:r w:rsidR="3D7E906C" w:rsidRPr="59587566">
        <w:rPr>
          <w:rFonts w:asciiTheme="majorHAnsi" w:eastAsiaTheme="majorEastAsia" w:hAnsiTheme="majorHAnsi" w:cstheme="majorBidi"/>
          <w:sz w:val="22"/>
          <w:szCs w:val="22"/>
          <w:lang w:val="en-GB"/>
        </w:rPr>
        <w:t xml:space="preserve">crucial variable </w:t>
      </w:r>
      <w:r w:rsidR="3D018EA8" w:rsidRPr="59587566">
        <w:rPr>
          <w:rFonts w:asciiTheme="majorHAnsi" w:eastAsiaTheme="majorEastAsia" w:hAnsiTheme="majorHAnsi" w:cstheme="majorBidi"/>
          <w:sz w:val="22"/>
          <w:szCs w:val="22"/>
          <w:lang w:val="en-GB"/>
        </w:rPr>
        <w:t>affecting</w:t>
      </w:r>
      <w:r w:rsidR="142F60AE" w:rsidRPr="59587566">
        <w:rPr>
          <w:rFonts w:asciiTheme="majorHAnsi" w:eastAsiaTheme="majorEastAsia" w:hAnsiTheme="majorHAnsi" w:cstheme="majorBidi"/>
          <w:sz w:val="22"/>
          <w:szCs w:val="22"/>
          <w:lang w:val="en-GB"/>
        </w:rPr>
        <w:t xml:space="preserve"> biofuel </w:t>
      </w:r>
      <w:r w:rsidR="30026651" w:rsidRPr="59587566">
        <w:rPr>
          <w:rFonts w:asciiTheme="majorHAnsi" w:eastAsiaTheme="majorEastAsia" w:hAnsiTheme="majorHAnsi" w:cstheme="majorBidi"/>
          <w:sz w:val="22"/>
          <w:szCs w:val="22"/>
          <w:lang w:val="en-GB"/>
        </w:rPr>
        <w:t xml:space="preserve">production </w:t>
      </w:r>
      <w:r w:rsidR="142F60AE" w:rsidRPr="59587566">
        <w:rPr>
          <w:rFonts w:asciiTheme="majorHAnsi" w:eastAsiaTheme="majorEastAsia" w:hAnsiTheme="majorHAnsi" w:cstheme="majorBidi"/>
          <w:sz w:val="22"/>
          <w:szCs w:val="22"/>
          <w:lang w:val="en-GB"/>
        </w:rPr>
        <w:t>cost</w:t>
      </w:r>
      <w:r w:rsidR="05F3196D" w:rsidRPr="59587566">
        <w:rPr>
          <w:rFonts w:asciiTheme="majorHAnsi" w:eastAsiaTheme="majorEastAsia" w:hAnsiTheme="majorHAnsi" w:cstheme="majorBidi"/>
          <w:sz w:val="22"/>
          <w:szCs w:val="22"/>
          <w:lang w:val="en-GB"/>
        </w:rPr>
        <w:t xml:space="preserve">. </w:t>
      </w:r>
      <w:r w:rsidR="4121BA56" w:rsidRPr="59587566">
        <w:rPr>
          <w:rFonts w:asciiTheme="majorHAnsi" w:eastAsiaTheme="majorEastAsia" w:hAnsiTheme="majorHAnsi" w:cstheme="majorBidi"/>
          <w:sz w:val="22"/>
          <w:szCs w:val="22"/>
          <w:lang w:val="en-GB"/>
        </w:rPr>
        <w:t>For processes based on lignocellulosic residues, feedstock price</w:t>
      </w:r>
      <w:r w:rsidR="184490E0" w:rsidRPr="59587566">
        <w:rPr>
          <w:rFonts w:asciiTheme="majorHAnsi" w:eastAsiaTheme="majorEastAsia" w:hAnsiTheme="majorHAnsi" w:cstheme="majorBidi"/>
          <w:sz w:val="22"/>
          <w:szCs w:val="22"/>
          <w:lang w:val="en-GB"/>
        </w:rPr>
        <w:t xml:space="preserve"> </w:t>
      </w:r>
      <w:r w:rsidR="379625AB" w:rsidRPr="59587566">
        <w:rPr>
          <w:rFonts w:asciiTheme="majorHAnsi" w:eastAsiaTheme="majorEastAsia" w:hAnsiTheme="majorHAnsi" w:cstheme="majorBidi"/>
          <w:sz w:val="22"/>
          <w:szCs w:val="22"/>
          <w:lang w:val="en-GB"/>
        </w:rPr>
        <w:t>accounts for</w:t>
      </w:r>
      <w:r w:rsidR="184490E0" w:rsidRPr="59587566">
        <w:rPr>
          <w:rFonts w:asciiTheme="majorHAnsi" w:eastAsiaTheme="majorEastAsia" w:hAnsiTheme="majorHAnsi" w:cstheme="majorBidi"/>
          <w:sz w:val="22"/>
          <w:szCs w:val="22"/>
          <w:lang w:val="en-GB"/>
        </w:rPr>
        <w:t xml:space="preserve"> 10 % to 20% of the production cost (Tanzer </w:t>
      </w:r>
      <w:r w:rsidR="166B9680" w:rsidRPr="59587566">
        <w:rPr>
          <w:rFonts w:asciiTheme="majorHAnsi" w:eastAsiaTheme="majorEastAsia" w:hAnsiTheme="majorHAnsi" w:cstheme="majorBidi"/>
          <w:sz w:val="22"/>
          <w:szCs w:val="22"/>
          <w:lang w:val="en-GB"/>
        </w:rPr>
        <w:t xml:space="preserve">et al., </w:t>
      </w:r>
      <w:r w:rsidR="184490E0" w:rsidRPr="59587566">
        <w:rPr>
          <w:rFonts w:asciiTheme="majorHAnsi" w:eastAsiaTheme="majorEastAsia" w:hAnsiTheme="majorHAnsi" w:cstheme="majorBidi"/>
          <w:sz w:val="22"/>
          <w:szCs w:val="22"/>
          <w:lang w:val="en-GB"/>
        </w:rPr>
        <w:t>2019)</w:t>
      </w:r>
      <w:r w:rsidR="3938723C" w:rsidRPr="59587566">
        <w:rPr>
          <w:rFonts w:asciiTheme="majorHAnsi" w:eastAsiaTheme="majorEastAsia" w:hAnsiTheme="majorHAnsi" w:cstheme="majorBidi"/>
          <w:sz w:val="22"/>
          <w:szCs w:val="22"/>
          <w:lang w:val="en-GB"/>
        </w:rPr>
        <w:t xml:space="preserve">, whereas it </w:t>
      </w:r>
      <w:r w:rsidR="2E1CCC31" w:rsidRPr="59587566">
        <w:rPr>
          <w:rFonts w:asciiTheme="majorHAnsi" w:eastAsiaTheme="majorEastAsia" w:hAnsiTheme="majorHAnsi" w:cstheme="majorBidi"/>
          <w:sz w:val="22"/>
          <w:szCs w:val="22"/>
          <w:lang w:val="en-GB"/>
        </w:rPr>
        <w:t>might</w:t>
      </w:r>
      <w:r w:rsidR="3938723C" w:rsidRPr="59587566">
        <w:rPr>
          <w:rFonts w:asciiTheme="majorHAnsi" w:eastAsiaTheme="majorEastAsia" w:hAnsiTheme="majorHAnsi" w:cstheme="majorBidi"/>
          <w:sz w:val="22"/>
          <w:szCs w:val="22"/>
          <w:lang w:val="en-GB"/>
        </w:rPr>
        <w:t xml:space="preserve"> represent </w:t>
      </w:r>
      <w:r w:rsidR="09A37D19" w:rsidRPr="59587566">
        <w:rPr>
          <w:rFonts w:asciiTheme="majorHAnsi" w:eastAsiaTheme="majorEastAsia" w:hAnsiTheme="majorHAnsi" w:cstheme="majorBidi"/>
          <w:sz w:val="22"/>
          <w:szCs w:val="22"/>
          <w:lang w:val="en-GB"/>
        </w:rPr>
        <w:t>up to</w:t>
      </w:r>
      <w:r w:rsidR="3938723C" w:rsidRPr="59587566">
        <w:rPr>
          <w:rFonts w:asciiTheme="majorHAnsi" w:eastAsiaTheme="majorEastAsia" w:hAnsiTheme="majorHAnsi" w:cstheme="majorBidi"/>
          <w:sz w:val="22"/>
          <w:szCs w:val="22"/>
          <w:lang w:val="en-GB"/>
        </w:rPr>
        <w:t xml:space="preserve"> 60 % </w:t>
      </w:r>
      <w:r w:rsidR="4FAB1933" w:rsidRPr="59587566">
        <w:rPr>
          <w:rFonts w:asciiTheme="majorHAnsi" w:eastAsiaTheme="majorEastAsia" w:hAnsiTheme="majorHAnsi" w:cstheme="majorBidi"/>
          <w:sz w:val="22"/>
          <w:szCs w:val="22"/>
          <w:lang w:val="en-GB"/>
        </w:rPr>
        <w:t xml:space="preserve">for other processes </w:t>
      </w:r>
      <w:r w:rsidR="6CF99591" w:rsidRPr="59587566">
        <w:rPr>
          <w:rFonts w:asciiTheme="majorHAnsi" w:eastAsiaTheme="majorEastAsia" w:hAnsiTheme="majorHAnsi" w:cstheme="majorBidi"/>
          <w:sz w:val="22"/>
          <w:szCs w:val="22"/>
          <w:lang w:val="en-GB"/>
        </w:rPr>
        <w:t>(Brown et al., 2020).</w:t>
      </w:r>
      <w:r w:rsidR="6D7F0BF2" w:rsidRPr="59587566">
        <w:rPr>
          <w:rFonts w:asciiTheme="majorHAnsi" w:eastAsiaTheme="majorEastAsia" w:hAnsiTheme="majorHAnsi" w:cstheme="majorBidi"/>
          <w:sz w:val="22"/>
          <w:szCs w:val="22"/>
          <w:lang w:val="en-GB"/>
        </w:rPr>
        <w:t xml:space="preserve"> </w:t>
      </w:r>
    </w:p>
    <w:p w14:paraId="3C34CEBD" w14:textId="3C1BCCD5" w:rsidR="0F8FE80C" w:rsidRDefault="0F8FE80C" w:rsidP="59587566">
      <w:pPr>
        <w:spacing w:after="120" w:line="360" w:lineRule="auto"/>
        <w:ind w:firstLine="720"/>
        <w:rPr>
          <w:rFonts w:asciiTheme="minorHAnsi" w:eastAsiaTheme="minorEastAsia" w:hAnsiTheme="minorHAnsi" w:cstheme="minorBidi"/>
          <w:sz w:val="22"/>
          <w:szCs w:val="22"/>
        </w:rPr>
      </w:pPr>
      <w:r w:rsidRPr="59587566">
        <w:rPr>
          <w:rFonts w:asciiTheme="minorHAnsi" w:eastAsiaTheme="minorEastAsia" w:hAnsiTheme="minorHAnsi" w:cstheme="minorBidi"/>
          <w:sz w:val="22"/>
          <w:szCs w:val="22"/>
        </w:rPr>
        <w:t>While predicting the price of future biofuels can represent a challenging task</w:t>
      </w:r>
      <w:r w:rsidR="03C4A1AD" w:rsidRPr="59587566">
        <w:rPr>
          <w:rFonts w:asciiTheme="minorHAnsi" w:eastAsiaTheme="minorEastAsia" w:hAnsiTheme="minorHAnsi" w:cstheme="minorBidi"/>
          <w:sz w:val="22"/>
          <w:szCs w:val="22"/>
        </w:rPr>
        <w:t xml:space="preserve">, </w:t>
      </w:r>
      <w:r w:rsidR="0610DF70" w:rsidRPr="59587566">
        <w:rPr>
          <w:rFonts w:asciiTheme="minorHAnsi" w:eastAsiaTheme="minorEastAsia" w:hAnsiTheme="minorHAnsi" w:cstheme="minorBidi"/>
          <w:sz w:val="22"/>
          <w:szCs w:val="22"/>
        </w:rPr>
        <w:t>especially</w:t>
      </w:r>
      <w:r w:rsidR="03C4A1AD" w:rsidRPr="59587566">
        <w:rPr>
          <w:rFonts w:asciiTheme="minorHAnsi" w:eastAsiaTheme="minorEastAsia" w:hAnsiTheme="minorHAnsi" w:cstheme="minorBidi"/>
          <w:sz w:val="22"/>
          <w:szCs w:val="22"/>
        </w:rPr>
        <w:t xml:space="preserve"> </w:t>
      </w:r>
      <w:r w:rsidR="65635208" w:rsidRPr="59587566">
        <w:rPr>
          <w:rFonts w:asciiTheme="minorHAnsi" w:eastAsiaTheme="minorEastAsia" w:hAnsiTheme="minorHAnsi" w:cstheme="minorBidi"/>
          <w:sz w:val="22"/>
          <w:szCs w:val="22"/>
        </w:rPr>
        <w:t xml:space="preserve">for </w:t>
      </w:r>
      <w:r w:rsidR="03C4A1AD" w:rsidRPr="59587566">
        <w:rPr>
          <w:rFonts w:asciiTheme="minorHAnsi" w:eastAsiaTheme="minorEastAsia" w:hAnsiTheme="minorHAnsi" w:cstheme="minorBidi"/>
          <w:sz w:val="22"/>
          <w:szCs w:val="22"/>
        </w:rPr>
        <w:t>post-COVID time</w:t>
      </w:r>
      <w:r w:rsidRPr="59587566">
        <w:rPr>
          <w:rFonts w:asciiTheme="minorHAnsi" w:eastAsiaTheme="minorEastAsia" w:hAnsiTheme="minorHAnsi" w:cstheme="minorBidi"/>
          <w:sz w:val="22"/>
          <w:szCs w:val="22"/>
        </w:rPr>
        <w:t xml:space="preserve">, </w:t>
      </w:r>
      <w:r w:rsidR="0191EBAF" w:rsidRPr="59587566">
        <w:rPr>
          <w:rFonts w:asciiTheme="minorHAnsi" w:eastAsiaTheme="minorEastAsia" w:hAnsiTheme="minorHAnsi" w:cstheme="minorBidi"/>
          <w:sz w:val="22"/>
          <w:szCs w:val="22"/>
        </w:rPr>
        <w:t xml:space="preserve">the currently </w:t>
      </w:r>
      <w:r w:rsidR="256BA7BB" w:rsidRPr="59587566">
        <w:rPr>
          <w:rFonts w:asciiTheme="minorHAnsi" w:eastAsiaTheme="minorEastAsia" w:hAnsiTheme="minorHAnsi" w:cstheme="minorBidi"/>
          <w:sz w:val="22"/>
          <w:szCs w:val="22"/>
        </w:rPr>
        <w:t>scenario</w:t>
      </w:r>
      <w:r w:rsidR="0191EBAF" w:rsidRPr="59587566">
        <w:rPr>
          <w:rFonts w:asciiTheme="minorHAnsi" w:eastAsiaTheme="minorEastAsia" w:hAnsiTheme="minorHAnsi" w:cstheme="minorBidi"/>
          <w:sz w:val="22"/>
          <w:szCs w:val="22"/>
        </w:rPr>
        <w:t xml:space="preserve"> can provide valuable insight</w:t>
      </w:r>
      <w:r w:rsidR="511EF2C1" w:rsidRPr="59587566">
        <w:rPr>
          <w:rFonts w:asciiTheme="minorHAnsi" w:eastAsiaTheme="minorEastAsia" w:hAnsiTheme="minorHAnsi" w:cstheme="minorBidi"/>
          <w:sz w:val="22"/>
          <w:szCs w:val="22"/>
        </w:rPr>
        <w:t>s</w:t>
      </w:r>
      <w:r w:rsidR="0191EBAF" w:rsidRPr="59587566">
        <w:rPr>
          <w:rFonts w:asciiTheme="minorHAnsi" w:eastAsiaTheme="minorEastAsia" w:hAnsiTheme="minorHAnsi" w:cstheme="minorBidi"/>
          <w:sz w:val="22"/>
          <w:szCs w:val="22"/>
        </w:rPr>
        <w:t xml:space="preserve"> about </w:t>
      </w:r>
      <w:r w:rsidR="25EBAE96" w:rsidRPr="59587566">
        <w:rPr>
          <w:rFonts w:asciiTheme="minorHAnsi" w:eastAsiaTheme="minorEastAsia" w:hAnsiTheme="minorHAnsi" w:cstheme="minorBidi"/>
          <w:sz w:val="22"/>
          <w:szCs w:val="22"/>
        </w:rPr>
        <w:t xml:space="preserve">product positioning.  In figure </w:t>
      </w:r>
      <w:r w:rsidR="00945B67">
        <w:rPr>
          <w:rFonts w:asciiTheme="minorHAnsi" w:eastAsiaTheme="minorEastAsia" w:hAnsiTheme="minorHAnsi" w:cstheme="minorBidi"/>
          <w:sz w:val="22"/>
          <w:szCs w:val="22"/>
        </w:rPr>
        <w:t>8</w:t>
      </w:r>
      <w:r w:rsidR="25EBAE96" w:rsidRPr="59587566">
        <w:rPr>
          <w:rFonts w:asciiTheme="minorHAnsi" w:eastAsiaTheme="minorEastAsia" w:hAnsiTheme="minorHAnsi" w:cstheme="minorBidi"/>
          <w:sz w:val="22"/>
          <w:szCs w:val="22"/>
        </w:rPr>
        <w:t xml:space="preserve">, the price record for </w:t>
      </w:r>
      <w:r w:rsidR="00DA2AEF">
        <w:rPr>
          <w:rFonts w:asciiTheme="minorHAnsi" w:eastAsiaTheme="minorEastAsia" w:hAnsiTheme="minorHAnsi" w:cstheme="minorBidi"/>
          <w:sz w:val="22"/>
          <w:szCs w:val="22"/>
        </w:rPr>
        <w:t>RMG</w:t>
      </w:r>
      <w:r w:rsidR="25EBAE96" w:rsidRPr="59587566">
        <w:rPr>
          <w:rFonts w:asciiTheme="minorHAnsi" w:eastAsiaTheme="minorEastAsia" w:hAnsiTheme="minorHAnsi" w:cstheme="minorBidi"/>
          <w:sz w:val="22"/>
          <w:szCs w:val="22"/>
        </w:rPr>
        <w:t xml:space="preserve"> 380, ULSFO, MGO and FAME</w:t>
      </w:r>
      <w:r w:rsidR="0114E9EB" w:rsidRPr="59587566">
        <w:rPr>
          <w:rFonts w:asciiTheme="minorHAnsi" w:eastAsiaTheme="minorEastAsia" w:hAnsiTheme="minorHAnsi" w:cstheme="minorBidi"/>
          <w:sz w:val="22"/>
          <w:szCs w:val="22"/>
        </w:rPr>
        <w:t xml:space="preserve"> are presented</w:t>
      </w:r>
      <w:r w:rsidR="00D65D44">
        <w:rPr>
          <w:rFonts w:asciiTheme="minorHAnsi" w:eastAsiaTheme="minorEastAsia" w:hAnsiTheme="minorHAnsi" w:cstheme="minorBidi"/>
          <w:sz w:val="22"/>
          <w:szCs w:val="22"/>
        </w:rPr>
        <w:t>. As can be observed no clear tendenc</w:t>
      </w:r>
      <w:r w:rsidR="0019547B">
        <w:rPr>
          <w:rFonts w:asciiTheme="minorHAnsi" w:eastAsiaTheme="minorEastAsia" w:hAnsiTheme="minorHAnsi" w:cstheme="minorBidi"/>
          <w:sz w:val="22"/>
          <w:szCs w:val="22"/>
        </w:rPr>
        <w:t>es</w:t>
      </w:r>
      <w:r w:rsidR="00D65D44">
        <w:rPr>
          <w:rFonts w:asciiTheme="minorHAnsi" w:eastAsiaTheme="minorEastAsia" w:hAnsiTheme="minorHAnsi" w:cstheme="minorBidi"/>
          <w:sz w:val="22"/>
          <w:szCs w:val="22"/>
        </w:rPr>
        <w:t xml:space="preserve"> can be </w:t>
      </w:r>
      <w:r w:rsidR="0019547B">
        <w:rPr>
          <w:rFonts w:asciiTheme="minorHAnsi" w:eastAsiaTheme="minorEastAsia" w:hAnsiTheme="minorHAnsi" w:cstheme="minorBidi"/>
          <w:sz w:val="22"/>
          <w:szCs w:val="22"/>
        </w:rPr>
        <w:t>concluded.</w:t>
      </w:r>
    </w:p>
    <w:p w14:paraId="34709A15" w14:textId="118DD89B" w:rsidR="3370D476" w:rsidRDefault="3370D476" w:rsidP="59587566">
      <w:pPr>
        <w:spacing w:after="120" w:line="360" w:lineRule="auto"/>
        <w:ind w:firstLine="720"/>
        <w:rPr>
          <w:rFonts w:asciiTheme="minorHAnsi" w:eastAsiaTheme="minorEastAsia" w:hAnsiTheme="minorHAnsi" w:cstheme="minorBidi"/>
          <w:sz w:val="22"/>
          <w:szCs w:val="22"/>
        </w:rPr>
      </w:pPr>
      <w:r w:rsidRPr="59587566">
        <w:rPr>
          <w:rFonts w:asciiTheme="minorHAnsi" w:eastAsiaTheme="minorEastAsia" w:hAnsiTheme="minorHAnsi" w:cstheme="minorBidi"/>
          <w:sz w:val="22"/>
          <w:szCs w:val="22"/>
        </w:rPr>
        <w:t>As mentioned before, fossil-based fuels ha</w:t>
      </w:r>
      <w:r w:rsidR="2132E446" w:rsidRPr="59587566">
        <w:rPr>
          <w:rFonts w:asciiTheme="minorHAnsi" w:eastAsiaTheme="minorEastAsia" w:hAnsiTheme="minorHAnsi" w:cstheme="minorBidi"/>
          <w:sz w:val="22"/>
          <w:szCs w:val="22"/>
        </w:rPr>
        <w:t>ve a substantial lower price than bio-based alternatives</w:t>
      </w:r>
      <w:r w:rsidR="27997AAA" w:rsidRPr="59587566">
        <w:rPr>
          <w:rFonts w:asciiTheme="minorHAnsi" w:eastAsiaTheme="minorEastAsia" w:hAnsiTheme="minorHAnsi" w:cstheme="minorBidi"/>
          <w:sz w:val="22"/>
          <w:szCs w:val="22"/>
        </w:rPr>
        <w:t xml:space="preserve">. On the other hand, bio-based fuel can benefit from the premium related to </w:t>
      </w:r>
      <w:r w:rsidR="6EC8C0A0" w:rsidRPr="59587566">
        <w:rPr>
          <w:rFonts w:asciiTheme="minorHAnsi" w:eastAsiaTheme="minorEastAsia" w:hAnsiTheme="minorHAnsi" w:cstheme="minorBidi"/>
          <w:sz w:val="22"/>
          <w:szCs w:val="22"/>
        </w:rPr>
        <w:t>emissions reduction, whether GHG or sulfur.</w:t>
      </w:r>
      <w:r w:rsidR="3C71E799" w:rsidRPr="59587566">
        <w:rPr>
          <w:rFonts w:asciiTheme="minorHAnsi" w:eastAsiaTheme="minorEastAsia" w:hAnsiTheme="minorHAnsi" w:cstheme="minorBidi"/>
          <w:sz w:val="22"/>
          <w:szCs w:val="22"/>
        </w:rPr>
        <w:t xml:space="preserve"> From the data is possible to infer the market premium for sulfur content</w:t>
      </w:r>
      <w:r w:rsidR="410E12CE" w:rsidRPr="59587566">
        <w:rPr>
          <w:rFonts w:asciiTheme="minorHAnsi" w:eastAsiaTheme="minorEastAsia" w:hAnsiTheme="minorHAnsi" w:cstheme="minorBidi"/>
          <w:sz w:val="22"/>
          <w:szCs w:val="22"/>
        </w:rPr>
        <w:t xml:space="preserve"> by taking the spread between </w:t>
      </w:r>
      <w:r w:rsidR="00DA2AEF">
        <w:rPr>
          <w:rFonts w:asciiTheme="minorHAnsi" w:eastAsiaTheme="minorEastAsia" w:hAnsiTheme="minorHAnsi" w:cstheme="minorBidi"/>
          <w:sz w:val="22"/>
          <w:szCs w:val="22"/>
        </w:rPr>
        <w:t>RMG</w:t>
      </w:r>
      <w:r w:rsidR="410E12CE" w:rsidRPr="59587566">
        <w:rPr>
          <w:rFonts w:asciiTheme="minorHAnsi" w:eastAsiaTheme="minorEastAsia" w:hAnsiTheme="minorHAnsi" w:cstheme="minorBidi"/>
          <w:sz w:val="22"/>
          <w:szCs w:val="22"/>
        </w:rPr>
        <w:t xml:space="preserve"> 380 and ULSFO</w:t>
      </w:r>
      <w:r w:rsidR="03039D07" w:rsidRPr="59587566">
        <w:rPr>
          <w:rFonts w:asciiTheme="minorHAnsi" w:eastAsiaTheme="minorEastAsia" w:hAnsiTheme="minorHAnsi" w:cstheme="minorBidi"/>
          <w:sz w:val="22"/>
          <w:szCs w:val="22"/>
        </w:rPr>
        <w:t>.</w:t>
      </w:r>
      <w:r w:rsidR="410E12CE" w:rsidRPr="59587566">
        <w:rPr>
          <w:rFonts w:asciiTheme="minorHAnsi" w:eastAsiaTheme="minorEastAsia" w:hAnsiTheme="minorHAnsi" w:cstheme="minorBidi"/>
          <w:sz w:val="22"/>
          <w:szCs w:val="22"/>
        </w:rPr>
        <w:t xml:space="preserve"> </w:t>
      </w:r>
      <w:r w:rsidR="2FC82EEE" w:rsidRPr="59587566">
        <w:rPr>
          <w:rFonts w:asciiTheme="minorHAnsi" w:eastAsiaTheme="minorEastAsia" w:hAnsiTheme="minorHAnsi" w:cstheme="minorBidi"/>
          <w:sz w:val="22"/>
          <w:szCs w:val="22"/>
        </w:rPr>
        <w:t>The average price of HFO i</w:t>
      </w:r>
      <w:r w:rsidR="17BA6BC4" w:rsidRPr="59587566">
        <w:rPr>
          <w:rFonts w:asciiTheme="minorHAnsi" w:eastAsiaTheme="minorEastAsia" w:hAnsiTheme="minorHAnsi" w:cstheme="minorBidi"/>
          <w:sz w:val="22"/>
          <w:szCs w:val="22"/>
        </w:rPr>
        <w:t xml:space="preserve">n the past 20 months is $ 330/ ton, while an </w:t>
      </w:r>
      <w:r w:rsidR="5D6A4523" w:rsidRPr="59587566">
        <w:rPr>
          <w:rFonts w:asciiTheme="minorHAnsi" w:eastAsiaTheme="minorEastAsia" w:hAnsiTheme="minorHAnsi" w:cstheme="minorBidi"/>
          <w:sz w:val="22"/>
          <w:szCs w:val="22"/>
        </w:rPr>
        <w:t>average</w:t>
      </w:r>
      <w:r w:rsidR="17BA6BC4" w:rsidRPr="59587566">
        <w:rPr>
          <w:rFonts w:asciiTheme="minorHAnsi" w:eastAsiaTheme="minorEastAsia" w:hAnsiTheme="minorHAnsi" w:cstheme="minorBidi"/>
          <w:sz w:val="22"/>
          <w:szCs w:val="22"/>
        </w:rPr>
        <w:t xml:space="preserve"> of </w:t>
      </w:r>
      <w:r w:rsidR="43AFBFEB" w:rsidRPr="59587566">
        <w:rPr>
          <w:rFonts w:asciiTheme="minorHAnsi" w:eastAsiaTheme="minorEastAsia" w:hAnsiTheme="minorHAnsi" w:cstheme="minorBidi"/>
          <w:sz w:val="22"/>
          <w:szCs w:val="22"/>
        </w:rPr>
        <w:t xml:space="preserve">$ </w:t>
      </w:r>
      <w:r w:rsidR="17BA6BC4" w:rsidRPr="59587566">
        <w:rPr>
          <w:rFonts w:asciiTheme="minorHAnsi" w:eastAsiaTheme="minorEastAsia" w:hAnsiTheme="minorHAnsi" w:cstheme="minorBidi"/>
          <w:sz w:val="22"/>
          <w:szCs w:val="22"/>
        </w:rPr>
        <w:t>57</w:t>
      </w:r>
      <w:r w:rsidR="15043627" w:rsidRPr="59587566">
        <w:rPr>
          <w:rFonts w:asciiTheme="minorHAnsi" w:eastAsiaTheme="minorEastAsia" w:hAnsiTheme="minorHAnsi" w:cstheme="minorBidi"/>
          <w:sz w:val="22"/>
          <w:szCs w:val="22"/>
        </w:rPr>
        <w:t>0</w:t>
      </w:r>
      <w:r w:rsidR="49F862F9" w:rsidRPr="59587566">
        <w:rPr>
          <w:rFonts w:asciiTheme="minorHAnsi" w:eastAsiaTheme="minorEastAsia" w:hAnsiTheme="minorHAnsi" w:cstheme="minorBidi"/>
          <w:sz w:val="22"/>
          <w:szCs w:val="22"/>
        </w:rPr>
        <w:t xml:space="preserve"> in found for ULSFO in the past 2 months</w:t>
      </w:r>
      <w:r w:rsidR="53A91B58" w:rsidRPr="59587566">
        <w:rPr>
          <w:rFonts w:asciiTheme="minorHAnsi" w:eastAsiaTheme="minorEastAsia" w:hAnsiTheme="minorHAnsi" w:cstheme="minorBidi"/>
          <w:sz w:val="22"/>
          <w:szCs w:val="22"/>
        </w:rPr>
        <w:t>, which</w:t>
      </w:r>
      <w:r w:rsidR="0254A51D" w:rsidRPr="59587566">
        <w:rPr>
          <w:rFonts w:asciiTheme="minorHAnsi" w:eastAsiaTheme="minorEastAsia" w:hAnsiTheme="minorHAnsi" w:cstheme="minorBidi"/>
          <w:sz w:val="22"/>
          <w:szCs w:val="22"/>
        </w:rPr>
        <w:t xml:space="preserve"> it gives</w:t>
      </w:r>
      <w:r w:rsidR="1F8E8139" w:rsidRPr="59587566">
        <w:rPr>
          <w:rFonts w:asciiTheme="minorHAnsi" w:eastAsiaTheme="minorEastAsia" w:hAnsiTheme="minorHAnsi" w:cstheme="minorBidi"/>
          <w:sz w:val="22"/>
          <w:szCs w:val="22"/>
        </w:rPr>
        <w:t xml:space="preserve"> a spread of</w:t>
      </w:r>
      <w:r w:rsidR="0254A51D" w:rsidRPr="59587566">
        <w:rPr>
          <w:rFonts w:asciiTheme="minorHAnsi" w:eastAsiaTheme="minorEastAsia" w:hAnsiTheme="minorHAnsi" w:cstheme="minorBidi"/>
          <w:sz w:val="22"/>
          <w:szCs w:val="22"/>
        </w:rPr>
        <w:t xml:space="preserve"> </w:t>
      </w:r>
      <w:r w:rsidR="375B0991" w:rsidRPr="59587566">
        <w:rPr>
          <w:rFonts w:asciiTheme="minorHAnsi" w:eastAsiaTheme="minorEastAsia" w:hAnsiTheme="minorHAnsi" w:cstheme="minorBidi"/>
          <w:sz w:val="22"/>
          <w:szCs w:val="22"/>
        </w:rPr>
        <w:t>$ 240/ ton</w:t>
      </w:r>
      <w:r w:rsidR="4E841BDB" w:rsidRPr="59587566">
        <w:rPr>
          <w:rFonts w:asciiTheme="minorHAnsi" w:eastAsiaTheme="minorEastAsia" w:hAnsiTheme="minorHAnsi" w:cstheme="minorBidi"/>
          <w:sz w:val="22"/>
          <w:szCs w:val="22"/>
        </w:rPr>
        <w:t>. Considering the difference of 3.4 %</w:t>
      </w:r>
      <w:r w:rsidR="07D82ACD" w:rsidRPr="59587566">
        <w:rPr>
          <w:rFonts w:asciiTheme="minorHAnsi" w:eastAsiaTheme="minorEastAsia" w:hAnsiTheme="minorHAnsi" w:cstheme="minorBidi"/>
          <w:sz w:val="22"/>
          <w:szCs w:val="22"/>
        </w:rPr>
        <w:t xml:space="preserve"> in the sulfur content, linearly it suggests a premium of $ 70</w:t>
      </w:r>
      <w:r w:rsidR="0A5C5C45" w:rsidRPr="59587566">
        <w:rPr>
          <w:rFonts w:asciiTheme="minorHAnsi" w:eastAsiaTheme="minorEastAsia" w:hAnsiTheme="minorHAnsi" w:cstheme="minorBidi"/>
          <w:sz w:val="22"/>
          <w:szCs w:val="22"/>
        </w:rPr>
        <w:t xml:space="preserve">/ ton for each percentage reduced in the </w:t>
      </w:r>
      <w:r w:rsidR="000B40B6">
        <w:rPr>
          <w:rFonts w:asciiTheme="minorHAnsi" w:eastAsiaTheme="minorEastAsia" w:hAnsiTheme="minorHAnsi" w:cstheme="minorBidi"/>
          <w:sz w:val="22"/>
          <w:szCs w:val="22"/>
        </w:rPr>
        <w:t>s</w:t>
      </w:r>
      <w:r w:rsidR="2E361851" w:rsidRPr="59587566">
        <w:rPr>
          <w:rFonts w:asciiTheme="minorHAnsi" w:eastAsiaTheme="minorEastAsia" w:hAnsiTheme="minorHAnsi" w:cstheme="minorBidi"/>
          <w:sz w:val="22"/>
          <w:szCs w:val="22"/>
        </w:rPr>
        <w:t>ul</w:t>
      </w:r>
      <w:r w:rsidR="000B40B6">
        <w:rPr>
          <w:rFonts w:asciiTheme="minorHAnsi" w:eastAsiaTheme="minorEastAsia" w:hAnsiTheme="minorHAnsi" w:cstheme="minorBidi"/>
          <w:sz w:val="22"/>
          <w:szCs w:val="22"/>
        </w:rPr>
        <w:t>f</w:t>
      </w:r>
      <w:r w:rsidR="2E361851" w:rsidRPr="59587566">
        <w:rPr>
          <w:rFonts w:asciiTheme="minorHAnsi" w:eastAsiaTheme="minorEastAsia" w:hAnsiTheme="minorHAnsi" w:cstheme="minorBidi"/>
          <w:sz w:val="22"/>
          <w:szCs w:val="22"/>
        </w:rPr>
        <w:t>ur</w:t>
      </w:r>
      <w:r w:rsidR="0A5C5C45" w:rsidRPr="59587566">
        <w:rPr>
          <w:rFonts w:asciiTheme="minorHAnsi" w:eastAsiaTheme="minorEastAsia" w:hAnsiTheme="minorHAnsi" w:cstheme="minorBidi"/>
          <w:sz w:val="22"/>
          <w:szCs w:val="22"/>
        </w:rPr>
        <w:t xml:space="preserve"> concentration.</w:t>
      </w:r>
      <w:r w:rsidR="597C5579" w:rsidRPr="59587566">
        <w:rPr>
          <w:rFonts w:asciiTheme="minorHAnsi" w:eastAsiaTheme="minorEastAsia" w:hAnsiTheme="minorHAnsi" w:cstheme="minorBidi"/>
          <w:sz w:val="22"/>
          <w:szCs w:val="22"/>
        </w:rPr>
        <w:t xml:space="preserve"> </w:t>
      </w:r>
    </w:p>
    <w:p w14:paraId="12EA4724" w14:textId="259B8C25" w:rsidR="2946AEDB" w:rsidRPr="007A56EA" w:rsidRDefault="2946AEDB" w:rsidP="59587566">
      <w:pPr>
        <w:spacing w:after="120" w:line="360" w:lineRule="auto"/>
        <w:ind w:firstLine="720"/>
        <w:rPr>
          <w:rFonts w:asciiTheme="minorHAnsi" w:eastAsiaTheme="minorEastAsia" w:hAnsiTheme="minorHAnsi" w:cstheme="minorBidi"/>
          <w:sz w:val="22"/>
          <w:szCs w:val="22"/>
        </w:rPr>
      </w:pPr>
      <w:r w:rsidRPr="007A56EA">
        <w:rPr>
          <w:rFonts w:asciiTheme="minorHAnsi" w:eastAsiaTheme="minorEastAsia" w:hAnsiTheme="minorHAnsi" w:cstheme="minorBidi"/>
          <w:sz w:val="22"/>
          <w:szCs w:val="22"/>
        </w:rPr>
        <w:t>The B</w:t>
      </w:r>
      <w:r w:rsidR="67EB940C" w:rsidRPr="007A56EA">
        <w:rPr>
          <w:rFonts w:asciiTheme="minorHAnsi" w:eastAsiaTheme="minorEastAsia" w:hAnsiTheme="minorHAnsi" w:cstheme="minorBidi"/>
          <w:sz w:val="22"/>
          <w:szCs w:val="22"/>
        </w:rPr>
        <w:t>i</w:t>
      </w:r>
      <w:r w:rsidRPr="007A56EA">
        <w:rPr>
          <w:rFonts w:asciiTheme="minorHAnsi" w:eastAsiaTheme="minorEastAsia" w:hAnsiTheme="minorHAnsi" w:cstheme="minorBidi"/>
          <w:sz w:val="22"/>
          <w:szCs w:val="22"/>
        </w:rPr>
        <w:t xml:space="preserve">o-HFO can also benefit from GHG mitigation. According to a </w:t>
      </w:r>
      <w:r w:rsidR="7F7C5572" w:rsidRPr="007A56EA">
        <w:rPr>
          <w:rFonts w:asciiTheme="minorHAnsi" w:eastAsiaTheme="minorEastAsia" w:hAnsiTheme="minorHAnsi" w:cstheme="minorBidi"/>
          <w:sz w:val="22"/>
          <w:szCs w:val="22"/>
        </w:rPr>
        <w:t>survey</w:t>
      </w:r>
      <w:r w:rsidRPr="007A56EA">
        <w:rPr>
          <w:rFonts w:asciiTheme="minorHAnsi" w:eastAsiaTheme="minorEastAsia" w:hAnsiTheme="minorHAnsi" w:cstheme="minorBidi"/>
          <w:sz w:val="22"/>
          <w:szCs w:val="22"/>
        </w:rPr>
        <w:t xml:space="preserve"> conducted by the Emission Trade Association (IETA</w:t>
      </w:r>
      <w:r w:rsidR="00D56666" w:rsidRPr="007A56EA">
        <w:rPr>
          <w:rFonts w:asciiTheme="minorHAnsi" w:eastAsiaTheme="minorEastAsia" w:hAnsiTheme="minorHAnsi" w:cstheme="minorBidi"/>
          <w:sz w:val="22"/>
          <w:szCs w:val="22"/>
        </w:rPr>
        <w:t>)</w:t>
      </w:r>
      <w:r w:rsidR="1D622C50" w:rsidRPr="007A56EA">
        <w:rPr>
          <w:rFonts w:asciiTheme="minorHAnsi" w:eastAsiaTheme="minorEastAsia" w:hAnsiTheme="minorHAnsi" w:cstheme="minorBidi"/>
          <w:sz w:val="22"/>
          <w:szCs w:val="22"/>
        </w:rPr>
        <w:t>, the carbon price in the European market is expected to be around $ 57</w:t>
      </w:r>
      <w:r w:rsidR="39AED2F2" w:rsidRPr="007A56EA">
        <w:rPr>
          <w:rFonts w:asciiTheme="minorHAnsi" w:eastAsiaTheme="minorEastAsia" w:hAnsiTheme="minorHAnsi" w:cstheme="minorBidi"/>
          <w:sz w:val="22"/>
          <w:szCs w:val="22"/>
        </w:rPr>
        <w:t>/ ton</w:t>
      </w:r>
      <w:r w:rsidR="1D622C50" w:rsidRPr="007A56EA">
        <w:rPr>
          <w:rFonts w:asciiTheme="minorHAnsi" w:eastAsiaTheme="minorEastAsia" w:hAnsiTheme="minorHAnsi" w:cstheme="minorBidi"/>
          <w:sz w:val="22"/>
          <w:szCs w:val="22"/>
        </w:rPr>
        <w:t xml:space="preserve"> between 2021 and 2025, and $ 58.60</w:t>
      </w:r>
      <w:r w:rsidR="52F7847D" w:rsidRPr="007A56EA">
        <w:rPr>
          <w:rFonts w:asciiTheme="minorHAnsi" w:eastAsiaTheme="minorEastAsia" w:hAnsiTheme="minorHAnsi" w:cstheme="minorBidi"/>
          <w:sz w:val="22"/>
          <w:szCs w:val="22"/>
        </w:rPr>
        <w:t>/ ton</w:t>
      </w:r>
      <w:r w:rsidR="1D622C50" w:rsidRPr="007A56EA">
        <w:rPr>
          <w:rFonts w:asciiTheme="minorHAnsi" w:eastAsiaTheme="minorEastAsia" w:hAnsiTheme="minorHAnsi" w:cstheme="minorBidi"/>
          <w:sz w:val="22"/>
          <w:szCs w:val="22"/>
        </w:rPr>
        <w:t xml:space="preserve"> betw</w:t>
      </w:r>
      <w:r w:rsidR="081C1FB0" w:rsidRPr="007A56EA">
        <w:rPr>
          <w:rFonts w:asciiTheme="minorHAnsi" w:eastAsiaTheme="minorEastAsia" w:hAnsiTheme="minorHAnsi" w:cstheme="minorBidi"/>
          <w:sz w:val="22"/>
          <w:szCs w:val="22"/>
        </w:rPr>
        <w:t xml:space="preserve">een 2026 and 2030. </w:t>
      </w:r>
      <w:r w:rsidR="2A46C621" w:rsidRPr="007A56EA">
        <w:rPr>
          <w:rFonts w:asciiTheme="minorHAnsi" w:eastAsiaTheme="minorEastAsia" w:hAnsiTheme="minorHAnsi" w:cstheme="minorBidi"/>
          <w:sz w:val="22"/>
          <w:szCs w:val="22"/>
        </w:rPr>
        <w:t xml:space="preserve"> </w:t>
      </w:r>
      <w:r w:rsidR="726F3507" w:rsidRPr="007A56EA">
        <w:rPr>
          <w:rFonts w:asciiTheme="minorHAnsi" w:eastAsiaTheme="minorEastAsia" w:hAnsiTheme="minorHAnsi" w:cstheme="minorBidi"/>
          <w:sz w:val="22"/>
          <w:szCs w:val="22"/>
        </w:rPr>
        <w:t xml:space="preserve">In </w:t>
      </w:r>
      <w:r w:rsidR="6AEE7932" w:rsidRPr="007A56EA">
        <w:rPr>
          <w:rFonts w:asciiTheme="minorHAnsi" w:eastAsiaTheme="minorEastAsia" w:hAnsiTheme="minorHAnsi" w:cstheme="minorBidi"/>
          <w:sz w:val="22"/>
          <w:szCs w:val="22"/>
        </w:rPr>
        <w:t>T</w:t>
      </w:r>
      <w:r w:rsidR="726F3507" w:rsidRPr="007A56EA">
        <w:rPr>
          <w:rFonts w:asciiTheme="minorHAnsi" w:eastAsiaTheme="minorEastAsia" w:hAnsiTheme="minorHAnsi" w:cstheme="minorBidi"/>
          <w:sz w:val="22"/>
          <w:szCs w:val="22"/>
        </w:rPr>
        <w:t xml:space="preserve">able </w:t>
      </w:r>
      <w:r w:rsidR="008E3076" w:rsidRPr="007A56EA">
        <w:rPr>
          <w:rFonts w:asciiTheme="minorHAnsi" w:eastAsiaTheme="minorEastAsia" w:hAnsiTheme="minorHAnsi" w:cstheme="minorBidi"/>
          <w:sz w:val="22"/>
          <w:szCs w:val="22"/>
        </w:rPr>
        <w:t>4</w:t>
      </w:r>
      <w:r w:rsidR="726F3507" w:rsidRPr="007A56EA">
        <w:rPr>
          <w:rFonts w:asciiTheme="minorHAnsi" w:eastAsiaTheme="minorEastAsia" w:hAnsiTheme="minorHAnsi" w:cstheme="minorBidi"/>
          <w:sz w:val="22"/>
          <w:szCs w:val="22"/>
        </w:rPr>
        <w:t>,</w:t>
      </w:r>
      <w:r w:rsidR="00A52BD1" w:rsidRPr="007A56EA">
        <w:rPr>
          <w:rFonts w:asciiTheme="minorHAnsi" w:eastAsiaTheme="minorEastAsia" w:hAnsiTheme="minorHAnsi" w:cstheme="minorBidi"/>
          <w:sz w:val="22"/>
          <w:szCs w:val="22"/>
        </w:rPr>
        <w:t xml:space="preserve"> </w:t>
      </w:r>
      <w:r w:rsidR="00A52BD1" w:rsidRPr="00B55ADC">
        <w:rPr>
          <w:sz w:val="22"/>
          <w:szCs w:val="22"/>
        </w:rPr>
        <w:t xml:space="preserve">the estimated benefit due to </w:t>
      </w:r>
      <w:r w:rsidR="00A52BD1" w:rsidRPr="00B55ADC">
        <w:rPr>
          <w:sz w:val="22"/>
          <w:szCs w:val="22"/>
        </w:rPr>
        <w:lastRenderedPageBreak/>
        <w:t>decarbonization is presented in relation to one ton of HFO, assuming $ 58/ ton</w:t>
      </w:r>
      <w:r w:rsidR="007A6596" w:rsidRPr="00B55ADC">
        <w:rPr>
          <w:sz w:val="22"/>
          <w:szCs w:val="22"/>
        </w:rPr>
        <w:t xml:space="preserve"> and following </w:t>
      </w:r>
      <w:r w:rsidR="008E6C0F" w:rsidRPr="00B55ADC">
        <w:rPr>
          <w:sz w:val="22"/>
          <w:szCs w:val="22"/>
        </w:rPr>
        <w:t>RED II annex V, part C3</w:t>
      </w:r>
      <w:r w:rsidR="006B6F0D" w:rsidRPr="00B55ADC">
        <w:rPr>
          <w:sz w:val="22"/>
          <w:szCs w:val="22"/>
        </w:rPr>
        <w:t>.</w:t>
      </w:r>
    </w:p>
    <w:p w14:paraId="0D787321" w14:textId="60E57E5F" w:rsidR="00945B67" w:rsidRDefault="00945B67" w:rsidP="59587566">
      <w:pPr>
        <w:spacing w:after="120" w:line="360" w:lineRule="auto"/>
        <w:ind w:firstLine="720"/>
        <w:rPr>
          <w:rFonts w:asciiTheme="minorHAnsi" w:eastAsiaTheme="minorEastAsia" w:hAnsiTheme="minorHAnsi" w:cstheme="minorBidi"/>
          <w:sz w:val="22"/>
          <w:szCs w:val="22"/>
        </w:rPr>
      </w:pPr>
    </w:p>
    <w:p w14:paraId="5D49C621" w14:textId="77777777" w:rsidR="00945B67" w:rsidRDefault="00945B67" w:rsidP="00945B67">
      <w:pPr>
        <w:keepNext/>
        <w:spacing w:after="120" w:line="360" w:lineRule="auto"/>
        <w:ind w:firstLine="720"/>
        <w:jc w:val="center"/>
      </w:pPr>
      <w:r>
        <w:rPr>
          <w:noProof/>
        </w:rPr>
        <w:drawing>
          <wp:inline distT="0" distB="0" distL="0" distR="0" wp14:anchorId="126B086F" wp14:editId="3FDA07BE">
            <wp:extent cx="4972050" cy="2941796"/>
            <wp:effectExtent l="0" t="0" r="0" b="0"/>
            <wp:docPr id="1654391681" name="Picture 165439168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91681" name="Picture 1654391681"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72050" cy="2941796"/>
                    </a:xfrm>
                    <a:prstGeom prst="rect">
                      <a:avLst/>
                    </a:prstGeom>
                  </pic:spPr>
                </pic:pic>
              </a:graphicData>
            </a:graphic>
          </wp:inline>
        </w:drawing>
      </w:r>
    </w:p>
    <w:p w14:paraId="7AADE3DE" w14:textId="16E6D241" w:rsidR="00C53804" w:rsidRDefault="00945B67" w:rsidP="00945B67">
      <w:pPr>
        <w:pStyle w:val="Caption"/>
        <w:jc w:val="center"/>
        <w:rPr>
          <w:rFonts w:ascii="Times New Roman" w:hAnsi="Times New Roman"/>
          <w:sz w:val="20"/>
        </w:rPr>
      </w:pPr>
      <w:bookmarkStart w:id="36" w:name="_Toc85627886"/>
      <w:r>
        <w:t xml:space="preserve">Figure </w:t>
      </w:r>
      <w:fldSimple w:instr=" SEQ Figure \* ARABIC ">
        <w:r w:rsidR="009C66F7">
          <w:rPr>
            <w:noProof/>
          </w:rPr>
          <w:t>8</w:t>
        </w:r>
      </w:fldSimple>
      <w:r>
        <w:t xml:space="preserve">. </w:t>
      </w:r>
      <w:r w:rsidRPr="0049299F">
        <w:t xml:space="preserve"> Price record of FAME, </w:t>
      </w:r>
      <w:r w:rsidR="000966E5">
        <w:t>RMG (</w:t>
      </w:r>
      <w:r w:rsidRPr="0049299F">
        <w:t>IFO</w:t>
      </w:r>
      <w:r w:rsidR="000966E5">
        <w:t>)</w:t>
      </w:r>
      <w:r w:rsidRPr="0049299F">
        <w:t xml:space="preserve"> 380, ULSFO and MGO (source: Platts, Ship and Bunker)</w:t>
      </w:r>
      <w:r>
        <w:t>.</w:t>
      </w:r>
      <w:bookmarkEnd w:id="36"/>
    </w:p>
    <w:p w14:paraId="36AF972A" w14:textId="0946F11D" w:rsidR="00945B67" w:rsidRDefault="00945B67" w:rsidP="00945B67">
      <w:pPr>
        <w:spacing w:after="120" w:line="360" w:lineRule="auto"/>
        <w:ind w:firstLine="720"/>
        <w:rPr>
          <w:rFonts w:ascii="Times New Roman" w:hAnsi="Times New Roman"/>
          <w:sz w:val="20"/>
          <w:lang w:val="en-GB"/>
        </w:rPr>
      </w:pPr>
    </w:p>
    <w:p w14:paraId="70719425" w14:textId="489F4EF0" w:rsidR="002E78F9" w:rsidRDefault="002E78F9" w:rsidP="002E78F9">
      <w:pPr>
        <w:pStyle w:val="Caption"/>
        <w:keepNext/>
      </w:pPr>
      <w:bookmarkStart w:id="37" w:name="_Toc85627890"/>
      <w:bookmarkStart w:id="38" w:name="_Toc85627896"/>
      <w:r>
        <w:t xml:space="preserve">Table </w:t>
      </w:r>
      <w:fldSimple w:instr=" SEQ Table \* ARABIC ">
        <w:r w:rsidR="009C66F7">
          <w:rPr>
            <w:noProof/>
          </w:rPr>
          <w:t>4</w:t>
        </w:r>
      </w:fldSimple>
      <w:r>
        <w:t xml:space="preserve">. </w:t>
      </w:r>
      <w:r w:rsidRPr="00700230">
        <w:t>Decarbonization premium per ton of product in comparison to HFO, assuming equivalent densities and heat value</w:t>
      </w:r>
      <w:r w:rsidR="006B6F0D">
        <w:t xml:space="preserve"> and a carbon price </w:t>
      </w:r>
      <w:r w:rsidR="00971909">
        <w:t xml:space="preserve">of </w:t>
      </w:r>
      <w:r w:rsidR="00971909" w:rsidRPr="00971909">
        <w:t>$58/ton CO</w:t>
      </w:r>
      <w:r w:rsidR="00971909" w:rsidRPr="00A939A0">
        <w:rPr>
          <w:vertAlign w:val="subscript"/>
        </w:rPr>
        <w:t>2eq</w:t>
      </w:r>
      <w:r>
        <w:t>.</w:t>
      </w:r>
      <w:bookmarkEnd w:id="37"/>
      <w:bookmarkEnd w:id="38"/>
    </w:p>
    <w:tbl>
      <w:tblPr>
        <w:tblStyle w:val="TableGrid"/>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A0" w:firstRow="1" w:lastRow="0" w:firstColumn="1" w:lastColumn="0" w:noHBand="1" w:noVBand="1"/>
      </w:tblPr>
      <w:tblGrid>
        <w:gridCol w:w="2490"/>
        <w:gridCol w:w="2025"/>
      </w:tblGrid>
      <w:tr w:rsidR="5937A937" w14:paraId="3241AB94" w14:textId="77777777" w:rsidTr="5937A937">
        <w:trPr>
          <w:jc w:val="center"/>
        </w:trPr>
        <w:tc>
          <w:tcPr>
            <w:tcW w:w="2490" w:type="dxa"/>
            <w:tcBorders>
              <w:top w:val="single" w:sz="4" w:space="0" w:color="000000"/>
              <w:bottom w:val="single" w:sz="4" w:space="0" w:color="000000"/>
            </w:tcBorders>
            <w:vAlign w:val="center"/>
          </w:tcPr>
          <w:p w14:paraId="426E0876" w14:textId="2C5D0C93" w:rsidR="6462FF90" w:rsidRPr="00AD1ED7" w:rsidRDefault="6462FF90" w:rsidP="00111D02">
            <w:pPr>
              <w:spacing w:before="120" w:after="120"/>
              <w:jc w:val="center"/>
              <w:rPr>
                <w:rFonts w:asciiTheme="minorHAnsi" w:hAnsiTheme="minorHAnsi" w:cstheme="minorHAnsi"/>
                <w:b/>
                <w:bCs/>
                <w:color w:val="auto"/>
                <w:sz w:val="18"/>
                <w:szCs w:val="18"/>
              </w:rPr>
            </w:pPr>
            <w:r w:rsidRPr="00AD1ED7">
              <w:rPr>
                <w:rFonts w:asciiTheme="minorHAnsi" w:hAnsiTheme="minorHAnsi" w:cstheme="minorHAnsi"/>
                <w:b/>
                <w:bCs/>
                <w:color w:val="auto"/>
                <w:sz w:val="18"/>
                <w:szCs w:val="18"/>
              </w:rPr>
              <w:t>Life Cycle GHG Reduction</w:t>
            </w:r>
          </w:p>
        </w:tc>
        <w:tc>
          <w:tcPr>
            <w:tcW w:w="2025" w:type="dxa"/>
            <w:tcBorders>
              <w:top w:val="single" w:sz="4" w:space="0" w:color="000000"/>
              <w:bottom w:val="single" w:sz="4" w:space="0" w:color="000000"/>
            </w:tcBorders>
            <w:vAlign w:val="center"/>
          </w:tcPr>
          <w:p w14:paraId="76719692" w14:textId="1ECB541C" w:rsidR="6462FF90" w:rsidRPr="00AD1ED7" w:rsidRDefault="006C794C" w:rsidP="00111D02">
            <w:pPr>
              <w:spacing w:before="120" w:after="120"/>
              <w:jc w:val="center"/>
              <w:rPr>
                <w:rFonts w:asciiTheme="minorHAnsi" w:hAnsiTheme="minorHAnsi" w:cstheme="minorHAnsi"/>
                <w:b/>
                <w:bCs/>
                <w:color w:val="auto"/>
                <w:sz w:val="18"/>
                <w:szCs w:val="18"/>
              </w:rPr>
            </w:pPr>
            <w:r w:rsidRPr="00AD1ED7">
              <w:rPr>
                <w:rFonts w:asciiTheme="minorHAnsi" w:hAnsiTheme="minorHAnsi" w:cstheme="minorHAnsi"/>
                <w:b/>
                <w:bCs/>
                <w:color w:val="auto"/>
                <w:sz w:val="18"/>
                <w:szCs w:val="18"/>
              </w:rPr>
              <w:t>Value of CO</w:t>
            </w:r>
            <w:r w:rsidRPr="00AD1ED7">
              <w:rPr>
                <w:rFonts w:asciiTheme="minorHAnsi" w:hAnsiTheme="minorHAnsi" w:cstheme="minorHAnsi"/>
                <w:b/>
                <w:bCs/>
                <w:color w:val="auto"/>
                <w:sz w:val="18"/>
                <w:szCs w:val="18"/>
                <w:vertAlign w:val="subscript"/>
              </w:rPr>
              <w:t>2eq</w:t>
            </w:r>
            <w:r w:rsidRPr="00AD1ED7">
              <w:rPr>
                <w:rFonts w:asciiTheme="minorHAnsi" w:hAnsiTheme="minorHAnsi" w:cstheme="minorHAnsi"/>
                <w:b/>
                <w:bCs/>
                <w:color w:val="auto"/>
                <w:sz w:val="18"/>
                <w:szCs w:val="18"/>
              </w:rPr>
              <w:t xml:space="preserve"> reduction per ton of Bio-HFO</w:t>
            </w:r>
          </w:p>
        </w:tc>
      </w:tr>
      <w:tr w:rsidR="5937A937" w14:paraId="4DE3641F" w14:textId="77777777" w:rsidTr="5937A937">
        <w:trPr>
          <w:trHeight w:val="300"/>
          <w:jc w:val="center"/>
        </w:trPr>
        <w:tc>
          <w:tcPr>
            <w:tcW w:w="2490" w:type="dxa"/>
            <w:tcBorders>
              <w:top w:val="single" w:sz="4" w:space="0" w:color="000000"/>
            </w:tcBorders>
            <w:vAlign w:val="center"/>
          </w:tcPr>
          <w:p w14:paraId="3EF42C76" w14:textId="38726574"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90 %</w:t>
            </w:r>
          </w:p>
        </w:tc>
        <w:tc>
          <w:tcPr>
            <w:tcW w:w="2025" w:type="dxa"/>
            <w:tcBorders>
              <w:top w:val="single" w:sz="4" w:space="0" w:color="000000"/>
            </w:tcBorders>
            <w:vAlign w:val="center"/>
          </w:tcPr>
          <w:p w14:paraId="472DF21C" w14:textId="19FD914E"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$ 160</w:t>
            </w:r>
          </w:p>
        </w:tc>
      </w:tr>
      <w:tr w:rsidR="5937A937" w14:paraId="10DFF6DF" w14:textId="77777777" w:rsidTr="5937A937">
        <w:trPr>
          <w:jc w:val="center"/>
        </w:trPr>
        <w:tc>
          <w:tcPr>
            <w:tcW w:w="2490" w:type="dxa"/>
            <w:vAlign w:val="center"/>
          </w:tcPr>
          <w:p w14:paraId="6D33CA29" w14:textId="5A90511F"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80 %</w:t>
            </w:r>
          </w:p>
        </w:tc>
        <w:tc>
          <w:tcPr>
            <w:tcW w:w="2025" w:type="dxa"/>
            <w:vAlign w:val="center"/>
          </w:tcPr>
          <w:p w14:paraId="7D3868AE" w14:textId="612C119E"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$ 142</w:t>
            </w:r>
          </w:p>
        </w:tc>
      </w:tr>
      <w:tr w:rsidR="5937A937" w14:paraId="2F7B8BE5" w14:textId="77777777" w:rsidTr="5937A937">
        <w:trPr>
          <w:jc w:val="center"/>
        </w:trPr>
        <w:tc>
          <w:tcPr>
            <w:tcW w:w="2490" w:type="dxa"/>
            <w:vAlign w:val="center"/>
          </w:tcPr>
          <w:p w14:paraId="6D6E2DFA" w14:textId="1BBE7E03"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70 %</w:t>
            </w:r>
          </w:p>
        </w:tc>
        <w:tc>
          <w:tcPr>
            <w:tcW w:w="2025" w:type="dxa"/>
            <w:vAlign w:val="center"/>
          </w:tcPr>
          <w:p w14:paraId="16D8F30D" w14:textId="1166A917"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$ 124</w:t>
            </w:r>
          </w:p>
        </w:tc>
      </w:tr>
      <w:tr w:rsidR="5937A937" w14:paraId="1700BA52" w14:textId="77777777" w:rsidTr="5937A937">
        <w:trPr>
          <w:jc w:val="center"/>
        </w:trPr>
        <w:tc>
          <w:tcPr>
            <w:tcW w:w="2490" w:type="dxa"/>
            <w:vAlign w:val="center"/>
          </w:tcPr>
          <w:p w14:paraId="7AC32E02" w14:textId="13CCCF0E"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60 %</w:t>
            </w:r>
          </w:p>
        </w:tc>
        <w:tc>
          <w:tcPr>
            <w:tcW w:w="2025" w:type="dxa"/>
            <w:vAlign w:val="center"/>
          </w:tcPr>
          <w:p w14:paraId="35163AB2" w14:textId="5D8F0C28"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$ 106</w:t>
            </w:r>
          </w:p>
        </w:tc>
      </w:tr>
      <w:tr w:rsidR="5937A937" w14:paraId="6F8696B0" w14:textId="77777777" w:rsidTr="5937A937">
        <w:trPr>
          <w:jc w:val="center"/>
        </w:trPr>
        <w:tc>
          <w:tcPr>
            <w:tcW w:w="2490" w:type="dxa"/>
            <w:vAlign w:val="center"/>
          </w:tcPr>
          <w:p w14:paraId="68483D4F" w14:textId="4FB6FFEA"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50 %</w:t>
            </w:r>
          </w:p>
        </w:tc>
        <w:tc>
          <w:tcPr>
            <w:tcW w:w="2025" w:type="dxa"/>
            <w:vAlign w:val="center"/>
          </w:tcPr>
          <w:p w14:paraId="7203835E" w14:textId="7CE7C3CB"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$ 88</w:t>
            </w:r>
          </w:p>
        </w:tc>
      </w:tr>
      <w:tr w:rsidR="5937A937" w14:paraId="56F4CC12" w14:textId="77777777" w:rsidTr="5937A937">
        <w:trPr>
          <w:jc w:val="center"/>
        </w:trPr>
        <w:tc>
          <w:tcPr>
            <w:tcW w:w="2490" w:type="dxa"/>
            <w:tcBorders>
              <w:bottom w:val="single" w:sz="4" w:space="0" w:color="000000"/>
            </w:tcBorders>
            <w:vAlign w:val="center"/>
          </w:tcPr>
          <w:p w14:paraId="46AD5BD9" w14:textId="12CD8DB5"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40 %</w:t>
            </w:r>
          </w:p>
        </w:tc>
        <w:tc>
          <w:tcPr>
            <w:tcW w:w="2025" w:type="dxa"/>
            <w:tcBorders>
              <w:bottom w:val="single" w:sz="4" w:space="0" w:color="000000"/>
            </w:tcBorders>
            <w:vAlign w:val="center"/>
          </w:tcPr>
          <w:p w14:paraId="48564D5E" w14:textId="4436E45D"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$ 71</w:t>
            </w:r>
          </w:p>
        </w:tc>
      </w:tr>
    </w:tbl>
    <w:p w14:paraId="72167F7F" w14:textId="3A2079AD" w:rsidR="00C53804" w:rsidRPr="00650B23" w:rsidRDefault="00C53804" w:rsidP="65215FB1"/>
    <w:p w14:paraId="416D1277" w14:textId="0F3AD57F" w:rsidR="00C53804" w:rsidRPr="00650B23" w:rsidRDefault="4BDE0E20" w:rsidP="59587566">
      <w:pPr>
        <w:spacing w:after="120" w:line="360" w:lineRule="auto"/>
        <w:ind w:firstLine="720"/>
        <w:rPr>
          <w:rFonts w:asciiTheme="majorHAnsi" w:eastAsiaTheme="majorEastAsia" w:hAnsiTheme="majorHAnsi" w:cstheme="majorBidi"/>
          <w:sz w:val="22"/>
          <w:szCs w:val="22"/>
        </w:rPr>
      </w:pPr>
      <w:r w:rsidRPr="59587566">
        <w:rPr>
          <w:rFonts w:asciiTheme="majorHAnsi" w:eastAsiaTheme="majorEastAsia" w:hAnsiTheme="majorHAnsi" w:cstheme="majorBidi"/>
          <w:sz w:val="22"/>
          <w:szCs w:val="22"/>
        </w:rPr>
        <w:t>T</w:t>
      </w:r>
      <w:r w:rsidR="77293ABE" w:rsidRPr="59587566">
        <w:rPr>
          <w:rFonts w:asciiTheme="majorHAnsi" w:eastAsiaTheme="majorEastAsia" w:hAnsiTheme="majorHAnsi" w:cstheme="majorBidi"/>
          <w:sz w:val="22"/>
          <w:szCs w:val="22"/>
        </w:rPr>
        <w:t>he</w:t>
      </w:r>
      <w:r w:rsidR="274BF171" w:rsidRPr="59587566">
        <w:rPr>
          <w:rFonts w:asciiTheme="majorHAnsi" w:eastAsiaTheme="majorEastAsia" w:hAnsiTheme="majorHAnsi" w:cstheme="majorBidi"/>
          <w:sz w:val="22"/>
          <w:szCs w:val="22"/>
        </w:rPr>
        <w:t xml:space="preserve">se </w:t>
      </w:r>
      <w:r w:rsidR="15209289" w:rsidRPr="59587566">
        <w:rPr>
          <w:rFonts w:asciiTheme="majorHAnsi" w:eastAsiaTheme="majorEastAsia" w:hAnsiTheme="majorHAnsi" w:cstheme="majorBidi"/>
          <w:sz w:val="22"/>
          <w:szCs w:val="22"/>
        </w:rPr>
        <w:t>assumptions</w:t>
      </w:r>
      <w:r w:rsidRPr="59587566">
        <w:rPr>
          <w:rFonts w:asciiTheme="majorHAnsi" w:eastAsiaTheme="majorEastAsia" w:hAnsiTheme="majorHAnsi" w:cstheme="majorBidi"/>
          <w:sz w:val="22"/>
          <w:szCs w:val="22"/>
        </w:rPr>
        <w:t xml:space="preserve"> however, </w:t>
      </w:r>
      <w:r w:rsidR="13960378" w:rsidRPr="59587566">
        <w:rPr>
          <w:rFonts w:asciiTheme="majorHAnsi" w:eastAsiaTheme="majorEastAsia" w:hAnsiTheme="majorHAnsi" w:cstheme="majorBidi"/>
          <w:sz w:val="22"/>
          <w:szCs w:val="22"/>
        </w:rPr>
        <w:t xml:space="preserve">might be </w:t>
      </w:r>
      <w:r w:rsidR="5535C38E" w:rsidRPr="59587566">
        <w:rPr>
          <w:rFonts w:asciiTheme="majorHAnsi" w:eastAsiaTheme="majorEastAsia" w:hAnsiTheme="majorHAnsi" w:cstheme="majorBidi"/>
          <w:sz w:val="22"/>
          <w:szCs w:val="22"/>
        </w:rPr>
        <w:t>considered</w:t>
      </w:r>
      <w:r w:rsidR="0A8B5337" w:rsidRPr="59587566">
        <w:rPr>
          <w:rFonts w:asciiTheme="majorHAnsi" w:eastAsiaTheme="majorEastAsia" w:hAnsiTheme="majorHAnsi" w:cstheme="majorBidi"/>
          <w:sz w:val="22"/>
          <w:szCs w:val="22"/>
        </w:rPr>
        <w:t xml:space="preserve"> for alternative fuels competing </w:t>
      </w:r>
      <w:r w:rsidR="19B5B502" w:rsidRPr="59587566">
        <w:rPr>
          <w:rFonts w:asciiTheme="majorHAnsi" w:eastAsiaTheme="majorEastAsia" w:hAnsiTheme="majorHAnsi" w:cstheme="majorBidi"/>
          <w:sz w:val="22"/>
          <w:szCs w:val="22"/>
        </w:rPr>
        <w:t xml:space="preserve">in the same segment </w:t>
      </w:r>
      <w:r w:rsidR="7777B571" w:rsidRPr="59587566">
        <w:rPr>
          <w:rFonts w:asciiTheme="majorHAnsi" w:eastAsiaTheme="majorEastAsia" w:hAnsiTheme="majorHAnsi" w:cstheme="majorBidi"/>
          <w:sz w:val="22"/>
          <w:szCs w:val="22"/>
        </w:rPr>
        <w:t>of</w:t>
      </w:r>
      <w:r w:rsidR="0A8B5337" w:rsidRPr="59587566">
        <w:rPr>
          <w:rFonts w:asciiTheme="majorHAnsi" w:eastAsiaTheme="majorEastAsia" w:hAnsiTheme="majorHAnsi" w:cstheme="majorBidi"/>
          <w:sz w:val="22"/>
          <w:szCs w:val="22"/>
        </w:rPr>
        <w:t xml:space="preserve"> Bio-HFO</w:t>
      </w:r>
      <w:r w:rsidR="5243488E" w:rsidRPr="59587566">
        <w:rPr>
          <w:rFonts w:asciiTheme="majorHAnsi" w:eastAsiaTheme="majorEastAsia" w:hAnsiTheme="majorHAnsi" w:cstheme="majorBidi"/>
          <w:sz w:val="22"/>
          <w:szCs w:val="22"/>
        </w:rPr>
        <w:t>.</w:t>
      </w:r>
      <w:r w:rsidR="3F92B411" w:rsidRPr="59587566">
        <w:rPr>
          <w:rFonts w:asciiTheme="majorHAnsi" w:eastAsiaTheme="majorEastAsia" w:hAnsiTheme="majorHAnsi" w:cstheme="majorBidi"/>
          <w:sz w:val="22"/>
          <w:szCs w:val="22"/>
        </w:rPr>
        <w:t xml:space="preserve"> </w:t>
      </w:r>
      <w:r w:rsidR="275321CF" w:rsidRPr="59587566">
        <w:rPr>
          <w:rFonts w:asciiTheme="majorHAnsi" w:eastAsiaTheme="majorEastAsia" w:hAnsiTheme="majorHAnsi" w:cstheme="majorBidi"/>
          <w:sz w:val="22"/>
          <w:szCs w:val="22"/>
        </w:rPr>
        <w:t xml:space="preserve">It is essential, therefore, to obtain a product </w:t>
      </w:r>
      <w:r w:rsidR="0015719B">
        <w:rPr>
          <w:rStyle w:val="normaltextrun"/>
          <w:rFonts w:cs="Calibri"/>
          <w:color w:val="1F1F1F"/>
          <w:sz w:val="22"/>
          <w:szCs w:val="22"/>
          <w:bdr w:val="none" w:sz="0" w:space="0" w:color="auto" w:frame="1"/>
        </w:rPr>
        <w:t>which is compatible with fossil blending</w:t>
      </w:r>
      <w:r w:rsidR="37EE770F" w:rsidRPr="59587566">
        <w:rPr>
          <w:rFonts w:asciiTheme="majorHAnsi" w:eastAsiaTheme="majorEastAsia" w:hAnsiTheme="majorHAnsi" w:cstheme="majorBidi"/>
          <w:sz w:val="22"/>
          <w:szCs w:val="22"/>
        </w:rPr>
        <w:t xml:space="preserve">, </w:t>
      </w:r>
      <w:r w:rsidR="0015719B">
        <w:rPr>
          <w:rFonts w:asciiTheme="majorHAnsi" w:eastAsiaTheme="majorEastAsia" w:hAnsiTheme="majorHAnsi" w:cstheme="majorBidi"/>
          <w:sz w:val="22"/>
          <w:szCs w:val="22"/>
        </w:rPr>
        <w:t>making</w:t>
      </w:r>
      <w:r w:rsidR="37EE770F" w:rsidRPr="59587566">
        <w:rPr>
          <w:rFonts w:asciiTheme="majorHAnsi" w:eastAsiaTheme="majorEastAsia" w:hAnsiTheme="majorHAnsi" w:cstheme="majorBidi"/>
          <w:sz w:val="22"/>
          <w:szCs w:val="22"/>
        </w:rPr>
        <w:t xml:space="preserve"> it even more attractive to end users.</w:t>
      </w:r>
      <w:r w:rsidR="4B69B05F" w:rsidRPr="59587566">
        <w:rPr>
          <w:rFonts w:asciiTheme="majorHAnsi" w:eastAsiaTheme="majorEastAsia" w:hAnsiTheme="majorHAnsi" w:cstheme="majorBidi"/>
          <w:sz w:val="22"/>
          <w:szCs w:val="22"/>
        </w:rPr>
        <w:t xml:space="preserve"> Another relevant aspect </w:t>
      </w:r>
      <w:r w:rsidR="2B75E480" w:rsidRPr="59587566">
        <w:rPr>
          <w:rFonts w:asciiTheme="majorHAnsi" w:eastAsiaTheme="majorEastAsia" w:hAnsiTheme="majorHAnsi" w:cstheme="majorBidi"/>
          <w:sz w:val="22"/>
          <w:szCs w:val="22"/>
        </w:rPr>
        <w:t>relates</w:t>
      </w:r>
      <w:r w:rsidR="4B69B05F" w:rsidRPr="59587566">
        <w:rPr>
          <w:rFonts w:asciiTheme="majorHAnsi" w:eastAsiaTheme="majorEastAsia" w:hAnsiTheme="majorHAnsi" w:cstheme="majorBidi"/>
          <w:sz w:val="22"/>
          <w:szCs w:val="22"/>
        </w:rPr>
        <w:t xml:space="preserve"> to the production costs, which can outnumber the premi</w:t>
      </w:r>
      <w:r w:rsidR="34CBE9C5" w:rsidRPr="59587566">
        <w:rPr>
          <w:rFonts w:asciiTheme="majorHAnsi" w:eastAsiaTheme="majorEastAsia" w:hAnsiTheme="majorHAnsi" w:cstheme="majorBidi"/>
          <w:sz w:val="22"/>
          <w:szCs w:val="22"/>
        </w:rPr>
        <w:t>um benefit, for example, FAME</w:t>
      </w:r>
      <w:r w:rsidR="0015719B">
        <w:rPr>
          <w:rFonts w:asciiTheme="majorHAnsi" w:eastAsiaTheme="majorEastAsia" w:hAnsiTheme="majorHAnsi" w:cstheme="majorBidi"/>
          <w:sz w:val="22"/>
          <w:szCs w:val="22"/>
        </w:rPr>
        <w:t xml:space="preserve"> (Figure 8)</w:t>
      </w:r>
      <w:r w:rsidR="31918206" w:rsidRPr="59587566">
        <w:rPr>
          <w:rFonts w:asciiTheme="majorHAnsi" w:eastAsiaTheme="majorEastAsia" w:hAnsiTheme="majorHAnsi" w:cstheme="majorBidi"/>
          <w:sz w:val="22"/>
          <w:szCs w:val="22"/>
        </w:rPr>
        <w:t xml:space="preserve">. </w:t>
      </w:r>
      <w:r w:rsidR="287BE663" w:rsidRPr="59587566">
        <w:rPr>
          <w:rFonts w:asciiTheme="majorHAnsi" w:eastAsiaTheme="majorEastAsia" w:hAnsiTheme="majorHAnsi" w:cstheme="majorBidi"/>
          <w:sz w:val="22"/>
          <w:szCs w:val="22"/>
        </w:rPr>
        <w:t xml:space="preserve">Based on the </w:t>
      </w:r>
      <w:r w:rsidR="051F2C1B" w:rsidRPr="59587566">
        <w:rPr>
          <w:rFonts w:asciiTheme="majorHAnsi" w:eastAsiaTheme="majorEastAsia" w:hAnsiTheme="majorHAnsi" w:cstheme="majorBidi"/>
          <w:sz w:val="22"/>
          <w:szCs w:val="22"/>
        </w:rPr>
        <w:t>report of Oak Ridge National Laboratory</w:t>
      </w:r>
      <w:r w:rsidR="713CACA1" w:rsidRPr="59587566">
        <w:rPr>
          <w:rFonts w:asciiTheme="majorHAnsi" w:eastAsiaTheme="majorEastAsia" w:hAnsiTheme="majorHAnsi" w:cstheme="majorBidi"/>
          <w:sz w:val="22"/>
          <w:szCs w:val="22"/>
        </w:rPr>
        <w:t xml:space="preserve"> (2018) funded by the US Department of Energy, a </w:t>
      </w:r>
      <w:r w:rsidR="4CD2A433" w:rsidRPr="59587566">
        <w:rPr>
          <w:rFonts w:asciiTheme="majorHAnsi" w:eastAsiaTheme="majorEastAsia" w:hAnsiTheme="majorHAnsi" w:cstheme="majorBidi"/>
          <w:sz w:val="22"/>
          <w:szCs w:val="22"/>
        </w:rPr>
        <w:t xml:space="preserve">preliminary price for </w:t>
      </w:r>
      <w:r w:rsidR="46531605" w:rsidRPr="59587566">
        <w:rPr>
          <w:rFonts w:asciiTheme="majorHAnsi" w:eastAsiaTheme="majorEastAsia" w:hAnsiTheme="majorHAnsi" w:cstheme="majorBidi"/>
          <w:sz w:val="22"/>
          <w:szCs w:val="22"/>
        </w:rPr>
        <w:t xml:space="preserve">a </w:t>
      </w:r>
      <w:r w:rsidR="4CD2A433" w:rsidRPr="59587566">
        <w:rPr>
          <w:rFonts w:asciiTheme="majorHAnsi" w:eastAsiaTheme="majorEastAsia" w:hAnsiTheme="majorHAnsi" w:cstheme="majorBidi"/>
          <w:sz w:val="22"/>
          <w:szCs w:val="22"/>
        </w:rPr>
        <w:t>marine fuel produced from lignocellulosic material</w:t>
      </w:r>
      <w:r w:rsidR="4D1A2B73" w:rsidRPr="59587566">
        <w:rPr>
          <w:rFonts w:asciiTheme="majorHAnsi" w:eastAsiaTheme="majorEastAsia" w:hAnsiTheme="majorHAnsi" w:cstheme="majorBidi"/>
          <w:sz w:val="22"/>
          <w:szCs w:val="22"/>
        </w:rPr>
        <w:t>,</w:t>
      </w:r>
      <w:r w:rsidR="4CD2A433" w:rsidRPr="59587566">
        <w:rPr>
          <w:rFonts w:asciiTheme="majorHAnsi" w:eastAsiaTheme="majorEastAsia" w:hAnsiTheme="majorHAnsi" w:cstheme="majorBidi"/>
          <w:sz w:val="22"/>
          <w:szCs w:val="22"/>
        </w:rPr>
        <w:t xml:space="preserve"> by means of hydrothermal </w:t>
      </w:r>
      <w:r w:rsidR="2EE27CC7" w:rsidRPr="59587566">
        <w:rPr>
          <w:rFonts w:asciiTheme="majorHAnsi" w:eastAsiaTheme="majorEastAsia" w:hAnsiTheme="majorHAnsi" w:cstheme="majorBidi"/>
          <w:sz w:val="22"/>
          <w:szCs w:val="22"/>
        </w:rPr>
        <w:t>liquefaction</w:t>
      </w:r>
      <w:r w:rsidR="6525C5D6" w:rsidRPr="59587566">
        <w:rPr>
          <w:rFonts w:asciiTheme="majorHAnsi" w:eastAsiaTheme="majorEastAsia" w:hAnsiTheme="majorHAnsi" w:cstheme="majorBidi"/>
          <w:sz w:val="22"/>
          <w:szCs w:val="22"/>
        </w:rPr>
        <w:t>,</w:t>
      </w:r>
      <w:r w:rsidR="4CD2A433" w:rsidRPr="59587566">
        <w:rPr>
          <w:rFonts w:asciiTheme="majorHAnsi" w:eastAsiaTheme="majorEastAsia" w:hAnsiTheme="majorHAnsi" w:cstheme="majorBidi"/>
          <w:sz w:val="22"/>
          <w:szCs w:val="22"/>
        </w:rPr>
        <w:t xml:space="preserve"> </w:t>
      </w:r>
      <w:r w:rsidR="36DDCAB4" w:rsidRPr="59587566">
        <w:rPr>
          <w:rFonts w:asciiTheme="majorHAnsi" w:eastAsiaTheme="majorEastAsia" w:hAnsiTheme="majorHAnsi" w:cstheme="majorBidi"/>
          <w:sz w:val="22"/>
          <w:szCs w:val="22"/>
        </w:rPr>
        <w:t>would be around $ 650/ ton.</w:t>
      </w:r>
      <w:r w:rsidR="713CACA1" w:rsidRPr="59587566">
        <w:rPr>
          <w:rFonts w:asciiTheme="majorHAnsi" w:eastAsiaTheme="majorEastAsia" w:hAnsiTheme="majorHAnsi" w:cstheme="majorBidi"/>
          <w:sz w:val="22"/>
          <w:szCs w:val="22"/>
        </w:rPr>
        <w:t xml:space="preserve"> </w:t>
      </w:r>
    </w:p>
    <w:p w14:paraId="7424A055" w14:textId="78EF8839" w:rsidR="00C53804" w:rsidRPr="00650B23" w:rsidRDefault="654CA926" w:rsidP="005D6854">
      <w:pPr>
        <w:pStyle w:val="Heading2"/>
      </w:pPr>
      <w:bookmarkStart w:id="39" w:name="_Toc85627870"/>
      <w:r>
        <w:lastRenderedPageBreak/>
        <w:t>Technology Maturity</w:t>
      </w:r>
      <w:bookmarkEnd w:id="39"/>
    </w:p>
    <w:p w14:paraId="460C5D9F" w14:textId="29C54D45" w:rsidR="00C53804" w:rsidRPr="00650B23" w:rsidRDefault="00C53804" w:rsidP="65215FB1"/>
    <w:p w14:paraId="68EB2081" w14:textId="7475D617" w:rsidR="00A11736" w:rsidRDefault="00A11736" w:rsidP="5937A937">
      <w:pPr>
        <w:spacing w:line="360" w:lineRule="auto"/>
        <w:ind w:firstLine="444"/>
        <w:rPr>
          <w:rFonts w:eastAsia="Calibri" w:cs="Calibri"/>
          <w:sz w:val="22"/>
          <w:szCs w:val="22"/>
          <w:lang w:val="en-GB"/>
        </w:rPr>
      </w:pPr>
      <w:r>
        <w:rPr>
          <w:rStyle w:val="normaltextrun"/>
          <w:rFonts w:cs="Calibri"/>
          <w:color w:val="1F1F1F"/>
          <w:sz w:val="22"/>
          <w:szCs w:val="22"/>
          <w:shd w:val="clear" w:color="auto" w:fill="FFFFFF"/>
          <w:lang w:val="en-GB"/>
        </w:rPr>
        <w:t>Today, a few biofuels have a large production capacity to meet the volumes required in marine market. The</w:t>
      </w:r>
      <w:r w:rsidR="0015719B">
        <w:rPr>
          <w:rStyle w:val="normaltextrun"/>
          <w:rFonts w:cs="Calibri"/>
          <w:color w:val="1F1F1F"/>
          <w:sz w:val="22"/>
          <w:szCs w:val="22"/>
          <w:shd w:val="clear" w:color="auto" w:fill="FFFFFF"/>
          <w:lang w:val="en-GB"/>
        </w:rPr>
        <w:t>ir</w:t>
      </w:r>
      <w:r>
        <w:rPr>
          <w:rStyle w:val="normaltextrun"/>
          <w:rFonts w:cs="Calibri"/>
          <w:color w:val="1F1F1F"/>
          <w:sz w:val="22"/>
          <w:szCs w:val="22"/>
          <w:shd w:val="clear" w:color="auto" w:fill="FFFFFF"/>
          <w:lang w:val="en-GB"/>
        </w:rPr>
        <w:t xml:space="preserve"> availability at large scale is one of the main factors that affect competitiveness</w:t>
      </w:r>
      <w:r w:rsidR="0015719B">
        <w:rPr>
          <w:rStyle w:val="normaltextrun"/>
          <w:rFonts w:cs="Calibri"/>
          <w:color w:val="1F1F1F"/>
          <w:sz w:val="22"/>
          <w:szCs w:val="22"/>
          <w:shd w:val="clear" w:color="auto" w:fill="FFFFFF"/>
          <w:lang w:val="en-GB"/>
        </w:rPr>
        <w:t>, a</w:t>
      </w:r>
      <w:r>
        <w:rPr>
          <w:rStyle w:val="normaltextrun"/>
          <w:rFonts w:cs="Calibri"/>
          <w:color w:val="1F1F1F"/>
          <w:sz w:val="22"/>
          <w:szCs w:val="22"/>
          <w:shd w:val="clear" w:color="auto" w:fill="FFFFFF"/>
          <w:lang w:val="en-GB"/>
        </w:rPr>
        <w:t xml:space="preserve">t the same time </w:t>
      </w:r>
      <w:r w:rsidR="0015719B">
        <w:rPr>
          <w:rStyle w:val="normaltextrun"/>
          <w:rFonts w:cs="Calibri"/>
          <w:color w:val="1F1F1F"/>
          <w:sz w:val="22"/>
          <w:szCs w:val="22"/>
          <w:shd w:val="clear" w:color="auto" w:fill="FFFFFF"/>
          <w:lang w:val="en-GB"/>
        </w:rPr>
        <w:t>that it is dependent</w:t>
      </w:r>
      <w:r>
        <w:rPr>
          <w:rStyle w:val="normaltextrun"/>
          <w:rFonts w:cs="Calibri"/>
          <w:color w:val="1F1F1F"/>
          <w:sz w:val="22"/>
          <w:szCs w:val="22"/>
          <w:shd w:val="clear" w:color="auto" w:fill="FFFFFF"/>
          <w:lang w:val="en-GB"/>
        </w:rPr>
        <w:t xml:space="preserve"> on the demand. Technological and market maturity is measure according to its readiness level (technology-TRL &amp; commercial CRL) </w:t>
      </w:r>
      <w:r w:rsidR="00D63679">
        <w:rPr>
          <w:rStyle w:val="normaltextrun"/>
          <w:rFonts w:cs="Calibri"/>
          <w:color w:val="1F1F1F"/>
          <w:sz w:val="22"/>
          <w:szCs w:val="22"/>
          <w:shd w:val="clear" w:color="auto" w:fill="FFFFFF"/>
          <w:lang w:val="en-GB"/>
        </w:rPr>
        <w:fldChar w:fldCharType="begin" w:fldLock="1"/>
      </w:r>
      <w:r w:rsidR="00EA4AC9">
        <w:rPr>
          <w:rStyle w:val="normaltextrun"/>
          <w:rFonts w:cs="Calibri"/>
          <w:color w:val="1F1F1F"/>
          <w:sz w:val="22"/>
          <w:szCs w:val="22"/>
          <w:shd w:val="clear" w:color="auto" w:fill="FFFFFF"/>
          <w:lang w:val="en-GB"/>
        </w:rPr>
        <w:instrText>ADDIN CSL_CITATION {"citationItems":[{"id":"ITEM-1","itemData":{"DOI":"10.1016/j.jclepro.2021.125849","ISSN":"09596526","abstract":"The maritime sector is a key asset for the world economy, but its environmental impact represents a major concern. The sector is primarily supplied with Heavy Fuel Oil, which results in high pollutant emissions. The sector has set targets for deacrbonisation, and alternative fuels have been identified as a short-to medium-term option. The paper addresses the complexity related to the activities of the maritime industry, and discusses the possible contribution of alternative fuels. A sector segmentation is proposed to define the consumption of each sub-segment, so to compare it with the current alternative fuel availability at European level. The paper shows that costs and GHG savings are fundamental enablers for the uptake of alternative fuels, but other aspects are also crucial: technical maturity, safety regulation, expertise needed, etc. The demand for alternative fuels has to be supported by an existing, reliable infrastructure, and this is not yet the case for many solutions (i.e. electricity, hydrogen or methanol). Various options are already available for maritime sector, but the future mix of fuels used will depend on technology improvements, availability, costs and the real potential for GHG emissions reduction.","author":[{"dropping-particle":"","family":"Prussi","given":"M.","non-dropping-particle":"","parse-names":false,"suffix":""},{"dropping-particle":"","family":"Scarlat","given":"N.","non-dropping-particle":"","parse-names":false,"suffix":""},{"dropping-particle":"","family":"Acciaro","given":"M.","non-dropping-particle":"","parse-names":false,"suffix":""},{"dropping-particle":"","family":"Kosmas","given":"V.","non-dropping-particle":"","parse-names":false,"suffix":""}],"container-title":"Journal of Cleaner Production","id":"ITEM-1","issued":{"date-parts":[["2021"]]},"page":"125849","publisher":"Elsevier Ltd","title":"Potential and limiting factors in the use of alternative fuels in the European maritime sector","type":"article-journal","volume":"291"},"uris":["http://www.mendeley.com/documents/?uuid=d5e5321a-a42e-42c8-9aad-3f35cc92c536"]},{"id":"ITEM-2","itemData":{"DOI":"10.1016/j.rser.2021.110715","ISSN":"13640321","abstract":"The European New Green Deal and the REDII set ambitious targets, aiming to achieve a climate-neutral Europe by 2050. The transport sector is the most critical area to decarbonize, given the rigidity of both infrastructure and end-use technologies, as well as the challenge of reaching cost-effective production of sustainable advanced renewable fuels. Several researchers, stakeholders and groups of interest, such as international and governmental organisations, NGOs, business analysists, scientists and other actors elaborated scenarios on biofuels market penetration by 2050. These studies are largely used by policy makers, even if not necessarily were subject to a rigid peer review and verification process. This work presents an extensive literature review of the main published investigations, to assess and quantify the authors' different visions. These forecasts intend to evaluate the possible future development of the sector based on current and foreseeable policies, as well as industry and investors' business plans; at the same time, these estimates should also provide policy makers with a sound base for policy development towards achieving climate goals. Through preliminary screening, based on a methodology of a set of ex-ante conditions, this work identified the most relevant publications and structured the analysis of the collected data. A total of 18 publications were selected from the literature review, resulting in 56 scenarios to be examined. This work allowed to achieve a comprehensive summary and quantification of the selected scenarios, all of which focus on biofuel contribution to transport decarbonisation in the period 2030–2050. Given the occurrence of several factors, as the ongoing and future technological development, the adoption of more efficient mobility models, the hybridization and electrification of transports, the Total Fuel Consumption for the transport sector is expected to reduce in Europe: averaged projections from the analyzed scenarios account for 312.8 Mtoe in 2030 and 274.2 Mtoe in 2050. Biofuels are expected to significantly contribute to achieve the EU targets, with a progressive shift towards advanced feedstock: on average, their total contribution is expected to account for 24.5 Mtoe in 2030, and for 48.3 Mtoe in 2050, while advanced biofuels are projected for an average contribution of 8.7 Mtoe in 2030 and 36.5 Mtoe in 2050. This work analysed pre-pandemic published scenarios: the effects that the COVID-19 pandemic i…","author":[{"dropping-particle":"","family":"Chiaramonti","given":"David","non-dropping-particle":"","parse-names":false,"suffix":""},{"dropping-particle":"","family":"Talluri","given":"Giacomo","non-dropping-particle":"","parse-names":false,"suffix":""},{"dropping-particle":"","family":"Scarlat","given":"Nicolae","non-dropping-particle":"","parse-names":false,"suffix":""},{"dropping-particle":"","family":"Prussi","given":"Matteo","non-dropping-particle":"","parse-names":false,"suffix":""}],"container-title":"Renewable and Sustainable Energy Reviews","id":"ITEM-2","issue":"January","issued":{"date-parts":[["2021"]]},"page":"110715","publisher":"Elsevier Ltd","title":"The challenge of forecasting the role of biofuel in EU transport decarbonisation at 2050: A meta-analysis review of published scenarios","type":"article-journal","volume":"139"},"uris":["http://www.mendeley.com/documents/?uuid=ad51fdf3-8721-42f9-85d1-82efd095ee6f"]}],"mendeley":{"formattedCitation":"(Chiaramonti et al., 2021; Prussi et al., 2021)","plainTextFormattedCitation":"(Chiaramonti et al., 2021; Prussi et al., 2021)","previouslyFormattedCitation":"(Chiaramonti et al., 2021; Prussi et al., 2021)"},"properties":{"noteIndex":0},"schema":"https://github.com/citation-style-language/schema/raw/master/csl-citation.json"}</w:instrText>
      </w:r>
      <w:r w:rsidR="00D63679">
        <w:rPr>
          <w:rStyle w:val="normaltextrun"/>
          <w:rFonts w:cs="Calibri"/>
          <w:color w:val="1F1F1F"/>
          <w:sz w:val="22"/>
          <w:szCs w:val="22"/>
          <w:shd w:val="clear" w:color="auto" w:fill="FFFFFF"/>
          <w:lang w:val="en-GB"/>
        </w:rPr>
        <w:fldChar w:fldCharType="separate"/>
      </w:r>
      <w:r w:rsidR="00D63679" w:rsidRPr="00D63679">
        <w:rPr>
          <w:rStyle w:val="normaltextrun"/>
          <w:rFonts w:cs="Calibri"/>
          <w:noProof/>
          <w:color w:val="1F1F1F"/>
          <w:sz w:val="22"/>
          <w:szCs w:val="22"/>
          <w:shd w:val="clear" w:color="auto" w:fill="FFFFFF"/>
          <w:lang w:val="en-GB"/>
        </w:rPr>
        <w:t>(Chiaramonti et al., 2021; Prussi et al., 2021)</w:t>
      </w:r>
      <w:r w:rsidR="00D63679">
        <w:rPr>
          <w:rStyle w:val="normaltextrun"/>
          <w:rFonts w:cs="Calibri"/>
          <w:color w:val="1F1F1F"/>
          <w:sz w:val="22"/>
          <w:szCs w:val="22"/>
          <w:shd w:val="clear" w:color="auto" w:fill="FFFFFF"/>
          <w:lang w:val="en-GB"/>
        </w:rPr>
        <w:fldChar w:fldCharType="end"/>
      </w:r>
      <w:r>
        <w:rPr>
          <w:rStyle w:val="normaltextrun"/>
          <w:rFonts w:cs="Calibri"/>
          <w:color w:val="1F1F1F"/>
          <w:sz w:val="22"/>
          <w:szCs w:val="22"/>
          <w:shd w:val="clear" w:color="auto" w:fill="FFFFFF"/>
          <w:lang w:val="en-GB"/>
        </w:rPr>
        <w:t>. Many biofuels based on lignocellulose feedstock are being developed. It is important to realize that most of these lignocellulose-based fuels have a similar TRL to IDEALFUEL’s B</w:t>
      </w:r>
      <w:r w:rsidR="00FA10D5">
        <w:rPr>
          <w:rStyle w:val="normaltextrun"/>
          <w:rFonts w:cs="Calibri"/>
          <w:color w:val="1F1F1F"/>
          <w:sz w:val="22"/>
          <w:szCs w:val="22"/>
          <w:shd w:val="clear" w:color="auto" w:fill="FFFFFF"/>
          <w:lang w:val="en-GB"/>
        </w:rPr>
        <w:t>io</w:t>
      </w:r>
      <w:r>
        <w:rPr>
          <w:rStyle w:val="normaltextrun"/>
          <w:rFonts w:cs="Calibri"/>
          <w:color w:val="1F1F1F"/>
          <w:sz w:val="22"/>
          <w:szCs w:val="22"/>
          <w:shd w:val="clear" w:color="auto" w:fill="FFFFFF"/>
          <w:lang w:val="en-GB"/>
        </w:rPr>
        <w:t>-HFO, and might represent</w:t>
      </w:r>
      <w:r w:rsidR="00FA10D5">
        <w:rPr>
          <w:rStyle w:val="normaltextrun"/>
          <w:rFonts w:cs="Calibri"/>
          <w:color w:val="1F1F1F"/>
          <w:sz w:val="22"/>
          <w:szCs w:val="22"/>
          <w:shd w:val="clear" w:color="auto" w:fill="FFFFFF"/>
          <w:lang w:val="en-GB"/>
        </w:rPr>
        <w:t xml:space="preserve"> </w:t>
      </w:r>
      <w:r>
        <w:rPr>
          <w:rStyle w:val="normaltextrun"/>
          <w:rFonts w:cs="Calibri"/>
          <w:color w:val="1F1F1F"/>
          <w:sz w:val="22"/>
          <w:szCs w:val="22"/>
          <w:shd w:val="clear" w:color="auto" w:fill="FFFFFF"/>
          <w:lang w:val="en-GB"/>
        </w:rPr>
        <w:t>potential competition. </w:t>
      </w:r>
      <w:r>
        <w:rPr>
          <w:rStyle w:val="eop"/>
          <w:rFonts w:cs="Calibri"/>
          <w:color w:val="1F1F1F"/>
          <w:sz w:val="22"/>
          <w:szCs w:val="22"/>
          <w:shd w:val="clear" w:color="auto" w:fill="FFFFFF"/>
        </w:rPr>
        <w:t> </w:t>
      </w:r>
    </w:p>
    <w:p w14:paraId="0362F933" w14:textId="4549A11B" w:rsidR="3E1FB59D" w:rsidRPr="008E3076" w:rsidRDefault="3E1FB59D" w:rsidP="5937A937">
      <w:pPr>
        <w:rPr>
          <w:b/>
          <w:bCs/>
        </w:rPr>
      </w:pPr>
    </w:p>
    <w:p w14:paraId="34174203" w14:textId="4A5E2EAE" w:rsidR="002E4890" w:rsidRDefault="002E4890" w:rsidP="002E4890">
      <w:pPr>
        <w:pStyle w:val="Caption"/>
        <w:keepNext/>
      </w:pPr>
      <w:bookmarkStart w:id="40" w:name="_Toc85627891"/>
      <w:bookmarkStart w:id="41" w:name="_Toc85627897"/>
      <w:r>
        <w:t xml:space="preserve">Table </w:t>
      </w:r>
      <w:fldSimple w:instr=" SEQ Table \* ARABIC ">
        <w:r w:rsidR="009C66F7">
          <w:rPr>
            <w:noProof/>
          </w:rPr>
          <w:t>5</w:t>
        </w:r>
      </w:fldSimple>
      <w:r>
        <w:t xml:space="preserve">. </w:t>
      </w:r>
      <w:r w:rsidRPr="00B655CF">
        <w:t>Comparative of biofuels and their development status (</w:t>
      </w:r>
      <w:r w:rsidR="006D4736">
        <w:t xml:space="preserve">source: </w:t>
      </w:r>
      <w:r w:rsidRPr="00B655CF">
        <w:t>Panoutsou et al., 2021; Prussi et al., 2021; Verbeek et al., 2020</w:t>
      </w:r>
      <w:r w:rsidR="00EE483E">
        <w:t>; Final</w:t>
      </w:r>
      <w:r w:rsidR="00452B7B">
        <w:t>, 2021</w:t>
      </w:r>
      <w:r w:rsidRPr="00B655CF">
        <w:t>)</w:t>
      </w:r>
      <w:bookmarkEnd w:id="40"/>
      <w:bookmarkEnd w:id="41"/>
    </w:p>
    <w:tbl>
      <w:tblPr>
        <w:tblStyle w:val="TableGrid"/>
        <w:tblW w:w="0" w:type="auto"/>
        <w:jc w:val="center"/>
        <w:tblLayout w:type="fixed"/>
        <w:tblLook w:val="06A0" w:firstRow="1" w:lastRow="0" w:firstColumn="1" w:lastColumn="0" w:noHBand="1" w:noVBand="1"/>
      </w:tblPr>
      <w:tblGrid>
        <w:gridCol w:w="2865"/>
        <w:gridCol w:w="1950"/>
        <w:gridCol w:w="2415"/>
        <w:gridCol w:w="1320"/>
      </w:tblGrid>
      <w:tr w:rsidR="5937A937" w14:paraId="6BE39E0F" w14:textId="77777777" w:rsidTr="00A11736">
        <w:trPr>
          <w:jc w:val="center"/>
        </w:trPr>
        <w:tc>
          <w:tcPr>
            <w:tcW w:w="2865" w:type="dxa"/>
            <w:tcBorders>
              <w:top w:val="nil"/>
              <w:left w:val="nil"/>
              <w:bottom w:val="single" w:sz="8" w:space="0" w:color="auto"/>
              <w:right w:val="nil"/>
            </w:tcBorders>
            <w:vAlign w:val="center"/>
          </w:tcPr>
          <w:p w14:paraId="553B3456" w14:textId="34F19036" w:rsidR="5937A937" w:rsidRDefault="5937A937" w:rsidP="5937A937">
            <w:pPr>
              <w:jc w:val="center"/>
            </w:pPr>
            <w:r w:rsidRPr="5937A937">
              <w:rPr>
                <w:rFonts w:eastAsia="Calibri" w:cs="Calibri"/>
                <w:b/>
                <w:bCs/>
                <w:sz w:val="18"/>
                <w:szCs w:val="18"/>
                <w:lang w:val="en-GB"/>
              </w:rPr>
              <w:t>Feedstock</w:t>
            </w:r>
          </w:p>
        </w:tc>
        <w:tc>
          <w:tcPr>
            <w:tcW w:w="1950" w:type="dxa"/>
            <w:tcBorders>
              <w:top w:val="nil"/>
              <w:left w:val="nil"/>
              <w:bottom w:val="single" w:sz="8" w:space="0" w:color="auto"/>
              <w:right w:val="nil"/>
            </w:tcBorders>
            <w:vAlign w:val="center"/>
          </w:tcPr>
          <w:p w14:paraId="71C2F277" w14:textId="44522A60" w:rsidR="5937A937" w:rsidRDefault="5937A937" w:rsidP="5937A937">
            <w:pPr>
              <w:jc w:val="center"/>
            </w:pPr>
            <w:r w:rsidRPr="5937A937">
              <w:rPr>
                <w:rFonts w:eastAsia="Calibri" w:cs="Calibri"/>
                <w:b/>
                <w:bCs/>
                <w:sz w:val="18"/>
                <w:szCs w:val="18"/>
                <w:lang w:val="en-GB"/>
              </w:rPr>
              <w:t>Conversion</w:t>
            </w:r>
          </w:p>
        </w:tc>
        <w:tc>
          <w:tcPr>
            <w:tcW w:w="2415" w:type="dxa"/>
            <w:tcBorders>
              <w:top w:val="nil"/>
              <w:left w:val="nil"/>
              <w:bottom w:val="single" w:sz="8" w:space="0" w:color="auto"/>
              <w:right w:val="nil"/>
            </w:tcBorders>
            <w:vAlign w:val="center"/>
          </w:tcPr>
          <w:p w14:paraId="57F411D5" w14:textId="69117F8D" w:rsidR="5937A937" w:rsidRDefault="5937A937" w:rsidP="5937A937">
            <w:pPr>
              <w:jc w:val="center"/>
            </w:pPr>
            <w:r w:rsidRPr="5937A937">
              <w:rPr>
                <w:rFonts w:eastAsia="Calibri" w:cs="Calibri"/>
                <w:b/>
                <w:bCs/>
                <w:sz w:val="18"/>
                <w:szCs w:val="18"/>
                <w:lang w:val="en-GB"/>
              </w:rPr>
              <w:t>Biofuel</w:t>
            </w:r>
          </w:p>
        </w:tc>
        <w:tc>
          <w:tcPr>
            <w:tcW w:w="1320" w:type="dxa"/>
            <w:tcBorders>
              <w:top w:val="nil"/>
              <w:left w:val="nil"/>
              <w:bottom w:val="single" w:sz="8" w:space="0" w:color="auto"/>
              <w:right w:val="nil"/>
            </w:tcBorders>
            <w:vAlign w:val="center"/>
          </w:tcPr>
          <w:p w14:paraId="68E287B1" w14:textId="5C79E4EA" w:rsidR="5937A937" w:rsidRDefault="5937A937" w:rsidP="5937A937">
            <w:pPr>
              <w:jc w:val="center"/>
            </w:pPr>
            <w:r w:rsidRPr="5937A937">
              <w:rPr>
                <w:rFonts w:eastAsia="Calibri" w:cs="Calibri"/>
                <w:b/>
                <w:bCs/>
                <w:sz w:val="18"/>
                <w:szCs w:val="18"/>
                <w:lang w:val="en-GB"/>
              </w:rPr>
              <w:t>Status</w:t>
            </w:r>
          </w:p>
        </w:tc>
      </w:tr>
      <w:tr w:rsidR="5937A937" w14:paraId="0AD6CF6B" w14:textId="77777777" w:rsidTr="00A11736">
        <w:trPr>
          <w:jc w:val="center"/>
        </w:trPr>
        <w:tc>
          <w:tcPr>
            <w:tcW w:w="2865" w:type="dxa"/>
            <w:tcBorders>
              <w:top w:val="single" w:sz="8" w:space="0" w:color="auto"/>
              <w:left w:val="nil"/>
              <w:bottom w:val="none" w:sz="4" w:space="0" w:color="000000"/>
              <w:right w:val="nil"/>
            </w:tcBorders>
            <w:vAlign w:val="center"/>
          </w:tcPr>
          <w:p w14:paraId="77C7FA1F" w14:textId="526D8FEB" w:rsidR="5937A937" w:rsidRDefault="5937A937" w:rsidP="5937A937">
            <w:pPr>
              <w:spacing w:after="120"/>
              <w:jc w:val="center"/>
            </w:pPr>
            <w:r w:rsidRPr="5937A937">
              <w:rPr>
                <w:rFonts w:eastAsia="Calibri" w:cs="Calibri"/>
                <w:sz w:val="18"/>
                <w:szCs w:val="18"/>
                <w:lang w:val="en-GB"/>
              </w:rPr>
              <w:t>Waste oils stream: fat, used cocking oil, vegetable oils</w:t>
            </w:r>
          </w:p>
        </w:tc>
        <w:tc>
          <w:tcPr>
            <w:tcW w:w="1950" w:type="dxa"/>
            <w:tcBorders>
              <w:top w:val="single" w:sz="8" w:space="0" w:color="auto"/>
              <w:left w:val="nil"/>
              <w:bottom w:val="none" w:sz="4" w:space="0" w:color="000000"/>
              <w:right w:val="nil"/>
            </w:tcBorders>
            <w:vAlign w:val="center"/>
          </w:tcPr>
          <w:p w14:paraId="54B1F11C" w14:textId="04B69893" w:rsidR="5937A937" w:rsidRDefault="5937A937" w:rsidP="5937A937">
            <w:pPr>
              <w:spacing w:after="120"/>
              <w:jc w:val="center"/>
            </w:pPr>
            <w:r w:rsidRPr="5937A937">
              <w:rPr>
                <w:rFonts w:eastAsia="Calibri" w:cs="Calibri"/>
                <w:sz w:val="18"/>
                <w:szCs w:val="18"/>
                <w:lang w:val="en-GB"/>
              </w:rPr>
              <w:t>Esterification / Hydrotreatment</w:t>
            </w:r>
          </w:p>
        </w:tc>
        <w:tc>
          <w:tcPr>
            <w:tcW w:w="2415" w:type="dxa"/>
            <w:tcBorders>
              <w:top w:val="single" w:sz="8" w:space="0" w:color="auto"/>
              <w:left w:val="nil"/>
              <w:bottom w:val="none" w:sz="4" w:space="0" w:color="000000"/>
              <w:right w:val="nil"/>
            </w:tcBorders>
            <w:vAlign w:val="center"/>
          </w:tcPr>
          <w:p w14:paraId="2B7B74C9" w14:textId="321D7114" w:rsidR="5937A937" w:rsidRDefault="5937A937" w:rsidP="5937A937">
            <w:pPr>
              <w:spacing w:after="120"/>
              <w:jc w:val="center"/>
            </w:pPr>
            <w:r w:rsidRPr="5937A937">
              <w:rPr>
                <w:rFonts w:eastAsia="Calibri" w:cs="Calibri"/>
                <w:sz w:val="18"/>
                <w:szCs w:val="18"/>
                <w:lang w:val="en-GB"/>
              </w:rPr>
              <w:t>FAME / HVO</w:t>
            </w:r>
          </w:p>
        </w:tc>
        <w:tc>
          <w:tcPr>
            <w:tcW w:w="1320" w:type="dxa"/>
            <w:tcBorders>
              <w:top w:val="single" w:sz="8" w:space="0" w:color="auto"/>
              <w:left w:val="nil"/>
              <w:bottom w:val="none" w:sz="4" w:space="0" w:color="000000"/>
              <w:right w:val="nil"/>
            </w:tcBorders>
            <w:vAlign w:val="center"/>
          </w:tcPr>
          <w:p w14:paraId="401F4AD7" w14:textId="6480ADF9" w:rsidR="5937A937" w:rsidRDefault="5937A937" w:rsidP="5937A937">
            <w:pPr>
              <w:spacing w:after="120"/>
              <w:jc w:val="center"/>
            </w:pPr>
            <w:r w:rsidRPr="5937A937">
              <w:rPr>
                <w:rFonts w:eastAsia="Calibri" w:cs="Calibri"/>
                <w:sz w:val="18"/>
                <w:szCs w:val="18"/>
                <w:lang w:val="en-GB"/>
              </w:rPr>
              <w:t>Commercial</w:t>
            </w:r>
          </w:p>
        </w:tc>
      </w:tr>
      <w:tr w:rsidR="5937A937" w14:paraId="0DCD25DA" w14:textId="77777777" w:rsidTr="00A11736">
        <w:trPr>
          <w:jc w:val="center"/>
        </w:trPr>
        <w:tc>
          <w:tcPr>
            <w:tcW w:w="2865" w:type="dxa"/>
            <w:tcBorders>
              <w:top w:val="none" w:sz="4" w:space="0" w:color="000000"/>
              <w:left w:val="none" w:sz="4" w:space="0" w:color="000000"/>
              <w:bottom w:val="nil"/>
              <w:right w:val="none" w:sz="4" w:space="0" w:color="000000"/>
            </w:tcBorders>
            <w:shd w:val="clear" w:color="auto" w:fill="FFFFFF" w:themeFill="background1"/>
            <w:vAlign w:val="center"/>
          </w:tcPr>
          <w:p w14:paraId="725278F2" w14:textId="7BFB6C73" w:rsidR="5937A937" w:rsidRDefault="5937A937" w:rsidP="5937A937">
            <w:pPr>
              <w:spacing w:after="120"/>
              <w:jc w:val="center"/>
            </w:pPr>
            <w:r w:rsidRPr="5937A937">
              <w:rPr>
                <w:rFonts w:eastAsia="Calibri" w:cs="Calibri"/>
                <w:sz w:val="18"/>
                <w:szCs w:val="18"/>
                <w:lang w:val="en-GB"/>
              </w:rPr>
              <w:t>Sewage sludge, animal manure, agricultural residues</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FEF3F8F" w14:textId="71B8E15B" w:rsidR="5937A937" w:rsidRDefault="5937A937" w:rsidP="5937A937">
            <w:pPr>
              <w:spacing w:after="120"/>
              <w:jc w:val="center"/>
            </w:pPr>
            <w:r w:rsidRPr="5937A937">
              <w:rPr>
                <w:rFonts w:eastAsia="Calibri" w:cs="Calibri"/>
                <w:sz w:val="18"/>
                <w:szCs w:val="18"/>
                <w:lang w:val="en-GB"/>
              </w:rPr>
              <w:t>Biogas, methanogenesis</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CEDC627" w14:textId="5D541F94" w:rsidR="5937A937" w:rsidRDefault="5937A937" w:rsidP="5937A937">
            <w:pPr>
              <w:spacing w:after="120"/>
              <w:jc w:val="center"/>
            </w:pPr>
            <w:r w:rsidRPr="5937A937">
              <w:rPr>
                <w:rFonts w:eastAsia="Calibri" w:cs="Calibri"/>
                <w:sz w:val="18"/>
                <w:szCs w:val="18"/>
                <w:lang w:val="en-GB"/>
              </w:rPr>
              <w:t>Biomethane, Bio-LNG</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010BE156" w14:textId="4338EB6B" w:rsidR="5937A937" w:rsidRDefault="5937A937" w:rsidP="5937A937">
            <w:pPr>
              <w:spacing w:after="120"/>
              <w:jc w:val="center"/>
            </w:pPr>
            <w:r w:rsidRPr="5937A937">
              <w:rPr>
                <w:rFonts w:eastAsia="Calibri" w:cs="Calibri"/>
                <w:sz w:val="18"/>
                <w:szCs w:val="18"/>
                <w:lang w:val="en-GB"/>
              </w:rPr>
              <w:t>Commercial</w:t>
            </w:r>
          </w:p>
        </w:tc>
      </w:tr>
      <w:tr w:rsidR="5937A937" w14:paraId="1C3E1F37" w14:textId="77777777" w:rsidTr="00A11736">
        <w:trPr>
          <w:jc w:val="center"/>
        </w:trPr>
        <w:tc>
          <w:tcPr>
            <w:tcW w:w="2865" w:type="dxa"/>
            <w:vMerge w:val="restart"/>
            <w:tcBorders>
              <w:top w:val="nil"/>
              <w:left w:val="nil"/>
              <w:bottom w:val="nil"/>
              <w:right w:val="nil"/>
            </w:tcBorders>
            <w:shd w:val="clear" w:color="auto" w:fill="FFFFFF" w:themeFill="background1"/>
            <w:vAlign w:val="center"/>
          </w:tcPr>
          <w:p w14:paraId="64630BDE" w14:textId="06FF82E9" w:rsidR="5937A937" w:rsidRDefault="5937A937" w:rsidP="5937A937">
            <w:pPr>
              <w:spacing w:after="120"/>
              <w:jc w:val="center"/>
            </w:pPr>
            <w:r w:rsidRPr="5937A937">
              <w:rPr>
                <w:rFonts w:eastAsia="Calibri" w:cs="Calibri"/>
                <w:sz w:val="18"/>
                <w:szCs w:val="18"/>
                <w:lang w:val="en-GB"/>
              </w:rPr>
              <w:t>Lignocellulose</w:t>
            </w:r>
          </w:p>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4E6FFFD0" w14:textId="3FAF9450" w:rsidR="5937A937" w:rsidRDefault="5937A937" w:rsidP="5937A937">
            <w:pPr>
              <w:spacing w:after="120"/>
              <w:jc w:val="center"/>
            </w:pPr>
            <w:r w:rsidRPr="5937A937">
              <w:rPr>
                <w:rFonts w:eastAsia="Calibri" w:cs="Calibri"/>
                <w:sz w:val="18"/>
                <w:szCs w:val="18"/>
                <w:lang w:val="en-GB"/>
              </w:rPr>
              <w:t>Enzymatic saccharification and fermentation</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EFF6A6C" w14:textId="6E181245" w:rsidR="5937A937" w:rsidRDefault="5937A937" w:rsidP="5937A937">
            <w:pPr>
              <w:spacing w:after="120"/>
              <w:jc w:val="center"/>
            </w:pPr>
            <w:r w:rsidRPr="5937A937">
              <w:rPr>
                <w:rFonts w:eastAsia="Calibri" w:cs="Calibri"/>
                <w:sz w:val="18"/>
                <w:szCs w:val="18"/>
                <w:lang w:val="en-GB"/>
              </w:rPr>
              <w:t>Ethanol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3018938" w14:textId="1EE18BEC" w:rsidR="5937A937" w:rsidRDefault="5937A937" w:rsidP="5937A937">
            <w:pPr>
              <w:spacing w:after="120"/>
              <w:jc w:val="center"/>
            </w:pPr>
            <w:r w:rsidRPr="5937A937">
              <w:rPr>
                <w:rFonts w:eastAsia="Calibri" w:cs="Calibri"/>
                <w:sz w:val="18"/>
                <w:szCs w:val="18"/>
                <w:lang w:val="en-GB"/>
              </w:rPr>
              <w:t>TRL 8- 9</w:t>
            </w:r>
          </w:p>
        </w:tc>
      </w:tr>
      <w:tr w:rsidR="5937A937" w14:paraId="584E0793" w14:textId="77777777" w:rsidTr="00A11736">
        <w:trPr>
          <w:jc w:val="center"/>
        </w:trPr>
        <w:tc>
          <w:tcPr>
            <w:tcW w:w="2865" w:type="dxa"/>
            <w:vMerge/>
            <w:tcBorders>
              <w:top w:val="nil"/>
              <w:left w:val="nil"/>
              <w:bottom w:val="nil"/>
              <w:right w:val="nil"/>
            </w:tcBorders>
            <w:vAlign w:val="center"/>
          </w:tcPr>
          <w:p w14:paraId="110063B8" w14:textId="77777777" w:rsidR="003842FD" w:rsidRDefault="003842FD"/>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40C1B864" w14:textId="595464D7" w:rsidR="5937A937" w:rsidRDefault="5937A937" w:rsidP="5937A937">
            <w:pPr>
              <w:spacing w:after="120"/>
              <w:jc w:val="center"/>
            </w:pPr>
            <w:r w:rsidRPr="5937A937">
              <w:rPr>
                <w:rFonts w:eastAsia="Calibri" w:cs="Calibri"/>
                <w:sz w:val="18"/>
                <w:szCs w:val="18"/>
                <w:lang w:val="en-GB"/>
              </w:rPr>
              <w:t>Enzymatic saccharification and fermentation</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2DE585F" w14:textId="0CFF2A15" w:rsidR="5937A937" w:rsidRDefault="5937A937" w:rsidP="5937A937">
            <w:pPr>
              <w:spacing w:after="120"/>
              <w:jc w:val="center"/>
            </w:pPr>
            <w:r w:rsidRPr="5937A937">
              <w:rPr>
                <w:rFonts w:eastAsia="Calibri" w:cs="Calibri"/>
                <w:sz w:val="18"/>
                <w:szCs w:val="18"/>
                <w:lang w:val="en-GB"/>
              </w:rPr>
              <w:t>Methanol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5243084" w14:textId="3ADD63DD" w:rsidR="5937A937" w:rsidRDefault="5937A937" w:rsidP="5937A937">
            <w:pPr>
              <w:spacing w:after="120"/>
              <w:jc w:val="center"/>
            </w:pPr>
            <w:r w:rsidRPr="5937A937">
              <w:rPr>
                <w:rFonts w:eastAsia="Calibri" w:cs="Calibri"/>
                <w:sz w:val="18"/>
                <w:szCs w:val="18"/>
                <w:lang w:val="en-GB"/>
              </w:rPr>
              <w:t>TRL 6-7</w:t>
            </w:r>
          </w:p>
        </w:tc>
      </w:tr>
      <w:tr w:rsidR="5937A937" w14:paraId="5BAEFB40" w14:textId="77777777" w:rsidTr="00A11736">
        <w:trPr>
          <w:jc w:val="center"/>
        </w:trPr>
        <w:tc>
          <w:tcPr>
            <w:tcW w:w="2865" w:type="dxa"/>
            <w:vMerge/>
            <w:tcBorders>
              <w:top w:val="nil"/>
              <w:left w:val="nil"/>
              <w:bottom w:val="nil"/>
              <w:right w:val="nil"/>
            </w:tcBorders>
            <w:vAlign w:val="center"/>
          </w:tcPr>
          <w:p w14:paraId="141B379A" w14:textId="77777777" w:rsidR="003842FD" w:rsidRDefault="003842FD"/>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0BF1B704" w14:textId="71D47458" w:rsidR="5937A937" w:rsidRDefault="5937A937" w:rsidP="5937A937">
            <w:pPr>
              <w:spacing w:after="120"/>
              <w:jc w:val="center"/>
            </w:pPr>
            <w:r w:rsidRPr="5937A937">
              <w:rPr>
                <w:rFonts w:eastAsia="Calibri" w:cs="Calibri"/>
                <w:sz w:val="18"/>
                <w:szCs w:val="18"/>
                <w:lang w:val="en-GB"/>
              </w:rPr>
              <w:t>Hydrolysis</w:t>
            </w:r>
            <w:r w:rsidR="007B1C17">
              <w:rPr>
                <w:rFonts w:eastAsia="Calibri" w:cs="Calibri"/>
                <w:sz w:val="18"/>
                <w:szCs w:val="18"/>
                <w:lang w:val="en-GB"/>
              </w:rPr>
              <w:t xml:space="preserve"> and fermentation</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12309BB6" w14:textId="71D8E2D5" w:rsidR="5937A937" w:rsidRDefault="5937A937" w:rsidP="5937A937">
            <w:pPr>
              <w:spacing w:after="120"/>
              <w:jc w:val="center"/>
            </w:pPr>
            <w:r w:rsidRPr="5937A937">
              <w:rPr>
                <w:rFonts w:eastAsia="Calibri" w:cs="Calibri"/>
                <w:sz w:val="18"/>
                <w:szCs w:val="18"/>
                <w:lang w:val="en-GB"/>
              </w:rPr>
              <w:t>Butanol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48F3BEB8" w14:textId="14B4DA6F" w:rsidR="5937A937" w:rsidRDefault="5937A937" w:rsidP="5937A937">
            <w:pPr>
              <w:spacing w:after="120"/>
              <w:jc w:val="center"/>
            </w:pPr>
            <w:r w:rsidRPr="5937A937">
              <w:rPr>
                <w:rFonts w:eastAsia="Calibri" w:cs="Calibri"/>
                <w:sz w:val="18"/>
                <w:szCs w:val="18"/>
                <w:lang w:val="en-GB"/>
              </w:rPr>
              <w:t>TRL 6-8</w:t>
            </w:r>
          </w:p>
        </w:tc>
      </w:tr>
      <w:tr w:rsidR="5937A937" w14:paraId="44068490" w14:textId="77777777" w:rsidTr="00A11736">
        <w:trPr>
          <w:jc w:val="center"/>
        </w:trPr>
        <w:tc>
          <w:tcPr>
            <w:tcW w:w="2865" w:type="dxa"/>
            <w:vMerge/>
            <w:tcBorders>
              <w:top w:val="nil"/>
              <w:left w:val="nil"/>
              <w:bottom w:val="nil"/>
              <w:right w:val="nil"/>
            </w:tcBorders>
            <w:vAlign w:val="center"/>
          </w:tcPr>
          <w:p w14:paraId="6E77A1A5" w14:textId="77777777" w:rsidR="003842FD" w:rsidRDefault="003842FD"/>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677374E4" w14:textId="7CEC3B85" w:rsidR="5937A937" w:rsidRDefault="00A934B6" w:rsidP="5937A937">
            <w:pPr>
              <w:spacing w:after="120"/>
              <w:jc w:val="center"/>
            </w:pPr>
            <w:r>
              <w:rPr>
                <w:rFonts w:eastAsia="Calibri" w:cs="Calibri"/>
                <w:sz w:val="18"/>
                <w:szCs w:val="18"/>
                <w:lang w:val="en-GB"/>
              </w:rPr>
              <w:t>S</w:t>
            </w:r>
            <w:r w:rsidR="5937A937" w:rsidRPr="5937A937">
              <w:rPr>
                <w:rFonts w:eastAsia="Calibri" w:cs="Calibri"/>
                <w:sz w:val="18"/>
                <w:szCs w:val="18"/>
                <w:lang w:val="en-GB"/>
              </w:rPr>
              <w:t>olvolysis</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148F2F76" w14:textId="48AAEE3E" w:rsidR="5937A937" w:rsidRDefault="5937A937" w:rsidP="5937A937">
            <w:pPr>
              <w:spacing w:after="120"/>
              <w:jc w:val="center"/>
            </w:pPr>
            <w:r w:rsidRPr="5937A937">
              <w:rPr>
                <w:rFonts w:eastAsia="Calibri" w:cs="Calibri"/>
                <w:sz w:val="18"/>
                <w:szCs w:val="18"/>
                <w:lang w:val="en-GB"/>
              </w:rPr>
              <w:t>Lignin diesel oil (LDO)</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34FABC8D" w14:textId="589D49DB" w:rsidR="5937A937" w:rsidRDefault="5937A937" w:rsidP="5937A937">
            <w:pPr>
              <w:spacing w:after="120"/>
              <w:jc w:val="center"/>
            </w:pPr>
            <w:r w:rsidRPr="5937A937">
              <w:rPr>
                <w:rFonts w:eastAsia="Calibri" w:cs="Calibri"/>
                <w:sz w:val="18"/>
                <w:szCs w:val="18"/>
                <w:lang w:val="en-GB"/>
              </w:rPr>
              <w:t xml:space="preserve">TRL </w:t>
            </w:r>
            <w:r w:rsidR="00A934B6">
              <w:rPr>
                <w:rFonts w:eastAsia="Calibri" w:cs="Calibri"/>
                <w:sz w:val="18"/>
                <w:szCs w:val="18"/>
                <w:lang w:val="en-GB"/>
              </w:rPr>
              <w:t>6</w:t>
            </w:r>
            <w:r w:rsidRPr="5937A937">
              <w:rPr>
                <w:rFonts w:eastAsia="Calibri" w:cs="Calibri"/>
                <w:sz w:val="18"/>
                <w:szCs w:val="18"/>
                <w:lang w:val="en-GB"/>
              </w:rPr>
              <w:t>-</w:t>
            </w:r>
            <w:r w:rsidR="009C1C87">
              <w:rPr>
                <w:rFonts w:eastAsia="Calibri" w:cs="Calibri"/>
                <w:sz w:val="18"/>
                <w:szCs w:val="18"/>
                <w:lang w:val="en-GB"/>
              </w:rPr>
              <w:t>7</w:t>
            </w:r>
          </w:p>
        </w:tc>
      </w:tr>
      <w:tr w:rsidR="5937A937" w14:paraId="7C63C5C7" w14:textId="77777777" w:rsidTr="00A11736">
        <w:trPr>
          <w:jc w:val="center"/>
        </w:trPr>
        <w:tc>
          <w:tcPr>
            <w:tcW w:w="2865" w:type="dxa"/>
            <w:tcBorders>
              <w:top w:val="nil"/>
              <w:left w:val="none" w:sz="4" w:space="0" w:color="000000"/>
              <w:bottom w:val="none" w:sz="4" w:space="0" w:color="000000"/>
              <w:right w:val="none" w:sz="4" w:space="0" w:color="000000"/>
            </w:tcBorders>
            <w:shd w:val="clear" w:color="auto" w:fill="FFFFFF" w:themeFill="background1"/>
            <w:vAlign w:val="center"/>
          </w:tcPr>
          <w:p w14:paraId="16E2D5DB" w14:textId="181F2D19" w:rsidR="5937A937" w:rsidRDefault="5937A937" w:rsidP="5937A937">
            <w:pPr>
              <w:spacing w:after="120"/>
              <w:jc w:val="center"/>
            </w:pPr>
            <w:r w:rsidRPr="5937A937">
              <w:rPr>
                <w:rFonts w:eastAsia="Calibri" w:cs="Calibri"/>
                <w:sz w:val="18"/>
                <w:szCs w:val="18"/>
                <w:lang w:val="en-GB"/>
              </w:rPr>
              <w:t xml:space="preserve">Lignocellulose, solid and liquid industrial streams </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9F41DB7" w14:textId="3783EEBF" w:rsidR="5937A937" w:rsidRDefault="5937A937" w:rsidP="5937A937">
            <w:pPr>
              <w:spacing w:after="120"/>
              <w:jc w:val="center"/>
            </w:pPr>
            <w:r w:rsidRPr="5937A937">
              <w:rPr>
                <w:rFonts w:eastAsia="Calibri" w:cs="Calibri"/>
                <w:sz w:val="18"/>
                <w:szCs w:val="18"/>
                <w:lang w:val="en-GB"/>
              </w:rPr>
              <w:t>Gasification and catalytic synthesis</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9CECDC6" w14:textId="640E2B52" w:rsidR="5937A937" w:rsidRDefault="5937A937" w:rsidP="5937A937">
            <w:pPr>
              <w:spacing w:after="120"/>
              <w:jc w:val="center"/>
            </w:pPr>
            <w:r w:rsidRPr="5937A937">
              <w:rPr>
                <w:rFonts w:eastAsia="Calibri" w:cs="Calibri"/>
                <w:sz w:val="18"/>
                <w:szCs w:val="18"/>
                <w:lang w:val="en-GB"/>
              </w:rPr>
              <w:t>Synthetic Fuel (Methanol, Ethanol, Long chain hydrocarbons)</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65DC9B23" w14:textId="1C52ED44" w:rsidR="5937A937" w:rsidRDefault="5937A937" w:rsidP="5937A937">
            <w:pPr>
              <w:spacing w:after="120"/>
              <w:jc w:val="center"/>
            </w:pPr>
            <w:r w:rsidRPr="5937A937">
              <w:rPr>
                <w:rFonts w:eastAsia="Calibri" w:cs="Calibri"/>
                <w:sz w:val="18"/>
                <w:szCs w:val="18"/>
                <w:lang w:val="en-GB"/>
              </w:rPr>
              <w:t>TRL 6-7</w:t>
            </w:r>
          </w:p>
        </w:tc>
      </w:tr>
      <w:tr w:rsidR="5937A937" w14:paraId="50F170D1" w14:textId="77777777" w:rsidTr="00A11736">
        <w:trPr>
          <w:jc w:val="center"/>
        </w:trPr>
        <w:tc>
          <w:tcPr>
            <w:tcW w:w="286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38700089" w14:textId="1ECF6C8B" w:rsidR="5937A937" w:rsidRDefault="5937A937" w:rsidP="5937A937">
            <w:pPr>
              <w:spacing w:after="120"/>
              <w:jc w:val="center"/>
            </w:pPr>
            <w:r w:rsidRPr="5937A937">
              <w:rPr>
                <w:rFonts w:eastAsia="Calibri" w:cs="Calibri"/>
                <w:sz w:val="18"/>
                <w:szCs w:val="18"/>
                <w:lang w:val="en-GB"/>
              </w:rPr>
              <w:t>Lignocellulose and</w:t>
            </w:r>
            <w:r w:rsidR="00AD1ED7">
              <w:rPr>
                <w:rFonts w:eastAsia="Calibri" w:cs="Calibri"/>
                <w:sz w:val="18"/>
                <w:szCs w:val="18"/>
                <w:lang w:val="en-GB"/>
              </w:rPr>
              <w:t xml:space="preserve"> Municipal solid waste.</w:t>
            </w:r>
            <w:r w:rsidRPr="5937A937">
              <w:rPr>
                <w:rFonts w:eastAsia="Calibri" w:cs="Calibri"/>
                <w:sz w:val="18"/>
                <w:szCs w:val="18"/>
                <w:lang w:val="en-GB"/>
              </w:rPr>
              <w:t xml:space="preserve"> </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42D76AF" w14:textId="50B9B41C" w:rsidR="5937A937" w:rsidRDefault="5937A937" w:rsidP="5937A937">
            <w:pPr>
              <w:spacing w:after="120"/>
              <w:jc w:val="center"/>
            </w:pPr>
            <w:r w:rsidRPr="5937A937">
              <w:rPr>
                <w:rFonts w:eastAsia="Calibri" w:cs="Calibri"/>
                <w:sz w:val="18"/>
                <w:szCs w:val="18"/>
                <w:lang w:val="en-GB"/>
              </w:rPr>
              <w:t>Pyrolysis, liquefaction, hydrotreatment</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7F4B0360" w14:textId="52D5C26B" w:rsidR="5937A937" w:rsidRDefault="5937A937" w:rsidP="5937A937">
            <w:pPr>
              <w:spacing w:after="120"/>
              <w:jc w:val="center"/>
            </w:pPr>
            <w:r w:rsidRPr="5937A937">
              <w:rPr>
                <w:rFonts w:eastAsia="Calibri" w:cs="Calibri"/>
                <w:sz w:val="18"/>
                <w:szCs w:val="18"/>
                <w:lang w:val="en-GB"/>
              </w:rPr>
              <w:t>Bio-oil, bio-crude</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6A4D7422" w14:textId="36A0CC08" w:rsidR="5937A937" w:rsidRDefault="5937A937" w:rsidP="5937A937">
            <w:pPr>
              <w:spacing w:after="120"/>
              <w:jc w:val="center"/>
            </w:pPr>
            <w:r w:rsidRPr="5937A937">
              <w:rPr>
                <w:rFonts w:eastAsia="Calibri" w:cs="Calibri"/>
                <w:sz w:val="18"/>
                <w:szCs w:val="18"/>
                <w:lang w:val="en-GB"/>
              </w:rPr>
              <w:t>TRL 4-5</w:t>
            </w:r>
          </w:p>
        </w:tc>
      </w:tr>
      <w:tr w:rsidR="5937A937" w14:paraId="7D3D67A3" w14:textId="77777777" w:rsidTr="00A11736">
        <w:trPr>
          <w:jc w:val="center"/>
        </w:trPr>
        <w:tc>
          <w:tcPr>
            <w:tcW w:w="286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023203EA" w14:textId="322477A9" w:rsidR="5937A937" w:rsidRDefault="5937A937" w:rsidP="5937A937">
            <w:pPr>
              <w:spacing w:after="120"/>
              <w:jc w:val="center"/>
            </w:pPr>
            <w:r w:rsidRPr="5937A937">
              <w:rPr>
                <w:rFonts w:eastAsia="Calibri" w:cs="Calibri"/>
                <w:sz w:val="18"/>
                <w:szCs w:val="18"/>
                <w:lang w:val="en-GB"/>
              </w:rPr>
              <w:t>Wood extractives pulping</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12DB2C6F" w14:textId="3BD3D937" w:rsidR="5937A937" w:rsidRDefault="5937A937" w:rsidP="5937A937">
            <w:pPr>
              <w:spacing w:after="120"/>
              <w:jc w:val="center"/>
            </w:pPr>
            <w:r w:rsidRPr="5937A937">
              <w:rPr>
                <w:rFonts w:eastAsia="Calibri" w:cs="Calibri"/>
                <w:sz w:val="18"/>
                <w:szCs w:val="18"/>
                <w:lang w:val="en-GB"/>
              </w:rPr>
              <w:t>Catalytic upgrading</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3CE6F187" w14:textId="05FF3E48" w:rsidR="5937A937" w:rsidRDefault="5937A937" w:rsidP="5937A937">
            <w:pPr>
              <w:spacing w:after="120"/>
              <w:jc w:val="center"/>
            </w:pPr>
            <w:r w:rsidRPr="5937A937">
              <w:rPr>
                <w:rFonts w:eastAsia="Calibri" w:cs="Calibri"/>
                <w:sz w:val="18"/>
                <w:szCs w:val="18"/>
                <w:lang w:val="en-GB"/>
              </w:rPr>
              <w:t>Renewable diesel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6CE2D364" w14:textId="78AA76CA" w:rsidR="5937A937" w:rsidRDefault="5937A937" w:rsidP="5937A937">
            <w:pPr>
              <w:spacing w:after="120"/>
              <w:jc w:val="center"/>
            </w:pPr>
            <w:r w:rsidRPr="5937A937">
              <w:rPr>
                <w:rFonts w:eastAsia="Calibri" w:cs="Calibri"/>
                <w:sz w:val="18"/>
                <w:szCs w:val="18"/>
                <w:lang w:val="en-GB"/>
              </w:rPr>
              <w:t>TRL 8-9</w:t>
            </w:r>
          </w:p>
        </w:tc>
      </w:tr>
      <w:tr w:rsidR="5937A937" w14:paraId="5B4866ED" w14:textId="77777777" w:rsidTr="00A11736">
        <w:trPr>
          <w:jc w:val="center"/>
        </w:trPr>
        <w:tc>
          <w:tcPr>
            <w:tcW w:w="2865" w:type="dxa"/>
            <w:tcBorders>
              <w:top w:val="none" w:sz="4" w:space="0" w:color="000000"/>
              <w:left w:val="nil"/>
              <w:bottom w:val="single" w:sz="8" w:space="0" w:color="auto"/>
              <w:right w:val="nil"/>
            </w:tcBorders>
            <w:vAlign w:val="center"/>
          </w:tcPr>
          <w:p w14:paraId="4190E93D" w14:textId="1180E3CD" w:rsidR="5937A937" w:rsidRDefault="5937A937" w:rsidP="5937A937">
            <w:pPr>
              <w:spacing w:after="120"/>
              <w:jc w:val="center"/>
            </w:pPr>
            <w:r w:rsidRPr="5937A937">
              <w:rPr>
                <w:rFonts w:eastAsia="Calibri" w:cs="Calibri"/>
                <w:sz w:val="18"/>
                <w:szCs w:val="18"/>
                <w:lang w:val="en-GB"/>
              </w:rPr>
              <w:t>CO</w:t>
            </w:r>
            <w:r w:rsidRPr="5937A937">
              <w:rPr>
                <w:rFonts w:eastAsia="Calibri" w:cs="Calibri"/>
                <w:sz w:val="18"/>
                <w:szCs w:val="18"/>
                <w:vertAlign w:val="subscript"/>
                <w:lang w:val="en-GB"/>
              </w:rPr>
              <w:t>2</w:t>
            </w:r>
            <w:r w:rsidRPr="5937A937">
              <w:rPr>
                <w:rFonts w:eastAsia="Calibri" w:cs="Calibri"/>
                <w:sz w:val="18"/>
                <w:szCs w:val="18"/>
                <w:lang w:val="en-GB"/>
              </w:rPr>
              <w:t xml:space="preserve"> from renewable systems</w:t>
            </w:r>
          </w:p>
        </w:tc>
        <w:tc>
          <w:tcPr>
            <w:tcW w:w="1950" w:type="dxa"/>
            <w:tcBorders>
              <w:top w:val="none" w:sz="4" w:space="0" w:color="000000"/>
              <w:left w:val="nil"/>
              <w:bottom w:val="single" w:sz="8" w:space="0" w:color="auto"/>
              <w:right w:val="nil"/>
            </w:tcBorders>
            <w:vAlign w:val="center"/>
          </w:tcPr>
          <w:p w14:paraId="699220DF" w14:textId="171E08BF" w:rsidR="5937A937" w:rsidRDefault="5937A937" w:rsidP="5937A937">
            <w:pPr>
              <w:spacing w:after="120"/>
              <w:jc w:val="center"/>
            </w:pPr>
            <w:r w:rsidRPr="5937A937">
              <w:rPr>
                <w:rFonts w:eastAsia="Calibri" w:cs="Calibri"/>
                <w:sz w:val="18"/>
                <w:szCs w:val="18"/>
                <w:lang w:val="en-GB"/>
              </w:rPr>
              <w:t>Reaction with renewable H2</w:t>
            </w:r>
          </w:p>
        </w:tc>
        <w:tc>
          <w:tcPr>
            <w:tcW w:w="2415" w:type="dxa"/>
            <w:tcBorders>
              <w:top w:val="none" w:sz="4" w:space="0" w:color="000000"/>
              <w:left w:val="nil"/>
              <w:bottom w:val="single" w:sz="8" w:space="0" w:color="auto"/>
              <w:right w:val="nil"/>
            </w:tcBorders>
            <w:vAlign w:val="center"/>
          </w:tcPr>
          <w:p w14:paraId="57E2BE34" w14:textId="3D0A129A" w:rsidR="5937A937" w:rsidRDefault="5937A937" w:rsidP="5937A937">
            <w:pPr>
              <w:spacing w:after="120"/>
              <w:jc w:val="center"/>
            </w:pPr>
            <w:r w:rsidRPr="5937A937">
              <w:rPr>
                <w:rFonts w:eastAsia="Calibri" w:cs="Calibri"/>
                <w:sz w:val="18"/>
                <w:szCs w:val="18"/>
                <w:lang w:val="en-GB"/>
              </w:rPr>
              <w:t>Synthetic fuels</w:t>
            </w:r>
          </w:p>
        </w:tc>
        <w:tc>
          <w:tcPr>
            <w:tcW w:w="1320" w:type="dxa"/>
            <w:tcBorders>
              <w:top w:val="none" w:sz="4" w:space="0" w:color="000000"/>
              <w:left w:val="nil"/>
              <w:bottom w:val="single" w:sz="8" w:space="0" w:color="auto"/>
              <w:right w:val="nil"/>
            </w:tcBorders>
            <w:vAlign w:val="center"/>
          </w:tcPr>
          <w:p w14:paraId="4F3364C5" w14:textId="2904ED36" w:rsidR="5937A937" w:rsidRDefault="5937A937" w:rsidP="5937A937">
            <w:pPr>
              <w:spacing w:after="120"/>
              <w:jc w:val="center"/>
            </w:pPr>
            <w:r w:rsidRPr="5937A937">
              <w:rPr>
                <w:rFonts w:eastAsia="Calibri" w:cs="Calibri"/>
                <w:sz w:val="18"/>
                <w:szCs w:val="18"/>
                <w:lang w:val="en-GB"/>
              </w:rPr>
              <w:t>TRL 6-7</w:t>
            </w:r>
          </w:p>
        </w:tc>
      </w:tr>
    </w:tbl>
    <w:p w14:paraId="4A674CC7" w14:textId="1C903FA3" w:rsidR="5937A937" w:rsidRDefault="5937A937" w:rsidP="5937A937">
      <w:pPr>
        <w:spacing w:line="360" w:lineRule="auto"/>
        <w:ind w:firstLine="444"/>
        <w:rPr>
          <w:rFonts w:eastAsia="Calibri" w:cs="Calibri"/>
          <w:sz w:val="22"/>
          <w:szCs w:val="22"/>
          <w:lang w:val="en-GB"/>
        </w:rPr>
      </w:pPr>
    </w:p>
    <w:p w14:paraId="708EF8B4" w14:textId="00C78AB0" w:rsidR="344048DE" w:rsidRDefault="50B1003E" w:rsidP="0015719B">
      <w:pPr>
        <w:spacing w:after="20" w:line="360" w:lineRule="auto"/>
        <w:ind w:firstLine="720"/>
        <w:rPr>
          <w:rFonts w:asciiTheme="majorHAnsi" w:eastAsiaTheme="majorEastAsia" w:hAnsiTheme="majorHAnsi" w:cstheme="majorBidi"/>
          <w:sz w:val="22"/>
          <w:szCs w:val="22"/>
          <w:lang w:val="en-GB"/>
        </w:rPr>
      </w:pPr>
      <w:r w:rsidRPr="5937A937">
        <w:rPr>
          <w:rFonts w:asciiTheme="majorHAnsi" w:eastAsiaTheme="majorEastAsia" w:hAnsiTheme="majorHAnsi" w:cstheme="majorBidi"/>
          <w:sz w:val="22"/>
          <w:szCs w:val="22"/>
          <w:lang w:val="en-GB"/>
        </w:rPr>
        <w:t>For the end user, besides pricing</w:t>
      </w:r>
      <w:r w:rsidR="0015719B">
        <w:rPr>
          <w:rFonts w:asciiTheme="majorHAnsi" w:eastAsiaTheme="majorEastAsia" w:hAnsiTheme="majorHAnsi" w:cstheme="majorBidi"/>
          <w:sz w:val="22"/>
          <w:szCs w:val="22"/>
          <w:lang w:val="en-GB"/>
        </w:rPr>
        <w:t>,</w:t>
      </w:r>
      <w:r w:rsidRPr="5937A937">
        <w:rPr>
          <w:rFonts w:asciiTheme="majorHAnsi" w:eastAsiaTheme="majorEastAsia" w:hAnsiTheme="majorHAnsi" w:cstheme="majorBidi"/>
          <w:sz w:val="22"/>
          <w:szCs w:val="22"/>
          <w:lang w:val="en-GB"/>
        </w:rPr>
        <w:t xml:space="preserve"> it is important to consider the technical </w:t>
      </w:r>
      <w:r w:rsidR="0015719B">
        <w:rPr>
          <w:rFonts w:asciiTheme="majorHAnsi" w:eastAsiaTheme="majorEastAsia" w:hAnsiTheme="majorHAnsi" w:cstheme="majorBidi"/>
          <w:sz w:val="22"/>
          <w:szCs w:val="22"/>
          <w:lang w:val="en-GB"/>
        </w:rPr>
        <w:t>aspects of the solution</w:t>
      </w:r>
      <w:r w:rsidRPr="5937A937">
        <w:rPr>
          <w:rFonts w:asciiTheme="majorHAnsi" w:eastAsiaTheme="majorEastAsia" w:hAnsiTheme="majorHAnsi" w:cstheme="majorBidi"/>
          <w:sz w:val="22"/>
          <w:szCs w:val="22"/>
          <w:lang w:val="en-GB"/>
        </w:rPr>
        <w:t xml:space="preserve">. The use of advanced fuels will depend on the fuel quality, compatibility with the engine, GHG emission reduction and the infrastructure required (Panoutsou et al., 2021).  </w:t>
      </w:r>
      <w:r w:rsidR="0E523C37" w:rsidRPr="5937A937">
        <w:rPr>
          <w:rFonts w:asciiTheme="majorHAnsi" w:eastAsiaTheme="majorEastAsia" w:hAnsiTheme="majorHAnsi" w:cstheme="majorBidi"/>
          <w:sz w:val="22"/>
          <w:szCs w:val="22"/>
          <w:lang w:val="en-GB"/>
        </w:rPr>
        <w:t>Competition in this area include fuels like Pure Plant Oil (PPO) or Straight Vegetable Oil (SVO), Hydrotreated Vegetable Oil (HVO), Upgraded Pyrolysis Oil (UPO), biodiesel (FAME), and FT diesel.</w:t>
      </w:r>
    </w:p>
    <w:p w14:paraId="590F6165" w14:textId="77777777" w:rsidR="0015719B" w:rsidRPr="00650B23" w:rsidRDefault="654CA926" w:rsidP="0015719B">
      <w:pPr>
        <w:spacing w:line="360" w:lineRule="auto"/>
        <w:ind w:firstLine="720"/>
      </w:pPr>
      <w:r w:rsidRPr="5937A937">
        <w:rPr>
          <w:rFonts w:asciiTheme="majorHAnsi" w:eastAsiaTheme="majorEastAsia" w:hAnsiTheme="majorHAnsi" w:cstheme="majorBidi"/>
          <w:sz w:val="22"/>
          <w:szCs w:val="22"/>
          <w:lang w:val="en-GB"/>
        </w:rPr>
        <w:t xml:space="preserve">The infrastructure needs to be considered, as some </w:t>
      </w:r>
      <w:r w:rsidR="0015719B">
        <w:rPr>
          <w:rFonts w:asciiTheme="majorHAnsi" w:eastAsiaTheme="majorEastAsia" w:hAnsiTheme="majorHAnsi" w:cstheme="majorBidi"/>
          <w:sz w:val="22"/>
          <w:szCs w:val="22"/>
          <w:lang w:val="en-GB"/>
        </w:rPr>
        <w:t>alternative fuels</w:t>
      </w:r>
      <w:r w:rsidRPr="5937A937">
        <w:rPr>
          <w:rFonts w:asciiTheme="majorHAnsi" w:eastAsiaTheme="majorEastAsia" w:hAnsiTheme="majorHAnsi" w:cstheme="majorBidi"/>
          <w:sz w:val="22"/>
          <w:szCs w:val="22"/>
          <w:lang w:val="en-GB"/>
        </w:rPr>
        <w:t xml:space="preserve"> </w:t>
      </w:r>
      <w:r w:rsidR="0015719B">
        <w:rPr>
          <w:rFonts w:asciiTheme="majorHAnsi" w:eastAsiaTheme="majorEastAsia" w:hAnsiTheme="majorHAnsi" w:cstheme="majorBidi"/>
          <w:sz w:val="22"/>
          <w:szCs w:val="22"/>
          <w:lang w:val="en-GB"/>
        </w:rPr>
        <w:t>will require extra investment for infrastructure and retrofitting</w:t>
      </w:r>
      <w:r w:rsidRPr="5937A937">
        <w:rPr>
          <w:rFonts w:asciiTheme="majorHAnsi" w:eastAsiaTheme="majorEastAsia" w:hAnsiTheme="majorHAnsi" w:cstheme="majorBidi"/>
          <w:sz w:val="22"/>
          <w:szCs w:val="22"/>
          <w:lang w:val="en-GB"/>
        </w:rPr>
        <w:t xml:space="preserve">. </w:t>
      </w:r>
      <w:r w:rsidR="494DF0FF" w:rsidRPr="5937A937">
        <w:rPr>
          <w:rFonts w:asciiTheme="majorHAnsi" w:eastAsiaTheme="majorEastAsia" w:hAnsiTheme="majorHAnsi" w:cstheme="majorBidi"/>
          <w:sz w:val="22"/>
          <w:szCs w:val="22"/>
          <w:lang w:val="en-GB"/>
        </w:rPr>
        <w:t>F</w:t>
      </w:r>
      <w:r w:rsidRPr="5937A937">
        <w:rPr>
          <w:rFonts w:asciiTheme="majorHAnsi" w:eastAsiaTheme="majorEastAsia" w:hAnsiTheme="majorHAnsi" w:cstheme="majorBidi"/>
          <w:sz w:val="22"/>
          <w:szCs w:val="22"/>
          <w:lang w:val="en-GB"/>
        </w:rPr>
        <w:t>ig</w:t>
      </w:r>
      <w:r w:rsidR="0015719B">
        <w:rPr>
          <w:rFonts w:asciiTheme="majorHAnsi" w:eastAsiaTheme="majorEastAsia" w:hAnsiTheme="majorHAnsi" w:cstheme="majorBidi"/>
          <w:sz w:val="22"/>
          <w:szCs w:val="22"/>
          <w:lang w:val="en-GB"/>
        </w:rPr>
        <w:t xml:space="preserve">ure </w:t>
      </w:r>
      <w:r w:rsidRPr="5937A937">
        <w:rPr>
          <w:rFonts w:asciiTheme="majorHAnsi" w:eastAsiaTheme="majorEastAsia" w:hAnsiTheme="majorHAnsi" w:cstheme="majorBidi"/>
          <w:sz w:val="22"/>
          <w:szCs w:val="22"/>
          <w:lang w:val="en-GB"/>
        </w:rPr>
        <w:t xml:space="preserve"> </w:t>
      </w:r>
      <w:r w:rsidR="59401C0E" w:rsidRPr="5937A937">
        <w:rPr>
          <w:rFonts w:asciiTheme="majorHAnsi" w:eastAsiaTheme="majorEastAsia" w:hAnsiTheme="majorHAnsi" w:cstheme="majorBidi"/>
          <w:sz w:val="22"/>
          <w:szCs w:val="22"/>
          <w:lang w:val="en-GB"/>
        </w:rPr>
        <w:t>9</w:t>
      </w:r>
      <w:r w:rsidRPr="5937A937">
        <w:rPr>
          <w:rFonts w:asciiTheme="majorHAnsi" w:eastAsiaTheme="majorEastAsia" w:hAnsiTheme="majorHAnsi" w:cstheme="majorBidi"/>
          <w:sz w:val="22"/>
          <w:szCs w:val="22"/>
          <w:lang w:val="en-GB"/>
        </w:rPr>
        <w:t xml:space="preserve">, </w:t>
      </w:r>
      <w:r w:rsidR="0015719B">
        <w:rPr>
          <w:rFonts w:asciiTheme="majorHAnsi" w:eastAsiaTheme="majorEastAsia" w:hAnsiTheme="majorHAnsi" w:cstheme="majorBidi"/>
          <w:sz w:val="22"/>
          <w:szCs w:val="22"/>
          <w:lang w:val="en-GB"/>
        </w:rPr>
        <w:t>illustrates the relationship of some alternative fuels with regard to infrastructure and compatibility with current fleet.</w:t>
      </w:r>
      <w:r w:rsidRPr="5937A937">
        <w:rPr>
          <w:rFonts w:asciiTheme="majorHAnsi" w:eastAsiaTheme="majorEastAsia" w:hAnsiTheme="majorHAnsi" w:cstheme="majorBidi"/>
          <w:sz w:val="22"/>
          <w:szCs w:val="22"/>
          <w:lang w:val="en-GB"/>
        </w:rPr>
        <w:t xml:space="preserve"> </w:t>
      </w:r>
      <w:r w:rsidR="0015719B" w:rsidRPr="0015719B">
        <w:rPr>
          <w:rFonts w:asciiTheme="majorHAnsi" w:eastAsiaTheme="majorEastAsia" w:hAnsiTheme="majorHAnsi" w:cstheme="majorBidi"/>
          <w:sz w:val="22"/>
          <w:szCs w:val="22"/>
          <w:lang w:val="en-GB"/>
        </w:rPr>
        <w:t>There is the tendency of fleet operators to work with multiple-fuels, in order to cope with new legislatives requirements and minimize the future uncertainties.</w:t>
      </w:r>
      <w:r w:rsidR="0015719B" w:rsidRPr="59587566">
        <w:rPr>
          <w:rFonts w:eastAsia="Calibri" w:cs="Calibri"/>
          <w:lang w:val="en-GB"/>
        </w:rPr>
        <w:t xml:space="preserve">  </w:t>
      </w:r>
    </w:p>
    <w:p w14:paraId="51A6664B" w14:textId="416200D4" w:rsidR="00C53804" w:rsidRPr="00650B23" w:rsidRDefault="654CA926" w:rsidP="65215FB1">
      <w:pPr>
        <w:spacing w:line="360" w:lineRule="auto"/>
      </w:pPr>
      <w:r w:rsidRPr="5937A937">
        <w:rPr>
          <w:rFonts w:eastAsia="Calibri" w:cs="Calibri"/>
          <w:lang w:val="en-GB"/>
        </w:rPr>
        <w:lastRenderedPageBreak/>
        <w:t xml:space="preserve"> </w:t>
      </w:r>
    </w:p>
    <w:p w14:paraId="0394C0C4" w14:textId="67909D96" w:rsidR="00C53804" w:rsidRPr="00650B23" w:rsidRDefault="5B6287BF" w:rsidP="65215FB1">
      <w:pPr>
        <w:spacing w:line="360" w:lineRule="auto"/>
        <w:jc w:val="center"/>
      </w:pPr>
      <w:r>
        <w:rPr>
          <w:noProof/>
        </w:rPr>
        <w:drawing>
          <wp:inline distT="0" distB="0" distL="0" distR="0" wp14:anchorId="28017527" wp14:editId="214EFE89">
            <wp:extent cx="5704885" cy="1343025"/>
            <wp:effectExtent l="0" t="0" r="0" b="0"/>
            <wp:docPr id="680010453" name="Picture 68001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10971" cy="1344458"/>
                    </a:xfrm>
                    <a:prstGeom prst="rect">
                      <a:avLst/>
                    </a:prstGeom>
                  </pic:spPr>
                </pic:pic>
              </a:graphicData>
            </a:graphic>
          </wp:inline>
        </w:drawing>
      </w:r>
    </w:p>
    <w:p w14:paraId="665AAF29" w14:textId="3CAA3109" w:rsidR="00C53804" w:rsidRPr="00650B23" w:rsidRDefault="654CA926" w:rsidP="65215FB1">
      <w:pPr>
        <w:spacing w:line="360" w:lineRule="auto"/>
      </w:pPr>
      <w:r w:rsidRPr="5937A937">
        <w:rPr>
          <w:rFonts w:eastAsia="Calibri" w:cs="Calibri"/>
          <w:b/>
          <w:bCs/>
          <w:color w:val="4C565C"/>
          <w:sz w:val="18"/>
          <w:szCs w:val="18"/>
          <w:lang w:val="en-GB"/>
        </w:rPr>
        <w:t xml:space="preserve">Figure </w:t>
      </w:r>
      <w:r w:rsidR="6C3CF28B" w:rsidRPr="5937A937">
        <w:rPr>
          <w:rFonts w:eastAsia="Calibri" w:cs="Calibri"/>
          <w:b/>
          <w:bCs/>
          <w:color w:val="4C565C"/>
          <w:sz w:val="18"/>
          <w:szCs w:val="18"/>
          <w:lang w:val="en-GB"/>
        </w:rPr>
        <w:t>9</w:t>
      </w:r>
      <w:r w:rsidRPr="5937A937">
        <w:rPr>
          <w:rFonts w:eastAsia="Calibri" w:cs="Calibri"/>
          <w:b/>
          <w:bCs/>
          <w:color w:val="4C565C"/>
          <w:sz w:val="18"/>
          <w:szCs w:val="18"/>
          <w:lang w:val="en-GB"/>
        </w:rPr>
        <w:t xml:space="preserve">. Infrastructure indicators for renewable fuels in EU. (Left) Indicates the availability according to </w:t>
      </w:r>
      <w:r w:rsidR="00642C02">
        <w:rPr>
          <w:rFonts w:eastAsia="Calibri" w:cs="Calibri"/>
          <w:b/>
          <w:bCs/>
          <w:color w:val="4C565C"/>
          <w:sz w:val="18"/>
          <w:szCs w:val="18"/>
          <w:lang w:val="en-GB"/>
        </w:rPr>
        <w:t>the</w:t>
      </w:r>
      <w:r w:rsidRPr="5937A937">
        <w:rPr>
          <w:rFonts w:eastAsia="Calibri" w:cs="Calibri"/>
          <w:b/>
          <w:bCs/>
          <w:color w:val="4C565C"/>
          <w:sz w:val="18"/>
          <w:szCs w:val="18"/>
          <w:lang w:val="en-GB"/>
        </w:rPr>
        <w:t xml:space="preserve"> fuel, (right) indicates the </w:t>
      </w:r>
      <w:r w:rsidR="00E50E06">
        <w:rPr>
          <w:rFonts w:eastAsia="Calibri" w:cs="Calibri"/>
          <w:b/>
          <w:bCs/>
          <w:color w:val="4C565C"/>
          <w:sz w:val="18"/>
          <w:szCs w:val="18"/>
          <w:lang w:val="en-GB"/>
        </w:rPr>
        <w:t xml:space="preserve"> compatibility </w:t>
      </w:r>
      <w:r w:rsidR="008B3EEE">
        <w:rPr>
          <w:rFonts w:eastAsia="Calibri" w:cs="Calibri"/>
          <w:b/>
          <w:bCs/>
          <w:color w:val="4C565C"/>
          <w:sz w:val="18"/>
          <w:szCs w:val="18"/>
          <w:lang w:val="en-GB"/>
        </w:rPr>
        <w:t xml:space="preserve">with the current </w:t>
      </w:r>
      <w:r w:rsidRPr="5937A937">
        <w:rPr>
          <w:rFonts w:eastAsia="Calibri" w:cs="Calibri"/>
          <w:b/>
          <w:bCs/>
          <w:color w:val="4C565C"/>
          <w:sz w:val="18"/>
          <w:szCs w:val="18"/>
          <w:lang w:val="en-GB"/>
        </w:rPr>
        <w:t xml:space="preserve"> infrastructure according to the fuel (</w:t>
      </w:r>
      <w:r w:rsidR="00DE4E35">
        <w:rPr>
          <w:rFonts w:eastAsia="Calibri" w:cs="Calibri"/>
          <w:b/>
          <w:bCs/>
          <w:color w:val="4C565C"/>
          <w:sz w:val="18"/>
          <w:szCs w:val="18"/>
          <w:lang w:val="en-GB"/>
        </w:rPr>
        <w:t xml:space="preserve">adapted from: </w:t>
      </w:r>
      <w:r w:rsidRPr="5937A937">
        <w:rPr>
          <w:rFonts w:eastAsia="Calibri" w:cs="Calibri"/>
          <w:b/>
          <w:bCs/>
          <w:color w:val="4C565C"/>
          <w:sz w:val="18"/>
          <w:szCs w:val="18"/>
          <w:lang w:val="en-GB"/>
        </w:rPr>
        <w:t xml:space="preserve">Panoutsou et al., 2021). </w:t>
      </w:r>
    </w:p>
    <w:p w14:paraId="1394CD63" w14:textId="6D1828C8" w:rsidR="00D8002E" w:rsidRPr="00C33899" w:rsidRDefault="00D8002E" w:rsidP="59587566">
      <w:pPr>
        <w:spacing w:line="360" w:lineRule="auto"/>
        <w:rPr>
          <w:rFonts w:ascii="Times New Roman" w:hAnsi="Times New Roman"/>
          <w:lang w:val="en-GB"/>
        </w:rPr>
      </w:pPr>
    </w:p>
    <w:p w14:paraId="5E04C6BD" w14:textId="05E152CA" w:rsidR="00DD5C73" w:rsidRDefault="306F3BE5" w:rsidP="005D6854">
      <w:pPr>
        <w:pStyle w:val="Heading2"/>
        <w:numPr>
          <w:ilvl w:val="1"/>
          <w:numId w:val="16"/>
        </w:numPr>
      </w:pPr>
      <w:bookmarkStart w:id="42" w:name="_Toc85627871"/>
      <w:r>
        <w:t>Stakeholder mapping</w:t>
      </w:r>
      <w:bookmarkEnd w:id="42"/>
    </w:p>
    <w:p w14:paraId="78491E51" w14:textId="77777777" w:rsidR="00DD5C73" w:rsidRDefault="00DD5C73" w:rsidP="00DD5C73">
      <w:pPr>
        <w:rPr>
          <w:lang w:val="en-GB"/>
        </w:rPr>
      </w:pPr>
    </w:p>
    <w:p w14:paraId="135BC8F4" w14:textId="0D1FDBB9" w:rsidR="00E34495" w:rsidRPr="000205AF" w:rsidRDefault="306F3BE5" w:rsidP="59587566">
      <w:pPr>
        <w:spacing w:after="120" w:line="360" w:lineRule="auto"/>
        <w:ind w:firstLine="720"/>
        <w:rPr>
          <w:sz w:val="22"/>
          <w:szCs w:val="22"/>
        </w:rPr>
      </w:pPr>
      <w:r w:rsidRPr="000205AF">
        <w:rPr>
          <w:rFonts w:eastAsia="Calibri" w:cs="Calibri"/>
          <w:sz w:val="22"/>
          <w:szCs w:val="22"/>
          <w:lang w:val="en-GB"/>
        </w:rPr>
        <w:t>A</w:t>
      </w:r>
      <w:r w:rsidR="00E34495" w:rsidRPr="000205AF">
        <w:rPr>
          <w:rFonts w:eastAsia="Calibri" w:cs="Calibri"/>
          <w:sz w:val="22"/>
          <w:szCs w:val="22"/>
          <w:lang w:val="en-GB"/>
        </w:rPr>
        <w:t xml:space="preserve"> key task when assessing the market uptake of the Bio-HFO is to map out the key stakeholders, understanding motivations and plants. At this moment the potential stakeholders identified are feedstock providers, cellulose users and shipping owners (end users).</w:t>
      </w:r>
    </w:p>
    <w:p w14:paraId="4C059A50" w14:textId="77777777" w:rsidR="00DD5C73" w:rsidRDefault="306F3BE5" w:rsidP="00DC3405">
      <w:pPr>
        <w:pStyle w:val="Heading3"/>
      </w:pPr>
      <w:bookmarkStart w:id="43" w:name="_Toc85627872"/>
      <w:r w:rsidRPr="59587566">
        <w:rPr>
          <w:rFonts w:eastAsia="Calibri"/>
        </w:rPr>
        <w:t>Feedstock Providers</w:t>
      </w:r>
      <w:bookmarkEnd w:id="43"/>
    </w:p>
    <w:p w14:paraId="0DFDC2E9" w14:textId="4804635D" w:rsidR="00DD5C73" w:rsidRDefault="306F3BE5" w:rsidP="5937A937">
      <w:pPr>
        <w:spacing w:after="120" w:line="360" w:lineRule="auto"/>
        <w:ind w:firstLine="720"/>
      </w:pPr>
      <w:r w:rsidRPr="5937A937">
        <w:rPr>
          <w:rFonts w:eastAsia="Calibri" w:cs="Calibri"/>
          <w:lang w:val="en-GB"/>
        </w:rPr>
        <w:t xml:space="preserve">Two types of feedstocks are being used for the production of the Bio-HFO, namely beach (hardwood) and </w:t>
      </w:r>
      <w:r w:rsidR="000F2BDB">
        <w:rPr>
          <w:rFonts w:eastAsia="Calibri" w:cs="Calibri"/>
          <w:lang w:val="en-GB"/>
        </w:rPr>
        <w:t xml:space="preserve">residual </w:t>
      </w:r>
      <w:r w:rsidRPr="5937A937">
        <w:rPr>
          <w:rFonts w:eastAsia="Calibri" w:cs="Calibri"/>
          <w:lang w:val="en-GB"/>
        </w:rPr>
        <w:t>pine (softwood).</w:t>
      </w:r>
    </w:p>
    <w:p w14:paraId="20C1BDFE" w14:textId="17F8A203" w:rsidR="00DD5C73" w:rsidRPr="000205AF" w:rsidRDefault="306F3BE5" w:rsidP="5937A937">
      <w:pPr>
        <w:spacing w:after="120" w:line="360" w:lineRule="auto"/>
        <w:ind w:firstLine="720"/>
        <w:rPr>
          <w:sz w:val="22"/>
          <w:szCs w:val="22"/>
        </w:rPr>
      </w:pPr>
      <w:r w:rsidRPr="000205AF">
        <w:rPr>
          <w:rFonts w:eastAsia="Calibri" w:cs="Calibri"/>
          <w:sz w:val="22"/>
          <w:szCs w:val="22"/>
          <w:lang w:val="en-GB"/>
        </w:rPr>
        <w:t>Beech trees are important timber sources in Europe, as well the most prevalent type in Central Europe. Therefore, increase attention should be paid to the market conditions and forecasting. Studies show that there will be a continuous expansion in the volumes of beech trees</w:t>
      </w:r>
      <w:r w:rsidR="000205AF" w:rsidRPr="000205AF">
        <w:rPr>
          <w:rFonts w:eastAsia="Calibri" w:cs="Calibri"/>
          <w:sz w:val="22"/>
          <w:szCs w:val="22"/>
          <w:lang w:val="en-GB"/>
        </w:rPr>
        <w:t xml:space="preserve"> production</w:t>
      </w:r>
      <w:r w:rsidRPr="000205AF">
        <w:rPr>
          <w:rFonts w:eastAsia="Calibri" w:cs="Calibri"/>
          <w:sz w:val="22"/>
          <w:szCs w:val="22"/>
          <w:lang w:val="en-GB"/>
        </w:rPr>
        <w:t xml:space="preserve"> favoured by higher temperatures and low precipitation. However, it is expected a decay in the southern European region due draughts caused by climate change. Among the competition, chines market is the principal consumer followed by European countries. Their application is mainly for the furniture and woodworking industries (Kozuch &amp; Banaś, 2020). </w:t>
      </w:r>
    </w:p>
    <w:p w14:paraId="4E76F6C4" w14:textId="2B654366" w:rsidR="00DD5C73" w:rsidRPr="000205AF" w:rsidRDefault="306F3BE5" w:rsidP="5937A937">
      <w:pPr>
        <w:spacing w:after="120" w:line="360" w:lineRule="auto"/>
        <w:rPr>
          <w:sz w:val="22"/>
          <w:szCs w:val="22"/>
        </w:rPr>
      </w:pPr>
      <w:r w:rsidRPr="000205AF">
        <w:rPr>
          <w:rFonts w:eastAsia="Calibri" w:cs="Calibri"/>
          <w:sz w:val="22"/>
          <w:szCs w:val="22"/>
          <w:lang w:val="en-GB"/>
        </w:rPr>
        <w:t xml:space="preserve"> </w:t>
      </w:r>
      <w:r w:rsidR="00DD5C73" w:rsidRPr="000205AF">
        <w:rPr>
          <w:sz w:val="22"/>
          <w:szCs w:val="22"/>
        </w:rPr>
        <w:tab/>
      </w:r>
      <w:r w:rsidR="000205AF" w:rsidRPr="000205AF">
        <w:rPr>
          <w:rFonts w:eastAsia="Calibri" w:cs="Calibri"/>
          <w:sz w:val="22"/>
          <w:szCs w:val="22"/>
          <w:lang w:val="en-GB"/>
        </w:rPr>
        <w:t xml:space="preserve">Analysis of the market reveals seasonal fluctuations, which can affect the operation cost. Nevertheless, the seasonal variations can be considered of non-statistical significance, as the prices tend to stabilized in the long term (see fig </w:t>
      </w:r>
      <w:r w:rsidR="00841EE8">
        <w:rPr>
          <w:rFonts w:eastAsia="Calibri" w:cs="Calibri"/>
          <w:sz w:val="22"/>
          <w:szCs w:val="22"/>
          <w:lang w:val="en-GB"/>
        </w:rPr>
        <w:t>9</w:t>
      </w:r>
      <w:r w:rsidR="000205AF" w:rsidRPr="000205AF">
        <w:rPr>
          <w:rFonts w:eastAsia="Calibri" w:cs="Calibri"/>
          <w:sz w:val="22"/>
          <w:szCs w:val="22"/>
          <w:lang w:val="en-GB"/>
        </w:rPr>
        <w:t>) (Kozuch &amp; Banaś, 2020). Long- and medium-term contracts are preferred rather spot negotiations to avoid seasonal variations or shortage, reflecting in more stable prices and liability on feedstock offer, especially considering the growing demand.</w:t>
      </w:r>
    </w:p>
    <w:p w14:paraId="3A5E4A73" w14:textId="7BAB0BF3" w:rsidR="00DD5C73" w:rsidRDefault="00DD5C73" w:rsidP="5937A937">
      <w:pPr>
        <w:rPr>
          <w:rFonts w:eastAsia="Calibri" w:cs="Calibri"/>
          <w:lang w:val="en-GB"/>
        </w:rPr>
      </w:pPr>
    </w:p>
    <w:p w14:paraId="5E40529C" w14:textId="77777777" w:rsidR="00DD5C73" w:rsidRDefault="00DD5C73" w:rsidP="5937A937">
      <w:pPr>
        <w:jc w:val="center"/>
        <w:rPr>
          <w:rFonts w:eastAsia="Calibri" w:cs="Calibri"/>
          <w:lang w:val="en-GB"/>
        </w:rPr>
      </w:pPr>
    </w:p>
    <w:p w14:paraId="64AE1452" w14:textId="77777777" w:rsidR="00DD5C73" w:rsidRDefault="306F3BE5" w:rsidP="5937A937">
      <w:pPr>
        <w:jc w:val="center"/>
      </w:pPr>
      <w:r w:rsidRPr="5937A937">
        <w:rPr>
          <w:rFonts w:eastAsia="Calibri" w:cs="Calibri"/>
          <w:lang w:val="en-GB"/>
        </w:rPr>
        <w:lastRenderedPageBreak/>
        <w:t xml:space="preserve"> </w:t>
      </w:r>
      <w:r>
        <w:rPr>
          <w:noProof/>
        </w:rPr>
        <w:drawing>
          <wp:inline distT="0" distB="0" distL="0" distR="0" wp14:anchorId="73E66F3D" wp14:editId="379F4658">
            <wp:extent cx="4572000" cy="2543175"/>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054E6BFA" w14:textId="0753694E" w:rsidR="00DD5C73" w:rsidRPr="00BF2D47" w:rsidRDefault="306F3BE5" w:rsidP="00DD5C73">
      <w:r w:rsidRPr="5937A937">
        <w:rPr>
          <w:rFonts w:eastAsia="Calibri" w:cs="Calibri"/>
          <w:b/>
          <w:bCs/>
          <w:color w:val="4C565C"/>
          <w:sz w:val="18"/>
          <w:szCs w:val="18"/>
          <w:lang w:val="en-GB"/>
        </w:rPr>
        <w:t xml:space="preserve">Figure </w:t>
      </w:r>
      <w:r w:rsidR="7841D259" w:rsidRPr="5937A937">
        <w:rPr>
          <w:rFonts w:eastAsia="Calibri" w:cs="Calibri"/>
          <w:b/>
          <w:bCs/>
          <w:color w:val="4C565C"/>
          <w:sz w:val="18"/>
          <w:szCs w:val="18"/>
          <w:lang w:val="en-GB"/>
        </w:rPr>
        <w:t>9</w:t>
      </w:r>
      <w:r w:rsidRPr="5937A937">
        <w:rPr>
          <w:rFonts w:eastAsia="Calibri" w:cs="Calibri"/>
          <w:b/>
          <w:bCs/>
          <w:color w:val="4C565C"/>
          <w:sz w:val="18"/>
          <w:szCs w:val="18"/>
          <w:lang w:val="en-GB"/>
        </w:rPr>
        <w:t>. Nominal prices of beech roundwood in mayor European producer countries from 2005-</w:t>
      </w:r>
      <w:r w:rsidR="34FCA6EB" w:rsidRPr="5937A937">
        <w:rPr>
          <w:rFonts w:eastAsia="Calibri" w:cs="Calibri"/>
          <w:b/>
          <w:bCs/>
          <w:color w:val="4C565C"/>
          <w:sz w:val="18"/>
          <w:szCs w:val="18"/>
          <w:lang w:val="en-GB"/>
        </w:rPr>
        <w:t>2008</w:t>
      </w:r>
      <w:r w:rsidR="00BF2D47">
        <w:rPr>
          <w:rFonts w:eastAsia="Calibri" w:cs="Calibri"/>
          <w:b/>
          <w:bCs/>
          <w:color w:val="4C565C"/>
          <w:sz w:val="18"/>
          <w:szCs w:val="18"/>
          <w:lang w:val="en-GB"/>
        </w:rPr>
        <w:t xml:space="preserve"> </w:t>
      </w:r>
      <w:r w:rsidR="00BF2D47" w:rsidRPr="00BF2D47">
        <w:rPr>
          <w:rFonts w:eastAsia="Calibri" w:cs="Calibri"/>
          <w:b/>
          <w:bCs/>
          <w:color w:val="4C565C"/>
          <w:sz w:val="18"/>
          <w:szCs w:val="18"/>
          <w:lang w:val="en-GB"/>
        </w:rPr>
        <w:t>(source: Kozuch &amp; Banaś, 2020)</w:t>
      </w:r>
      <w:r w:rsidR="34FCA6EB" w:rsidRPr="5937A937">
        <w:rPr>
          <w:rFonts w:eastAsia="Calibri" w:cs="Calibri"/>
          <w:b/>
          <w:bCs/>
          <w:color w:val="4C565C"/>
          <w:sz w:val="18"/>
          <w:szCs w:val="18"/>
          <w:lang w:val="en-GB"/>
        </w:rPr>
        <w:t xml:space="preserve"> </w:t>
      </w:r>
    </w:p>
    <w:p w14:paraId="2C9115A9" w14:textId="77777777" w:rsidR="00DD5C73" w:rsidRPr="00BF2D47" w:rsidRDefault="00DD5C73" w:rsidP="00DD5C73">
      <w:pPr>
        <w:rPr>
          <w:rFonts w:eastAsia="Calibri" w:cs="Calibri"/>
          <w:color w:val="4C565C"/>
          <w:sz w:val="18"/>
          <w:szCs w:val="18"/>
          <w:lang w:val="en-GB"/>
        </w:rPr>
      </w:pPr>
    </w:p>
    <w:p w14:paraId="68B24ABC" w14:textId="3D790E74" w:rsidR="00C12A08" w:rsidRDefault="000205AF" w:rsidP="000205AF">
      <w:pPr>
        <w:spacing w:after="120" w:line="360" w:lineRule="auto"/>
        <w:ind w:firstLine="720"/>
        <w:rPr>
          <w:rStyle w:val="normaltextrun"/>
          <w:rFonts w:cs="Calibri"/>
          <w:color w:val="1F1F1F"/>
          <w:sz w:val="22"/>
          <w:szCs w:val="22"/>
          <w:shd w:val="clear" w:color="auto" w:fill="FFFFFF"/>
        </w:rPr>
      </w:pPr>
      <w:r w:rsidRPr="000205AF">
        <w:rPr>
          <w:rStyle w:val="normaltextrun"/>
          <w:rFonts w:cs="Calibri"/>
          <w:color w:val="1F1F1F"/>
          <w:sz w:val="22"/>
          <w:szCs w:val="22"/>
          <w:shd w:val="clear" w:color="auto" w:fill="FFFFFF"/>
        </w:rPr>
        <w:t xml:space="preserve">Softwood production, particularly in central Europe and Sweden, is in continuous increase. The increased offer leads to lower price, as depicted in </w:t>
      </w:r>
      <w:r w:rsidR="00860423" w:rsidRPr="000205AF">
        <w:rPr>
          <w:rStyle w:val="normaltextrun"/>
          <w:rFonts w:cs="Calibri"/>
          <w:color w:val="1F1F1F"/>
          <w:sz w:val="22"/>
          <w:szCs w:val="22"/>
          <w:shd w:val="clear" w:color="auto" w:fill="FFFFFF"/>
        </w:rPr>
        <w:t>Figure</w:t>
      </w:r>
      <w:r w:rsidRPr="000205AF">
        <w:rPr>
          <w:rStyle w:val="normaltextrun"/>
          <w:rFonts w:cs="Calibri"/>
          <w:color w:val="1F1F1F"/>
          <w:sz w:val="22"/>
          <w:szCs w:val="22"/>
          <w:shd w:val="clear" w:color="auto" w:fill="FFFFFF"/>
        </w:rPr>
        <w:t xml:space="preserve"> </w:t>
      </w:r>
      <w:r>
        <w:rPr>
          <w:rStyle w:val="normaltextrun"/>
          <w:rFonts w:cs="Calibri"/>
          <w:color w:val="1F1F1F"/>
          <w:sz w:val="22"/>
          <w:szCs w:val="22"/>
          <w:shd w:val="clear" w:color="auto" w:fill="FFFFFF"/>
        </w:rPr>
        <w:t>10</w:t>
      </w:r>
      <w:r w:rsidRPr="000205AF">
        <w:rPr>
          <w:rStyle w:val="normaltextrun"/>
          <w:rFonts w:cs="Calibri"/>
          <w:color w:val="1F1F1F"/>
          <w:sz w:val="22"/>
          <w:szCs w:val="22"/>
          <w:shd w:val="clear" w:color="auto" w:fill="FFFFFF"/>
        </w:rPr>
        <w:t>, and higher local availability and, consequently, lower risk regarding</w:t>
      </w:r>
      <w:r w:rsidR="002D541D">
        <w:rPr>
          <w:rStyle w:val="normaltextrun"/>
          <w:rFonts w:cs="Calibri"/>
          <w:color w:val="1F1F1F"/>
          <w:sz w:val="22"/>
          <w:szCs w:val="22"/>
          <w:shd w:val="clear" w:color="auto" w:fill="FFFFFF"/>
        </w:rPr>
        <w:t xml:space="preserve"> waste</w:t>
      </w:r>
      <w:r w:rsidRPr="000205AF">
        <w:rPr>
          <w:rStyle w:val="normaltextrun"/>
          <w:rFonts w:cs="Calibri"/>
          <w:color w:val="1F1F1F"/>
          <w:sz w:val="22"/>
          <w:szCs w:val="22"/>
          <w:shd w:val="clear" w:color="auto" w:fill="FFFFFF"/>
        </w:rPr>
        <w:t xml:space="preserve"> softwood availability is foreseen.</w:t>
      </w:r>
      <w:r w:rsidR="003D0C09">
        <w:rPr>
          <w:rStyle w:val="normaltextrun"/>
          <w:rFonts w:cs="Calibri"/>
          <w:color w:val="1F1F1F"/>
          <w:sz w:val="22"/>
          <w:szCs w:val="22"/>
          <w:shd w:val="clear" w:color="auto" w:fill="FFFFFF"/>
        </w:rPr>
        <w:t xml:space="preserve"> </w:t>
      </w:r>
    </w:p>
    <w:p w14:paraId="66FB5C11" w14:textId="77777777" w:rsidR="000205AF" w:rsidRPr="00C12A08" w:rsidRDefault="000205AF" w:rsidP="5937A937">
      <w:pPr>
        <w:spacing w:after="120" w:line="360" w:lineRule="auto"/>
        <w:rPr>
          <w:rFonts w:eastAsia="Calibri" w:cs="Calibri"/>
          <w:sz w:val="22"/>
          <w:szCs w:val="22"/>
          <w:lang w:val="en-GB"/>
        </w:rPr>
      </w:pPr>
    </w:p>
    <w:p w14:paraId="6CBF49AC" w14:textId="0576FE36" w:rsidR="0E091B9D" w:rsidRDefault="0E091B9D" w:rsidP="5937A937">
      <w:pPr>
        <w:spacing w:after="120" w:line="360" w:lineRule="auto"/>
        <w:jc w:val="center"/>
      </w:pPr>
      <w:r>
        <w:rPr>
          <w:noProof/>
        </w:rPr>
        <w:drawing>
          <wp:inline distT="0" distB="0" distL="0" distR="0" wp14:anchorId="552A62AE" wp14:editId="4F255E43">
            <wp:extent cx="3400425" cy="3067050"/>
            <wp:effectExtent l="0" t="0" r="0" b="0"/>
            <wp:docPr id="1079903180" name="Picture 107990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00425" cy="3067050"/>
                    </a:xfrm>
                    <a:prstGeom prst="rect">
                      <a:avLst/>
                    </a:prstGeom>
                  </pic:spPr>
                </pic:pic>
              </a:graphicData>
            </a:graphic>
          </wp:inline>
        </w:drawing>
      </w:r>
    </w:p>
    <w:p w14:paraId="12CB82E1" w14:textId="4B14F517" w:rsidR="0E091B9D" w:rsidRDefault="0E091B9D" w:rsidP="5937A937">
      <w:pPr>
        <w:jc w:val="center"/>
      </w:pPr>
      <w:r w:rsidRPr="5937A937">
        <w:rPr>
          <w:rFonts w:eastAsia="Calibri" w:cs="Calibri"/>
          <w:b/>
          <w:bCs/>
          <w:color w:val="4C565C"/>
          <w:sz w:val="18"/>
          <w:szCs w:val="18"/>
          <w:lang w:val="en-GB"/>
        </w:rPr>
        <w:t>Figure 10. European softwood trade 2015-2019 (</w:t>
      </w:r>
      <w:r w:rsidR="00BF2D47">
        <w:rPr>
          <w:rFonts w:eastAsia="Calibri" w:cs="Calibri"/>
          <w:b/>
          <w:bCs/>
          <w:color w:val="4C565C"/>
          <w:sz w:val="18"/>
          <w:szCs w:val="18"/>
          <w:lang w:val="en-GB"/>
        </w:rPr>
        <w:t xml:space="preserve">source: </w:t>
      </w:r>
      <w:r w:rsidRPr="5937A937">
        <w:rPr>
          <w:rFonts w:eastAsia="Calibri" w:cs="Calibri"/>
          <w:b/>
          <w:bCs/>
          <w:color w:val="4C565C"/>
          <w:sz w:val="18"/>
          <w:szCs w:val="18"/>
          <w:lang w:val="en-GB"/>
        </w:rPr>
        <w:t>UNECE/FAO, 2020)</w:t>
      </w:r>
    </w:p>
    <w:p w14:paraId="08EEA3F5" w14:textId="3498AD65" w:rsidR="5937A937" w:rsidRDefault="5937A937" w:rsidP="5937A937">
      <w:pPr>
        <w:spacing w:after="120" w:line="360" w:lineRule="auto"/>
        <w:jc w:val="center"/>
        <w:rPr>
          <w:szCs w:val="21"/>
        </w:rPr>
      </w:pPr>
    </w:p>
    <w:p w14:paraId="6A067FED" w14:textId="34F0525B" w:rsidR="00DD5C73" w:rsidRDefault="306F3BE5" w:rsidP="00DC3405">
      <w:pPr>
        <w:pStyle w:val="Heading3"/>
      </w:pPr>
      <w:bookmarkStart w:id="44" w:name="_Toc85627873"/>
      <w:r w:rsidRPr="59587566">
        <w:rPr>
          <w:rFonts w:eastAsia="Calibri"/>
        </w:rPr>
        <w:t>Cellulose users</w:t>
      </w:r>
      <w:bookmarkEnd w:id="44"/>
    </w:p>
    <w:p w14:paraId="16668A28" w14:textId="76D344C4" w:rsidR="00DD5C73" w:rsidRPr="00EA4AC9" w:rsidRDefault="306F3BE5" w:rsidP="5937A937">
      <w:pPr>
        <w:spacing w:after="120" w:line="360" w:lineRule="auto"/>
        <w:ind w:firstLine="720"/>
        <w:rPr>
          <w:sz w:val="22"/>
          <w:szCs w:val="22"/>
        </w:rPr>
      </w:pPr>
      <w:r w:rsidRPr="00EA4AC9">
        <w:rPr>
          <w:rFonts w:eastAsia="Calibri" w:cs="Calibri"/>
          <w:sz w:val="22"/>
          <w:szCs w:val="22"/>
          <w:lang w:val="en-GB"/>
        </w:rPr>
        <w:t>In order to produce the Bio-HFO, cellulose from woody biomass needs to be removed. However, due to possible changes in legislation, and in general to increase the sustainability overview of the project</w:t>
      </w:r>
      <w:r w:rsidR="006A05E9" w:rsidRPr="00EA4AC9">
        <w:rPr>
          <w:rFonts w:eastAsia="Calibri" w:cs="Calibri"/>
          <w:sz w:val="22"/>
          <w:szCs w:val="22"/>
          <w:lang w:val="en-GB"/>
        </w:rPr>
        <w:t xml:space="preserve"> is necessary to ensure its </w:t>
      </w:r>
      <w:r w:rsidR="00A33772" w:rsidRPr="00EA4AC9">
        <w:rPr>
          <w:rFonts w:eastAsia="Calibri" w:cs="Calibri"/>
          <w:sz w:val="22"/>
          <w:szCs w:val="22"/>
          <w:lang w:val="en-GB"/>
        </w:rPr>
        <w:t xml:space="preserve">(high) </w:t>
      </w:r>
      <w:r w:rsidR="00EA4AC9" w:rsidRPr="00EA4AC9">
        <w:rPr>
          <w:rFonts w:eastAsia="Calibri" w:cs="Calibri"/>
          <w:sz w:val="22"/>
          <w:szCs w:val="22"/>
          <w:lang w:val="en-GB"/>
        </w:rPr>
        <w:t>valorisation</w:t>
      </w:r>
      <w:r w:rsidR="00A33772" w:rsidRPr="00EA4AC9">
        <w:rPr>
          <w:rFonts w:eastAsia="Calibri" w:cs="Calibri"/>
          <w:sz w:val="22"/>
          <w:szCs w:val="22"/>
          <w:lang w:val="en-GB"/>
        </w:rPr>
        <w:t>.</w:t>
      </w:r>
    </w:p>
    <w:p w14:paraId="7663C93A" w14:textId="7383372B" w:rsidR="00DD5C73" w:rsidRDefault="306F3BE5" w:rsidP="5937A937">
      <w:pPr>
        <w:spacing w:after="120" w:line="360" w:lineRule="auto"/>
        <w:rPr>
          <w:rFonts w:eastAsia="Calibri" w:cs="Calibri"/>
          <w:sz w:val="22"/>
          <w:szCs w:val="22"/>
          <w:lang w:val="en-GB"/>
        </w:rPr>
      </w:pPr>
      <w:r w:rsidRPr="00EA4AC9">
        <w:rPr>
          <w:rFonts w:eastAsia="Calibri" w:cs="Calibri"/>
          <w:sz w:val="22"/>
          <w:szCs w:val="22"/>
          <w:lang w:val="en-GB"/>
        </w:rPr>
        <w:lastRenderedPageBreak/>
        <w:t xml:space="preserve"> </w:t>
      </w:r>
      <w:r w:rsidR="00DD5C73" w:rsidRPr="00EA4AC9">
        <w:rPr>
          <w:sz w:val="22"/>
          <w:szCs w:val="22"/>
        </w:rPr>
        <w:tab/>
      </w:r>
      <w:r w:rsidR="00EA4AC9" w:rsidRPr="00EA4AC9">
        <w:rPr>
          <w:rStyle w:val="normaltextrun"/>
          <w:rFonts w:cs="Calibri"/>
          <w:color w:val="1F1F1F"/>
          <w:sz w:val="22"/>
          <w:szCs w:val="22"/>
          <w:shd w:val="clear" w:color="auto" w:fill="FFFFFF"/>
          <w:lang w:val="en-GB"/>
        </w:rPr>
        <w:t xml:space="preserve">Cellulose can have different market application such as pulp and paper, or for the production of chemical. Pulp and paper are expected to remain the major shareholder followed by personal care industry </w:t>
      </w:r>
      <w:r w:rsidR="00EA4AC9">
        <w:rPr>
          <w:rStyle w:val="normaltextrun"/>
          <w:rFonts w:cs="Calibri"/>
          <w:color w:val="1F1F1F"/>
          <w:sz w:val="22"/>
          <w:szCs w:val="22"/>
          <w:shd w:val="clear" w:color="auto" w:fill="FFFFFF"/>
          <w:lang w:val="en-GB"/>
        </w:rPr>
        <w:fldChar w:fldCharType="begin" w:fldLock="1"/>
      </w:r>
      <w:r w:rsidR="0028142C">
        <w:rPr>
          <w:rStyle w:val="normaltextrun"/>
          <w:rFonts w:cs="Calibri"/>
          <w:color w:val="1F1F1F"/>
          <w:sz w:val="22"/>
          <w:szCs w:val="22"/>
          <w:shd w:val="clear" w:color="auto" w:fill="FFFFFF"/>
          <w:lang w:val="en-GB"/>
        </w:rPr>
        <w:instrText>ADDIN CSL_CITATION {"citationItems":[{"id":"ITEM-1","itemData":{"author":[{"dropping-particle":"","family":"Fortune Business Insights","given":"","non-dropping-particle":"","parse-names":false,"suffix":""}],"container-title":"Market Researsh report","id":"ITEM-1","issued":{"date-parts":[["2020"]]},"title":"Cellulose Market Size, Share &amp; Industry Analysis","type":"article-newspaper"},"uris":["http://www.mendeley.com/documents/?uuid=320e21fe-0018-4ced-85e1-e1cd1f777ea5"]}],"mendeley":{"formattedCitation":"(Fortune Business Insights, 2020)","plainTextFormattedCitation":"(Fortune Business Insights, 2020)","previouslyFormattedCitation":"(Fortune Business Insights, 2020)"},"properties":{"noteIndex":0},"schema":"https://github.com/citation-style-language/schema/raw/master/csl-citation.json"}</w:instrText>
      </w:r>
      <w:r w:rsidR="00EA4AC9">
        <w:rPr>
          <w:rStyle w:val="normaltextrun"/>
          <w:rFonts w:cs="Calibri"/>
          <w:color w:val="1F1F1F"/>
          <w:sz w:val="22"/>
          <w:szCs w:val="22"/>
          <w:shd w:val="clear" w:color="auto" w:fill="FFFFFF"/>
          <w:lang w:val="en-GB"/>
        </w:rPr>
        <w:fldChar w:fldCharType="separate"/>
      </w:r>
      <w:r w:rsidR="00EA4AC9" w:rsidRPr="00EA4AC9">
        <w:rPr>
          <w:rStyle w:val="normaltextrun"/>
          <w:rFonts w:cs="Calibri"/>
          <w:noProof/>
          <w:color w:val="1F1F1F"/>
          <w:sz w:val="22"/>
          <w:szCs w:val="22"/>
          <w:shd w:val="clear" w:color="auto" w:fill="FFFFFF"/>
          <w:lang w:val="en-GB"/>
        </w:rPr>
        <w:t>(Fortune Business Insights, 2020)</w:t>
      </w:r>
      <w:r w:rsidR="00EA4AC9">
        <w:rPr>
          <w:rStyle w:val="normaltextrun"/>
          <w:rFonts w:cs="Calibri"/>
          <w:color w:val="1F1F1F"/>
          <w:sz w:val="22"/>
          <w:szCs w:val="22"/>
          <w:shd w:val="clear" w:color="auto" w:fill="FFFFFF"/>
          <w:lang w:val="en-GB"/>
        </w:rPr>
        <w:fldChar w:fldCharType="end"/>
      </w:r>
      <w:r w:rsidR="00EA4AC9">
        <w:rPr>
          <w:rStyle w:val="normaltextrun"/>
          <w:rFonts w:cs="Calibri"/>
          <w:color w:val="1F1F1F"/>
          <w:sz w:val="22"/>
          <w:szCs w:val="22"/>
          <w:shd w:val="clear" w:color="auto" w:fill="FFFFFF"/>
          <w:lang w:val="en-GB"/>
        </w:rPr>
        <w:t>.</w:t>
      </w:r>
      <w:r w:rsidRPr="00EA4AC9">
        <w:rPr>
          <w:rFonts w:eastAsia="Calibri" w:cs="Calibri"/>
          <w:sz w:val="22"/>
          <w:szCs w:val="22"/>
          <w:lang w:val="en-GB"/>
        </w:rPr>
        <w:t xml:space="preserve"> Using the environmental leverage of the higher sustainability of IDEALFUEL’s process, can be of advantage to convince this uses of acquiring the cellulose. </w:t>
      </w:r>
      <w:r w:rsidR="00EF63FE">
        <w:rPr>
          <w:rFonts w:eastAsia="Calibri" w:cs="Calibri"/>
          <w:sz w:val="22"/>
          <w:szCs w:val="22"/>
          <w:lang w:val="en-GB"/>
        </w:rPr>
        <w:t xml:space="preserve"> As alternative is the possibility of internal valorisation.</w:t>
      </w:r>
    </w:p>
    <w:p w14:paraId="0BE857B2" w14:textId="77777777" w:rsidR="00DC3405" w:rsidRPr="00DC3405" w:rsidRDefault="00DC3405" w:rsidP="5937A937">
      <w:pPr>
        <w:spacing w:after="120" w:line="360" w:lineRule="auto"/>
        <w:rPr>
          <w:rFonts w:eastAsia="Calibri" w:cs="Calibri"/>
          <w:sz w:val="22"/>
          <w:szCs w:val="22"/>
          <w:lang w:val="en-GB"/>
        </w:rPr>
      </w:pPr>
    </w:p>
    <w:p w14:paraId="6D2B9D18" w14:textId="67B1056D" w:rsidR="00DD5C73" w:rsidRDefault="306F3BE5" w:rsidP="00DC3405">
      <w:pPr>
        <w:pStyle w:val="Heading3"/>
      </w:pPr>
      <w:r w:rsidRPr="59587566">
        <w:rPr>
          <w:rFonts w:eastAsia="Times New Roman"/>
          <w:sz w:val="14"/>
          <w:szCs w:val="14"/>
        </w:rPr>
        <w:t xml:space="preserve"> </w:t>
      </w:r>
      <w:bookmarkStart w:id="45" w:name="_Toc85627874"/>
      <w:r w:rsidRPr="59587566">
        <w:rPr>
          <w:rFonts w:eastAsia="Calibri"/>
        </w:rPr>
        <w:t>Ship owners</w:t>
      </w:r>
      <w:bookmarkEnd w:id="45"/>
    </w:p>
    <w:p w14:paraId="728A3C84" w14:textId="3B690789" w:rsidR="00DD5C73" w:rsidRPr="00EA4AC9" w:rsidRDefault="306F3BE5" w:rsidP="5937A937">
      <w:pPr>
        <w:spacing w:after="120" w:line="360" w:lineRule="auto"/>
        <w:rPr>
          <w:sz w:val="22"/>
          <w:szCs w:val="22"/>
        </w:rPr>
      </w:pPr>
      <w:r w:rsidRPr="5937A937">
        <w:rPr>
          <w:rFonts w:eastAsia="Calibri" w:cs="Calibri"/>
          <w:lang w:val="en-GB"/>
        </w:rPr>
        <w:t xml:space="preserve"> </w:t>
      </w:r>
      <w:r w:rsidR="00DD5C73">
        <w:tab/>
      </w:r>
      <w:r w:rsidRPr="00EA4AC9">
        <w:rPr>
          <w:rFonts w:eastAsia="Calibri" w:cs="Calibri"/>
          <w:sz w:val="22"/>
          <w:szCs w:val="22"/>
          <w:lang w:val="en-GB"/>
        </w:rPr>
        <w:t>Lignin based fuels are not familiar to the shipping industry. Recently AP Moller-Maersk announced their interest in methanol-lignin blends to increase the energy density of methanol.  Maersk has the intention to run ships of 2000 TEU on methanol (Team, 2021). However, the use of a lignin-based fuel in the s</w:t>
      </w:r>
      <w:r w:rsidR="009875C6">
        <w:rPr>
          <w:rFonts w:eastAsia="Calibri" w:cs="Calibri"/>
          <w:sz w:val="22"/>
          <w:szCs w:val="22"/>
          <w:lang w:val="en-GB"/>
        </w:rPr>
        <w:t>h</w:t>
      </w:r>
      <w:r w:rsidRPr="00EA4AC9">
        <w:rPr>
          <w:rFonts w:eastAsia="Calibri" w:cs="Calibri"/>
          <w:sz w:val="22"/>
          <w:szCs w:val="22"/>
          <w:lang w:val="en-GB"/>
        </w:rPr>
        <w:t>ipping industry is yet to be proved, especially as a HFO equivalent.</w:t>
      </w:r>
    </w:p>
    <w:p w14:paraId="4A64C191" w14:textId="7C209747" w:rsidR="00667846" w:rsidRPr="0045629F" w:rsidRDefault="306F3BE5" w:rsidP="0075226F">
      <w:pPr>
        <w:spacing w:after="240" w:line="276" w:lineRule="auto"/>
        <w:rPr>
          <w:lang w:val="en-GB"/>
        </w:rPr>
      </w:pPr>
      <w:r w:rsidRPr="00EA4AC9">
        <w:rPr>
          <w:rFonts w:eastAsia="Calibri" w:cs="Calibri"/>
          <w:sz w:val="22"/>
          <w:szCs w:val="22"/>
          <w:lang w:val="en-GB"/>
        </w:rPr>
        <w:t xml:space="preserve"> </w:t>
      </w:r>
      <w:r w:rsidR="00DD5C73" w:rsidRPr="00EA4AC9">
        <w:rPr>
          <w:sz w:val="22"/>
          <w:szCs w:val="22"/>
        </w:rPr>
        <w:tab/>
      </w:r>
      <w:r w:rsidRPr="00EA4AC9">
        <w:rPr>
          <w:rFonts w:eastAsia="Calibri" w:cs="Calibri"/>
          <w:sz w:val="22"/>
          <w:szCs w:val="22"/>
          <w:lang w:val="en-GB"/>
        </w:rPr>
        <w:t xml:space="preserve"> As a drop-in, the Bio-HFO is an attractive fuel, and demonstration project in large bunkering ports such as the Port of Rotterdam can influence </w:t>
      </w:r>
      <w:r w:rsidR="000205AF">
        <w:rPr>
          <w:rFonts w:eastAsia="Calibri" w:cs="Calibri"/>
          <w:sz w:val="22"/>
          <w:szCs w:val="22"/>
          <w:lang w:val="en-GB"/>
        </w:rPr>
        <w:t xml:space="preserve">public </w:t>
      </w:r>
      <w:r w:rsidR="000205AF" w:rsidRPr="00EA4AC9">
        <w:rPr>
          <w:rFonts w:eastAsia="Calibri" w:cs="Calibri"/>
          <w:sz w:val="22"/>
          <w:szCs w:val="22"/>
          <w:lang w:val="en-GB"/>
        </w:rPr>
        <w:t xml:space="preserve">opinion </w:t>
      </w:r>
      <w:r w:rsidRPr="00EA4AC9">
        <w:rPr>
          <w:rFonts w:eastAsia="Calibri" w:cs="Calibri"/>
          <w:sz w:val="22"/>
          <w:szCs w:val="22"/>
          <w:lang w:val="en-GB"/>
        </w:rPr>
        <w:t>significantly. The support of the port authorities can trigger demand. Once the demand increases, the systems and infrastructure needed will follow.</w:t>
      </w:r>
    </w:p>
    <w:p w14:paraId="749E853A" w14:textId="4F090C27" w:rsidR="007A4C09" w:rsidRPr="007A4C09" w:rsidRDefault="007A4C09" w:rsidP="00DC3405">
      <w:pPr>
        <w:pStyle w:val="Heading3"/>
        <w:numPr>
          <w:ilvl w:val="0"/>
          <w:numId w:val="0"/>
        </w:numPr>
        <w:ind w:left="444"/>
      </w:pPr>
      <w:r w:rsidRPr="007A4C09">
        <w:br w:type="page"/>
      </w:r>
    </w:p>
    <w:p w14:paraId="2BFB7804" w14:textId="22259654" w:rsidR="00534528" w:rsidRDefault="520CDA07" w:rsidP="00DC3405">
      <w:pPr>
        <w:pStyle w:val="Heading1"/>
      </w:pPr>
      <w:bookmarkStart w:id="46" w:name="_Toc85627875"/>
      <w:r>
        <w:lastRenderedPageBreak/>
        <w:t xml:space="preserve">Conclusions and </w:t>
      </w:r>
      <w:r w:rsidR="1CA31864">
        <w:t>Recommendations</w:t>
      </w:r>
      <w:bookmarkEnd w:id="46"/>
    </w:p>
    <w:p w14:paraId="0AD509E3" w14:textId="62B05B4C" w:rsidR="59587566" w:rsidRDefault="59587566" w:rsidP="59587566">
      <w:pPr>
        <w:rPr>
          <w:szCs w:val="21"/>
          <w:lang w:val="en-GB"/>
        </w:rPr>
      </w:pPr>
    </w:p>
    <w:p w14:paraId="43EC7B59" w14:textId="1F43F335"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The success of</w:t>
      </w:r>
      <w:r w:rsidR="005D7FBC">
        <w:rPr>
          <w:rFonts w:asciiTheme="majorHAnsi" w:hAnsiTheme="majorHAnsi" w:cstheme="majorHAnsi"/>
          <w:color w:val="1F1F1F"/>
          <w:sz w:val="22"/>
          <w:szCs w:val="22"/>
          <w:lang w:val="en-GB"/>
        </w:rPr>
        <w:t xml:space="preserve"> IDEALFUEL’s</w:t>
      </w:r>
      <w:r w:rsidRPr="00340A14">
        <w:rPr>
          <w:rFonts w:asciiTheme="majorHAnsi" w:hAnsiTheme="majorHAnsi" w:cstheme="majorHAnsi"/>
          <w:color w:val="1F1F1F"/>
          <w:sz w:val="22"/>
          <w:szCs w:val="22"/>
          <w:lang w:val="en-GB"/>
        </w:rPr>
        <w:t xml:space="preserve"> Bio-HFO, from a market perspective, will be influenced by 4 variables: i) legislation, mandates and incentives; ii) emission performance; iii) fuel compatibility and blend-ability; iv) production cost.</w:t>
      </w:r>
      <w:r w:rsidRPr="00340A14">
        <w:rPr>
          <w:rFonts w:asciiTheme="majorHAnsi" w:hAnsiTheme="majorHAnsi" w:cstheme="majorHAnsi"/>
          <w:color w:val="1F1F1F"/>
          <w:sz w:val="22"/>
          <w:szCs w:val="22"/>
        </w:rPr>
        <w:t> </w:t>
      </w:r>
    </w:p>
    <w:p w14:paraId="6244CE9C" w14:textId="39EBDCC7" w:rsidR="00340A14" w:rsidRPr="00340A14" w:rsidRDefault="00970A56" w:rsidP="00D83171">
      <w:pPr>
        <w:spacing w:after="120" w:line="360" w:lineRule="auto"/>
        <w:ind w:firstLine="720"/>
        <w:textAlignment w:val="baseline"/>
        <w:rPr>
          <w:rFonts w:asciiTheme="majorHAnsi" w:hAnsiTheme="majorHAnsi" w:cstheme="majorHAnsi"/>
          <w:color w:val="1F1F1F"/>
          <w:sz w:val="22"/>
          <w:szCs w:val="22"/>
          <w:lang w:val="en-GB"/>
        </w:rPr>
      </w:pPr>
      <w:r>
        <w:rPr>
          <w:rFonts w:asciiTheme="majorHAnsi" w:hAnsiTheme="majorHAnsi" w:cstheme="majorHAnsi"/>
          <w:color w:val="1F1F1F"/>
          <w:sz w:val="22"/>
          <w:szCs w:val="22"/>
          <w:lang w:val="en-GB"/>
        </w:rPr>
        <w:t xml:space="preserve">Current and future legislation propose </w:t>
      </w:r>
      <w:r w:rsidR="00340A14" w:rsidRPr="00340A14">
        <w:rPr>
          <w:rFonts w:asciiTheme="majorHAnsi" w:hAnsiTheme="majorHAnsi" w:cstheme="majorHAnsi"/>
          <w:color w:val="1F1F1F"/>
          <w:sz w:val="22"/>
          <w:szCs w:val="22"/>
          <w:lang w:val="en-GB"/>
        </w:rPr>
        <w:t>a market environment favourable </w:t>
      </w:r>
      <w:r>
        <w:rPr>
          <w:rFonts w:asciiTheme="majorHAnsi" w:hAnsiTheme="majorHAnsi" w:cstheme="majorHAnsi"/>
          <w:color w:val="1F1F1F"/>
          <w:sz w:val="22"/>
          <w:szCs w:val="22"/>
          <w:lang w:val="en-GB"/>
        </w:rPr>
        <w:t>for</w:t>
      </w:r>
      <w:r w:rsidR="00340A14" w:rsidRPr="00340A14">
        <w:rPr>
          <w:rFonts w:asciiTheme="majorHAnsi" w:hAnsiTheme="majorHAnsi" w:cstheme="majorHAnsi"/>
          <w:color w:val="1F1F1F"/>
          <w:sz w:val="22"/>
          <w:szCs w:val="22"/>
          <w:lang w:val="en-GB"/>
        </w:rPr>
        <w:t xml:space="preserve"> biofuel uptake. With this regard it is imperative that the Bio-HFO complies with the norms and directives. To be considerable an advanced fuel, the raw-material must be classified as </w:t>
      </w:r>
      <w:r w:rsidR="009D4BA5">
        <w:rPr>
          <w:rFonts w:asciiTheme="majorHAnsi" w:hAnsiTheme="majorHAnsi" w:cstheme="majorHAnsi"/>
          <w:color w:val="1F1F1F"/>
          <w:sz w:val="22"/>
          <w:szCs w:val="22"/>
          <w:lang w:val="en-GB"/>
        </w:rPr>
        <w:t>waste</w:t>
      </w:r>
      <w:r w:rsidR="00340A14" w:rsidRPr="00340A14">
        <w:rPr>
          <w:rFonts w:asciiTheme="majorHAnsi" w:hAnsiTheme="majorHAnsi" w:cstheme="majorHAnsi"/>
          <w:color w:val="1F1F1F"/>
          <w:sz w:val="22"/>
          <w:szCs w:val="22"/>
          <w:lang w:val="en-GB"/>
        </w:rPr>
        <w:t>. Noncompliance risks are lower if the lignin comes as a secondary (residue) stream within the process. In another words, the main purpose of feedstock acquisition is other than lignin valorisation. The fact that the residue (lignin rich) will be upgraded into a value-added product instead of</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being</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burned for heat purposes</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might be considered beneficial.</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 xml:space="preserve"> Nevertheless, this aspect requires more than engineering and process design effort, since it is also ruled by political matters.</w:t>
      </w:r>
      <w:r w:rsidR="00340A14" w:rsidRPr="00340A14">
        <w:rPr>
          <w:rFonts w:asciiTheme="majorHAnsi" w:hAnsiTheme="majorHAnsi" w:cstheme="majorHAnsi"/>
          <w:color w:val="1F1F1F"/>
          <w:sz w:val="22"/>
          <w:szCs w:val="22"/>
        </w:rPr>
        <w:t> </w:t>
      </w:r>
    </w:p>
    <w:p w14:paraId="04B7293E" w14:textId="440CBEB7"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Emission performance will be translated into marketing advantages</w:t>
      </w:r>
      <w:r w:rsidR="00AB0D15">
        <w:rPr>
          <w:rFonts w:asciiTheme="majorHAnsi" w:hAnsiTheme="majorHAnsi" w:cstheme="majorHAnsi"/>
          <w:color w:val="1F1F1F"/>
          <w:sz w:val="22"/>
          <w:szCs w:val="22"/>
          <w:lang w:val="en-GB"/>
        </w:rPr>
        <w:t>,</w:t>
      </w:r>
      <w:r w:rsidRPr="00340A14">
        <w:rPr>
          <w:rFonts w:asciiTheme="majorHAnsi" w:hAnsiTheme="majorHAnsi" w:cstheme="majorHAnsi"/>
          <w:color w:val="1F1F1F"/>
          <w:sz w:val="22"/>
          <w:szCs w:val="22"/>
          <w:lang w:val="en-GB"/>
        </w:rPr>
        <w:t xml:space="preserve"> whether by branding or premium benefit. </w:t>
      </w:r>
      <w:r w:rsidR="00AB0D15">
        <w:rPr>
          <w:rFonts w:asciiTheme="majorHAnsi" w:hAnsiTheme="majorHAnsi" w:cstheme="majorHAnsi"/>
          <w:color w:val="1F1F1F"/>
          <w:sz w:val="22"/>
          <w:szCs w:val="22"/>
          <w:lang w:val="en-GB"/>
        </w:rPr>
        <w:t xml:space="preserve">The </w:t>
      </w:r>
      <w:r w:rsidRPr="00340A14">
        <w:rPr>
          <w:rFonts w:asciiTheme="majorHAnsi" w:hAnsiTheme="majorHAnsi" w:cstheme="majorHAnsi"/>
          <w:color w:val="1F1F1F"/>
          <w:sz w:val="22"/>
          <w:szCs w:val="22"/>
          <w:lang w:val="en-GB"/>
        </w:rPr>
        <w:t>Bio-HFO must represent an effective alternative on SOx, GHG and NOx emissions, first two with higher impact on the pricing perspective. GHG emission will be very connected to feedstock classification as </w:t>
      </w:r>
      <w:r w:rsidR="00FE199B">
        <w:rPr>
          <w:rFonts w:asciiTheme="majorHAnsi" w:hAnsiTheme="majorHAnsi" w:cstheme="majorHAnsi"/>
          <w:color w:val="1F1F1F"/>
          <w:sz w:val="22"/>
          <w:szCs w:val="22"/>
          <w:lang w:val="en-GB"/>
        </w:rPr>
        <w:t>not-</w:t>
      </w:r>
      <w:r w:rsidRPr="00340A14">
        <w:rPr>
          <w:rFonts w:asciiTheme="majorHAnsi" w:hAnsiTheme="majorHAnsi" w:cstheme="majorHAnsi"/>
          <w:color w:val="1F1F1F"/>
          <w:sz w:val="22"/>
          <w:szCs w:val="22"/>
          <w:lang w:val="en-GB"/>
        </w:rPr>
        <w:t>eligible for advanced biofuel production.  </w:t>
      </w:r>
      <w:r w:rsidRPr="00340A14">
        <w:rPr>
          <w:rFonts w:asciiTheme="majorHAnsi" w:hAnsiTheme="majorHAnsi" w:cstheme="majorHAnsi"/>
          <w:color w:val="1F1F1F"/>
          <w:sz w:val="22"/>
          <w:szCs w:val="22"/>
        </w:rPr>
        <w:t> </w:t>
      </w:r>
    </w:p>
    <w:p w14:paraId="01B5D897" w14:textId="1BACAF54"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 xml:space="preserve">Fuel compatibility can represent a considerable restriction to Bio-HFO uptake. Generally speaking, wider the possible blending range is, more </w:t>
      </w:r>
      <w:r w:rsidR="00794EDD">
        <w:rPr>
          <w:rFonts w:asciiTheme="majorHAnsi" w:hAnsiTheme="majorHAnsi" w:cstheme="majorHAnsi"/>
          <w:color w:val="1F1F1F"/>
          <w:sz w:val="22"/>
          <w:szCs w:val="22"/>
          <w:lang w:val="en-GB"/>
        </w:rPr>
        <w:t>attractive</w:t>
      </w:r>
      <w:r w:rsidRPr="00340A14">
        <w:rPr>
          <w:rFonts w:asciiTheme="majorHAnsi" w:hAnsiTheme="majorHAnsi" w:cstheme="majorHAnsi"/>
          <w:color w:val="1F1F1F"/>
          <w:sz w:val="22"/>
          <w:szCs w:val="22"/>
          <w:lang w:val="en-GB"/>
        </w:rPr>
        <w:t xml:space="preserve"> will be product uptake. It is crucial to address the tests highlighted in section 3.4, and to target a final product with density, heat value, viscosity and flash point equivalent to fossil counter-part. The upgrade and product quality can pose a trade-off between production costs and market pricing, which must be considered when more information about the product is available.</w:t>
      </w:r>
      <w:r w:rsidRPr="00340A14">
        <w:rPr>
          <w:rFonts w:asciiTheme="majorHAnsi" w:hAnsiTheme="majorHAnsi" w:cstheme="majorHAnsi"/>
          <w:color w:val="1F1F1F"/>
          <w:sz w:val="22"/>
          <w:szCs w:val="22"/>
        </w:rPr>
        <w:t> </w:t>
      </w:r>
    </w:p>
    <w:p w14:paraId="3842BAA6" w14:textId="085D706C"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Finally, the production cost</w:t>
      </w:r>
      <w:r w:rsidR="00AB7E60">
        <w:rPr>
          <w:rFonts w:asciiTheme="majorHAnsi" w:hAnsiTheme="majorHAnsi" w:cstheme="majorHAnsi"/>
          <w:color w:val="1F1F1F"/>
          <w:sz w:val="22"/>
          <w:szCs w:val="22"/>
          <w:lang w:val="en-GB"/>
        </w:rPr>
        <w:t>. A</w:t>
      </w:r>
      <w:r w:rsidRPr="00340A14">
        <w:rPr>
          <w:rFonts w:asciiTheme="majorHAnsi" w:hAnsiTheme="majorHAnsi" w:cstheme="majorHAnsi"/>
          <w:color w:val="1F1F1F"/>
          <w:sz w:val="22"/>
          <w:szCs w:val="22"/>
          <w:lang w:val="en-GB"/>
        </w:rPr>
        <w:t xml:space="preserve">s just mentioned, </w:t>
      </w:r>
      <w:r w:rsidR="00AB7E60">
        <w:rPr>
          <w:rFonts w:asciiTheme="majorHAnsi" w:hAnsiTheme="majorHAnsi" w:cstheme="majorHAnsi"/>
          <w:color w:val="1F1F1F"/>
          <w:sz w:val="22"/>
          <w:szCs w:val="22"/>
          <w:lang w:val="en-GB"/>
        </w:rPr>
        <w:t xml:space="preserve">it </w:t>
      </w:r>
      <w:r w:rsidRPr="00340A14">
        <w:rPr>
          <w:rFonts w:asciiTheme="majorHAnsi" w:hAnsiTheme="majorHAnsi" w:cstheme="majorHAnsi"/>
          <w:color w:val="1F1F1F"/>
          <w:sz w:val="22"/>
          <w:szCs w:val="22"/>
          <w:lang w:val="en-GB"/>
        </w:rPr>
        <w:t xml:space="preserve">must be considered together with product specifications. Ideally, the Bio-HFO will benefit from the premium related to emissions, which should not be outnumbered by the production cost, as discussed in section 4.2. Fossil-based inputs, such as methanol, must be recycled to avoid extra GHG load from the production background, in order to keep GHG emissions </w:t>
      </w:r>
      <w:r w:rsidR="000205AF">
        <w:rPr>
          <w:rFonts w:asciiTheme="majorHAnsi" w:hAnsiTheme="majorHAnsi" w:cstheme="majorHAnsi"/>
          <w:color w:val="1F1F1F"/>
          <w:sz w:val="22"/>
          <w:szCs w:val="22"/>
          <w:lang w:val="en-GB"/>
        </w:rPr>
        <w:t xml:space="preserve">as </w:t>
      </w:r>
      <w:r w:rsidRPr="00340A14">
        <w:rPr>
          <w:rFonts w:asciiTheme="majorHAnsi" w:hAnsiTheme="majorHAnsi" w:cstheme="majorHAnsi"/>
          <w:color w:val="1F1F1F"/>
          <w:sz w:val="22"/>
          <w:szCs w:val="22"/>
          <w:lang w:val="en-GB"/>
        </w:rPr>
        <w:t>lower as possible.</w:t>
      </w:r>
      <w:r w:rsidRPr="00340A14">
        <w:rPr>
          <w:rFonts w:asciiTheme="majorHAnsi" w:hAnsiTheme="majorHAnsi" w:cstheme="majorHAnsi"/>
          <w:color w:val="1F1F1F"/>
          <w:sz w:val="22"/>
          <w:szCs w:val="22"/>
        </w:rPr>
        <w:t> </w:t>
      </w:r>
      <w:r w:rsidR="00740382">
        <w:rPr>
          <w:rFonts w:asciiTheme="majorHAnsi" w:hAnsiTheme="majorHAnsi" w:cstheme="majorHAnsi"/>
          <w:color w:val="1F1F1F"/>
          <w:sz w:val="22"/>
          <w:szCs w:val="22"/>
        </w:rPr>
        <w:t xml:space="preserve">This should be carefully addressed in LCA studies. </w:t>
      </w:r>
    </w:p>
    <w:p w14:paraId="72FF4912" w14:textId="1B841D55" w:rsidR="00340A14" w:rsidRDefault="00340A14" w:rsidP="00340A14">
      <w:pPr>
        <w:spacing w:after="120" w:line="360" w:lineRule="auto"/>
        <w:ind w:firstLine="720"/>
        <w:textAlignment w:val="baseline"/>
        <w:rPr>
          <w:rFonts w:asciiTheme="majorHAnsi" w:hAnsiTheme="majorHAnsi" w:cstheme="majorHAnsi"/>
          <w:color w:val="1F1F1F"/>
          <w:sz w:val="22"/>
          <w:szCs w:val="22"/>
        </w:rPr>
      </w:pPr>
      <w:r w:rsidRPr="00340A14">
        <w:rPr>
          <w:rFonts w:asciiTheme="majorHAnsi" w:hAnsiTheme="majorHAnsi" w:cstheme="majorHAnsi"/>
          <w:color w:val="1F1F1F"/>
          <w:sz w:val="22"/>
          <w:szCs w:val="22"/>
          <w:lang w:val="en-GB"/>
        </w:rPr>
        <w:t xml:space="preserve">The map of the alternative fuels considered in this report is presented in table </w:t>
      </w:r>
      <w:r w:rsidR="002E4890">
        <w:rPr>
          <w:rFonts w:asciiTheme="majorHAnsi" w:hAnsiTheme="majorHAnsi" w:cstheme="majorHAnsi"/>
          <w:color w:val="1F1F1F"/>
          <w:sz w:val="22"/>
          <w:szCs w:val="22"/>
          <w:lang w:val="en-GB"/>
        </w:rPr>
        <w:t>6</w:t>
      </w:r>
      <w:r w:rsidRPr="00340A14">
        <w:rPr>
          <w:rFonts w:asciiTheme="majorHAnsi" w:hAnsiTheme="majorHAnsi" w:cstheme="majorHAnsi"/>
          <w:color w:val="1F1F1F"/>
          <w:sz w:val="22"/>
          <w:szCs w:val="22"/>
          <w:lang w:val="en-GB"/>
        </w:rPr>
        <w:t>.  For each option a grade is given against specific and relevant criterion</w:t>
      </w:r>
      <w:r w:rsidR="000205AF">
        <w:rPr>
          <w:rFonts w:asciiTheme="majorHAnsi" w:hAnsiTheme="majorHAnsi" w:cstheme="majorHAnsi"/>
          <w:color w:val="1F1F1F"/>
          <w:sz w:val="22"/>
          <w:szCs w:val="22"/>
          <w:lang w:val="en-GB"/>
        </w:rPr>
        <w:t>. G</w:t>
      </w:r>
      <w:r w:rsidRPr="00340A14">
        <w:rPr>
          <w:rFonts w:asciiTheme="majorHAnsi" w:hAnsiTheme="majorHAnsi" w:cstheme="majorHAnsi"/>
          <w:color w:val="1F1F1F"/>
          <w:sz w:val="22"/>
          <w:szCs w:val="22"/>
          <w:lang w:val="en-GB"/>
        </w:rPr>
        <w:t>rades range from 1 to 5, 1 as very negative and 5 as very positive.</w:t>
      </w:r>
      <w:r w:rsidRPr="00340A14">
        <w:rPr>
          <w:rFonts w:asciiTheme="majorHAnsi" w:hAnsiTheme="majorHAnsi" w:cstheme="majorHAnsi"/>
          <w:color w:val="1F1F1F"/>
          <w:sz w:val="22"/>
          <w:szCs w:val="22"/>
        </w:rPr>
        <w:t> </w:t>
      </w:r>
      <w:r w:rsidR="00591C74">
        <w:rPr>
          <w:rFonts w:asciiTheme="majorHAnsi" w:hAnsiTheme="majorHAnsi" w:cstheme="majorHAnsi"/>
          <w:color w:val="1F1F1F"/>
          <w:sz w:val="22"/>
          <w:szCs w:val="22"/>
        </w:rPr>
        <w:t>Once the Bio-HFO has been carefully qualified, it can be assessed an compared with respect to these fuels</w:t>
      </w:r>
      <w:r w:rsidR="000205AF">
        <w:rPr>
          <w:rFonts w:asciiTheme="majorHAnsi" w:hAnsiTheme="majorHAnsi" w:cstheme="majorHAnsi"/>
          <w:color w:val="1F1F1F"/>
          <w:sz w:val="22"/>
          <w:szCs w:val="22"/>
        </w:rPr>
        <w:t xml:space="preserve">, </w:t>
      </w:r>
      <w:r w:rsidR="00591C74">
        <w:rPr>
          <w:rFonts w:asciiTheme="majorHAnsi" w:hAnsiTheme="majorHAnsi" w:cstheme="majorHAnsi"/>
          <w:color w:val="1F1F1F"/>
          <w:sz w:val="22"/>
          <w:szCs w:val="22"/>
        </w:rPr>
        <w:t>obtain</w:t>
      </w:r>
      <w:r w:rsidR="000205AF">
        <w:rPr>
          <w:rFonts w:asciiTheme="majorHAnsi" w:hAnsiTheme="majorHAnsi" w:cstheme="majorHAnsi"/>
          <w:color w:val="1F1F1F"/>
          <w:sz w:val="22"/>
          <w:szCs w:val="22"/>
        </w:rPr>
        <w:t>ing</w:t>
      </w:r>
      <w:r w:rsidR="00591C74">
        <w:rPr>
          <w:rFonts w:asciiTheme="majorHAnsi" w:hAnsiTheme="majorHAnsi" w:cstheme="majorHAnsi"/>
          <w:color w:val="1F1F1F"/>
          <w:sz w:val="22"/>
          <w:szCs w:val="22"/>
        </w:rPr>
        <w:t xml:space="preserve"> </w:t>
      </w:r>
      <w:r w:rsidR="000205AF">
        <w:rPr>
          <w:rFonts w:asciiTheme="majorHAnsi" w:hAnsiTheme="majorHAnsi" w:cstheme="majorHAnsi"/>
          <w:color w:val="1F1F1F"/>
          <w:sz w:val="22"/>
          <w:szCs w:val="22"/>
        </w:rPr>
        <w:t>sharper</w:t>
      </w:r>
      <w:r w:rsidR="00591C74">
        <w:rPr>
          <w:rFonts w:asciiTheme="majorHAnsi" w:hAnsiTheme="majorHAnsi" w:cstheme="majorHAnsi"/>
          <w:color w:val="1F1F1F"/>
          <w:sz w:val="22"/>
          <w:szCs w:val="22"/>
        </w:rPr>
        <w:t xml:space="preserve"> market position.</w:t>
      </w:r>
    </w:p>
    <w:p w14:paraId="23CF04F5" w14:textId="5E1EC70F" w:rsidR="00DC3405" w:rsidRDefault="00DC3405">
      <w:pPr>
        <w:spacing w:after="160" w:line="259" w:lineRule="auto"/>
        <w:jc w:val="left"/>
        <w:rPr>
          <w:rFonts w:ascii="Segoe UI" w:hAnsi="Segoe UI" w:cs="Segoe UI"/>
          <w:color w:val="1F1F1F"/>
          <w:sz w:val="18"/>
          <w:szCs w:val="18"/>
        </w:rPr>
      </w:pPr>
      <w:r>
        <w:rPr>
          <w:rFonts w:ascii="Segoe UI" w:hAnsi="Segoe UI" w:cs="Segoe UI"/>
          <w:color w:val="1F1F1F"/>
          <w:sz w:val="18"/>
          <w:szCs w:val="18"/>
        </w:rPr>
        <w:br w:type="page"/>
      </w:r>
    </w:p>
    <w:p w14:paraId="5DC7676F" w14:textId="77777777" w:rsidR="00340A14" w:rsidRPr="00340A14" w:rsidRDefault="00340A14" w:rsidP="00340A14">
      <w:pPr>
        <w:ind w:firstLine="720"/>
        <w:textAlignment w:val="baseline"/>
        <w:rPr>
          <w:rFonts w:ascii="Segoe UI" w:hAnsi="Segoe UI" w:cs="Segoe UI"/>
          <w:color w:val="1F1F1F"/>
          <w:sz w:val="18"/>
          <w:szCs w:val="18"/>
        </w:rPr>
      </w:pPr>
    </w:p>
    <w:p w14:paraId="3EB2D77C" w14:textId="3F029BD5" w:rsidR="002E4890" w:rsidRDefault="002E4890" w:rsidP="002E4890">
      <w:pPr>
        <w:pStyle w:val="Caption"/>
        <w:keepNext/>
      </w:pPr>
      <w:bookmarkStart w:id="47" w:name="_Toc85627892"/>
      <w:bookmarkStart w:id="48" w:name="_Toc85627898"/>
      <w:r>
        <w:t xml:space="preserve">Table </w:t>
      </w:r>
      <w:fldSimple w:instr=" SEQ Table \* ARABIC ">
        <w:r w:rsidR="009C66F7">
          <w:rPr>
            <w:noProof/>
          </w:rPr>
          <w:t>6</w:t>
        </w:r>
      </w:fldSimple>
      <w:r>
        <w:t>. Marine fuels map</w:t>
      </w:r>
      <w:bookmarkEnd w:id="47"/>
      <w:bookmarkEnd w:id="48"/>
    </w:p>
    <w:tbl>
      <w:tblPr>
        <w:tblW w:w="86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855"/>
        <w:gridCol w:w="1095"/>
        <w:gridCol w:w="1110"/>
        <w:gridCol w:w="1095"/>
        <w:gridCol w:w="1170"/>
        <w:gridCol w:w="1200"/>
      </w:tblGrid>
      <w:tr w:rsidR="00340A14" w:rsidRPr="00340A14" w14:paraId="2E460C2D" w14:textId="77777777" w:rsidTr="0040379B">
        <w:trPr>
          <w:jc w:val="center"/>
        </w:trPr>
        <w:tc>
          <w:tcPr>
            <w:tcW w:w="2160" w:type="dxa"/>
            <w:tcBorders>
              <w:top w:val="nil"/>
              <w:left w:val="nil"/>
              <w:bottom w:val="nil"/>
              <w:right w:val="nil"/>
            </w:tcBorders>
            <w:shd w:val="clear" w:color="auto" w:fill="auto"/>
            <w:vAlign w:val="center"/>
            <w:hideMark/>
          </w:tcPr>
          <w:p w14:paraId="46A3356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3060" w:type="dxa"/>
            <w:gridSpan w:val="3"/>
            <w:tcBorders>
              <w:top w:val="nil"/>
              <w:left w:val="nil"/>
              <w:bottom w:val="single" w:sz="6" w:space="0" w:color="000000"/>
              <w:right w:val="nil"/>
            </w:tcBorders>
            <w:shd w:val="clear" w:color="auto" w:fill="auto"/>
            <w:vAlign w:val="center"/>
            <w:hideMark/>
          </w:tcPr>
          <w:p w14:paraId="7E4529B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Fossil</w:t>
            </w:r>
            <w:r w:rsidRPr="00340A14">
              <w:rPr>
                <w:rFonts w:ascii="Times New Roman" w:hAnsi="Times New Roman"/>
                <w:color w:val="1F1F1F"/>
                <w:sz w:val="20"/>
              </w:rPr>
              <w:t> </w:t>
            </w:r>
          </w:p>
        </w:tc>
        <w:tc>
          <w:tcPr>
            <w:tcW w:w="3465" w:type="dxa"/>
            <w:gridSpan w:val="3"/>
            <w:tcBorders>
              <w:top w:val="nil"/>
              <w:left w:val="nil"/>
              <w:bottom w:val="single" w:sz="6" w:space="0" w:color="000000"/>
              <w:right w:val="nil"/>
            </w:tcBorders>
            <w:shd w:val="clear" w:color="auto" w:fill="auto"/>
            <w:vAlign w:val="center"/>
            <w:hideMark/>
          </w:tcPr>
          <w:p w14:paraId="3E5DC47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Renewable</w:t>
            </w:r>
            <w:r w:rsidRPr="00340A14">
              <w:rPr>
                <w:rFonts w:ascii="Times New Roman" w:hAnsi="Times New Roman"/>
                <w:color w:val="1F1F1F"/>
                <w:sz w:val="20"/>
              </w:rPr>
              <w:t> </w:t>
            </w:r>
          </w:p>
        </w:tc>
      </w:tr>
      <w:tr w:rsidR="00340A14" w:rsidRPr="00340A14" w14:paraId="06BA4E93" w14:textId="77777777" w:rsidTr="0040379B">
        <w:trPr>
          <w:jc w:val="center"/>
        </w:trPr>
        <w:tc>
          <w:tcPr>
            <w:tcW w:w="2160" w:type="dxa"/>
            <w:tcBorders>
              <w:top w:val="nil"/>
              <w:left w:val="nil"/>
              <w:bottom w:val="nil"/>
              <w:right w:val="nil"/>
            </w:tcBorders>
            <w:shd w:val="clear" w:color="auto" w:fill="auto"/>
            <w:vAlign w:val="center"/>
            <w:hideMark/>
          </w:tcPr>
          <w:p w14:paraId="504DEE1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855" w:type="dxa"/>
            <w:tcBorders>
              <w:top w:val="single" w:sz="6" w:space="0" w:color="000000"/>
              <w:left w:val="nil"/>
              <w:bottom w:val="single" w:sz="6" w:space="0" w:color="000000"/>
              <w:right w:val="nil"/>
            </w:tcBorders>
            <w:shd w:val="clear" w:color="auto" w:fill="auto"/>
            <w:vAlign w:val="center"/>
            <w:hideMark/>
          </w:tcPr>
          <w:p w14:paraId="58B4D19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HFO</w:t>
            </w:r>
            <w:r w:rsidRPr="00340A14">
              <w:rPr>
                <w:rFonts w:ascii="Times New Roman" w:hAnsi="Times New Roman"/>
                <w:color w:val="1F1F1F"/>
                <w:sz w:val="20"/>
              </w:rPr>
              <w:t> </w:t>
            </w:r>
          </w:p>
        </w:tc>
        <w:tc>
          <w:tcPr>
            <w:tcW w:w="1095" w:type="dxa"/>
            <w:tcBorders>
              <w:top w:val="single" w:sz="6" w:space="0" w:color="000000"/>
              <w:left w:val="nil"/>
              <w:bottom w:val="single" w:sz="6" w:space="0" w:color="000000"/>
              <w:right w:val="nil"/>
            </w:tcBorders>
            <w:shd w:val="clear" w:color="auto" w:fill="auto"/>
            <w:vAlign w:val="center"/>
            <w:hideMark/>
          </w:tcPr>
          <w:p w14:paraId="2BD9356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LNG</w:t>
            </w:r>
            <w:r w:rsidRPr="00340A14">
              <w:rPr>
                <w:rFonts w:ascii="Times New Roman" w:hAnsi="Times New Roman"/>
                <w:color w:val="1F1F1F"/>
                <w:sz w:val="20"/>
              </w:rPr>
              <w:t> </w:t>
            </w:r>
          </w:p>
        </w:tc>
        <w:tc>
          <w:tcPr>
            <w:tcW w:w="1110" w:type="dxa"/>
            <w:tcBorders>
              <w:top w:val="single" w:sz="6" w:space="0" w:color="000000"/>
              <w:left w:val="nil"/>
              <w:bottom w:val="single" w:sz="6" w:space="0" w:color="000000"/>
              <w:right w:val="nil"/>
            </w:tcBorders>
            <w:shd w:val="clear" w:color="auto" w:fill="auto"/>
            <w:vAlign w:val="center"/>
            <w:hideMark/>
          </w:tcPr>
          <w:p w14:paraId="46E3201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Methanol</w:t>
            </w:r>
            <w:r w:rsidRPr="00340A14">
              <w:rPr>
                <w:rFonts w:ascii="Times New Roman" w:hAnsi="Times New Roman"/>
                <w:color w:val="1F1F1F"/>
                <w:sz w:val="20"/>
              </w:rPr>
              <w:t> </w:t>
            </w:r>
          </w:p>
        </w:tc>
        <w:tc>
          <w:tcPr>
            <w:tcW w:w="1095" w:type="dxa"/>
            <w:tcBorders>
              <w:top w:val="single" w:sz="6" w:space="0" w:color="000000"/>
              <w:left w:val="nil"/>
              <w:bottom w:val="single" w:sz="6" w:space="0" w:color="000000"/>
              <w:right w:val="nil"/>
            </w:tcBorders>
            <w:shd w:val="clear" w:color="auto" w:fill="auto"/>
            <w:vAlign w:val="center"/>
            <w:hideMark/>
          </w:tcPr>
          <w:p w14:paraId="1253D50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Biofuels</w:t>
            </w:r>
            <w:r w:rsidRPr="00340A14">
              <w:rPr>
                <w:rFonts w:ascii="Times New Roman" w:hAnsi="Times New Roman"/>
                <w:color w:val="1F1F1F"/>
                <w:sz w:val="20"/>
              </w:rPr>
              <w:t> </w:t>
            </w:r>
          </w:p>
        </w:tc>
        <w:tc>
          <w:tcPr>
            <w:tcW w:w="1170" w:type="dxa"/>
            <w:tcBorders>
              <w:top w:val="single" w:sz="6" w:space="0" w:color="000000"/>
              <w:left w:val="nil"/>
              <w:bottom w:val="single" w:sz="6" w:space="0" w:color="000000"/>
              <w:right w:val="nil"/>
            </w:tcBorders>
            <w:shd w:val="clear" w:color="auto" w:fill="auto"/>
            <w:vAlign w:val="center"/>
            <w:hideMark/>
          </w:tcPr>
          <w:p w14:paraId="351F1A0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 Ammonia</w:t>
            </w:r>
            <w:r w:rsidRPr="00340A14">
              <w:rPr>
                <w:rFonts w:ascii="Times New Roman" w:hAnsi="Times New Roman"/>
                <w:color w:val="1F1F1F"/>
                <w:sz w:val="20"/>
              </w:rPr>
              <w:t> </w:t>
            </w:r>
          </w:p>
        </w:tc>
        <w:tc>
          <w:tcPr>
            <w:tcW w:w="1200" w:type="dxa"/>
            <w:tcBorders>
              <w:top w:val="single" w:sz="6" w:space="0" w:color="000000"/>
              <w:left w:val="nil"/>
              <w:bottom w:val="single" w:sz="6" w:space="0" w:color="000000"/>
              <w:right w:val="nil"/>
            </w:tcBorders>
            <w:shd w:val="clear" w:color="auto" w:fill="auto"/>
            <w:vAlign w:val="center"/>
            <w:hideMark/>
          </w:tcPr>
          <w:p w14:paraId="0536146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 Hydrogen</w:t>
            </w:r>
            <w:r w:rsidRPr="00340A14">
              <w:rPr>
                <w:rFonts w:ascii="Times New Roman" w:hAnsi="Times New Roman"/>
                <w:color w:val="1F1F1F"/>
                <w:sz w:val="20"/>
              </w:rPr>
              <w:t> </w:t>
            </w:r>
          </w:p>
        </w:tc>
      </w:tr>
      <w:tr w:rsidR="00340A14" w:rsidRPr="00340A14" w14:paraId="5A1A3954" w14:textId="77777777" w:rsidTr="0040379B">
        <w:trPr>
          <w:jc w:val="center"/>
        </w:trPr>
        <w:tc>
          <w:tcPr>
            <w:tcW w:w="2160" w:type="dxa"/>
            <w:tcBorders>
              <w:top w:val="nil"/>
              <w:left w:val="nil"/>
              <w:bottom w:val="nil"/>
              <w:right w:val="nil"/>
            </w:tcBorders>
            <w:shd w:val="clear" w:color="auto" w:fill="A6A6A6"/>
            <w:vAlign w:val="center"/>
            <w:hideMark/>
          </w:tcPr>
          <w:p w14:paraId="346520F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High Priority</w:t>
            </w:r>
            <w:r w:rsidRPr="00340A14">
              <w:rPr>
                <w:rFonts w:ascii="Times New Roman" w:hAnsi="Times New Roman"/>
                <w:color w:val="1F1F1F"/>
                <w:sz w:val="20"/>
              </w:rPr>
              <w:t> </w:t>
            </w:r>
          </w:p>
        </w:tc>
        <w:tc>
          <w:tcPr>
            <w:tcW w:w="855" w:type="dxa"/>
            <w:tcBorders>
              <w:top w:val="single" w:sz="6" w:space="0" w:color="000000"/>
              <w:left w:val="nil"/>
              <w:bottom w:val="nil"/>
              <w:right w:val="nil"/>
            </w:tcBorders>
            <w:shd w:val="clear" w:color="auto" w:fill="A6A6A6"/>
            <w:vAlign w:val="center"/>
            <w:hideMark/>
          </w:tcPr>
          <w:p w14:paraId="26AF5D9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30A6D907"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10" w:type="dxa"/>
            <w:tcBorders>
              <w:top w:val="single" w:sz="6" w:space="0" w:color="000000"/>
              <w:left w:val="nil"/>
              <w:bottom w:val="nil"/>
              <w:right w:val="nil"/>
            </w:tcBorders>
            <w:shd w:val="clear" w:color="auto" w:fill="A6A6A6"/>
            <w:vAlign w:val="center"/>
            <w:hideMark/>
          </w:tcPr>
          <w:p w14:paraId="0BE0B39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46567DB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70" w:type="dxa"/>
            <w:tcBorders>
              <w:top w:val="single" w:sz="6" w:space="0" w:color="000000"/>
              <w:left w:val="nil"/>
              <w:bottom w:val="nil"/>
              <w:right w:val="nil"/>
            </w:tcBorders>
            <w:shd w:val="clear" w:color="auto" w:fill="A6A6A6"/>
            <w:vAlign w:val="center"/>
            <w:hideMark/>
          </w:tcPr>
          <w:p w14:paraId="7F22023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200" w:type="dxa"/>
            <w:tcBorders>
              <w:top w:val="single" w:sz="6" w:space="0" w:color="000000"/>
              <w:left w:val="nil"/>
              <w:bottom w:val="nil"/>
              <w:right w:val="nil"/>
            </w:tcBorders>
            <w:shd w:val="clear" w:color="auto" w:fill="A6A6A6"/>
            <w:vAlign w:val="center"/>
            <w:hideMark/>
          </w:tcPr>
          <w:p w14:paraId="56BADF6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r>
      <w:tr w:rsidR="00340A14" w:rsidRPr="00340A14" w14:paraId="0D659244" w14:textId="77777777" w:rsidTr="0040379B">
        <w:trPr>
          <w:jc w:val="center"/>
        </w:trPr>
        <w:tc>
          <w:tcPr>
            <w:tcW w:w="2160" w:type="dxa"/>
            <w:tcBorders>
              <w:top w:val="nil"/>
              <w:left w:val="nil"/>
              <w:bottom w:val="nil"/>
              <w:right w:val="nil"/>
            </w:tcBorders>
            <w:shd w:val="clear" w:color="auto" w:fill="auto"/>
            <w:vAlign w:val="center"/>
            <w:hideMark/>
          </w:tcPr>
          <w:p w14:paraId="3B16387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Energy Density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5E80E4C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11D48A7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21CFF21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186F21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7102036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7549058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r>
      <w:tr w:rsidR="00340A14" w:rsidRPr="00340A14" w14:paraId="34BEEE1B" w14:textId="77777777" w:rsidTr="0040379B">
        <w:trPr>
          <w:jc w:val="center"/>
        </w:trPr>
        <w:tc>
          <w:tcPr>
            <w:tcW w:w="2160" w:type="dxa"/>
            <w:tcBorders>
              <w:top w:val="nil"/>
              <w:left w:val="nil"/>
              <w:bottom w:val="nil"/>
              <w:right w:val="nil"/>
            </w:tcBorders>
            <w:shd w:val="clear" w:color="auto" w:fill="auto"/>
            <w:vAlign w:val="center"/>
            <w:hideMark/>
          </w:tcPr>
          <w:p w14:paraId="0CA8F12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Technological Maturity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4839273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53A2109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0B645A9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3F4EB0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05E8B1D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4AFBB0E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r>
      <w:tr w:rsidR="00340A14" w:rsidRPr="00340A14" w14:paraId="746D30F0" w14:textId="77777777" w:rsidTr="0040379B">
        <w:trPr>
          <w:jc w:val="center"/>
        </w:trPr>
        <w:tc>
          <w:tcPr>
            <w:tcW w:w="2160" w:type="dxa"/>
            <w:tcBorders>
              <w:top w:val="nil"/>
              <w:left w:val="nil"/>
              <w:bottom w:val="nil"/>
              <w:right w:val="nil"/>
            </w:tcBorders>
            <w:shd w:val="clear" w:color="auto" w:fill="auto"/>
            <w:vAlign w:val="center"/>
            <w:hideMark/>
          </w:tcPr>
          <w:p w14:paraId="1BC1474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Total Emissions</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60D7E427"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55588DF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414A7EB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61EB16D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12D89F2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1B5DB17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r>
      <w:tr w:rsidR="00340A14" w:rsidRPr="00340A14" w14:paraId="3F76B5FC" w14:textId="77777777" w:rsidTr="0040379B">
        <w:trPr>
          <w:jc w:val="center"/>
        </w:trPr>
        <w:tc>
          <w:tcPr>
            <w:tcW w:w="2160" w:type="dxa"/>
            <w:tcBorders>
              <w:top w:val="nil"/>
              <w:left w:val="nil"/>
              <w:bottom w:val="nil"/>
              <w:right w:val="nil"/>
            </w:tcBorders>
            <w:shd w:val="clear" w:color="auto" w:fill="auto"/>
            <w:vAlign w:val="center"/>
            <w:hideMark/>
          </w:tcPr>
          <w:p w14:paraId="1BFB4ED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Energy Cost</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130B637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36F4C22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66C807E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2E5528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529B3AA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2825714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6FA81E11" w14:textId="77777777" w:rsidTr="0040379B">
        <w:trPr>
          <w:jc w:val="center"/>
        </w:trPr>
        <w:tc>
          <w:tcPr>
            <w:tcW w:w="2160" w:type="dxa"/>
            <w:tcBorders>
              <w:top w:val="nil"/>
              <w:left w:val="nil"/>
              <w:bottom w:val="nil"/>
              <w:right w:val="nil"/>
            </w:tcBorders>
            <w:shd w:val="clear" w:color="auto" w:fill="auto"/>
            <w:vAlign w:val="center"/>
            <w:hideMark/>
          </w:tcPr>
          <w:p w14:paraId="4830698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Capital Cost</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044E1A5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356615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63E019B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7488C8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2542FBB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15BF86E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6D7EFDDE" w14:textId="77777777" w:rsidTr="0040379B">
        <w:trPr>
          <w:jc w:val="center"/>
        </w:trPr>
        <w:tc>
          <w:tcPr>
            <w:tcW w:w="2160" w:type="dxa"/>
            <w:tcBorders>
              <w:top w:val="nil"/>
              <w:left w:val="nil"/>
              <w:bottom w:val="nil"/>
              <w:right w:val="nil"/>
            </w:tcBorders>
            <w:shd w:val="clear" w:color="auto" w:fill="auto"/>
            <w:vAlign w:val="center"/>
            <w:hideMark/>
          </w:tcPr>
          <w:p w14:paraId="1F966891" w14:textId="66D75AA6"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 xml:space="preserve">Bunkering </w:t>
            </w:r>
            <w:r w:rsidR="00ED64F9" w:rsidRPr="00340A14">
              <w:rPr>
                <w:rFonts w:ascii="Times New Roman" w:hAnsi="Times New Roman"/>
                <w:color w:val="1F1F1F"/>
                <w:sz w:val="20"/>
                <w:lang w:val="en-GB"/>
              </w:rPr>
              <w:t>Availability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683635D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02BCC85C"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1F5F34E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27E818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6A3CEF1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3EAC27C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67DA764F" w14:textId="77777777" w:rsidTr="0040379B">
        <w:trPr>
          <w:jc w:val="center"/>
        </w:trPr>
        <w:tc>
          <w:tcPr>
            <w:tcW w:w="2160" w:type="dxa"/>
            <w:tcBorders>
              <w:top w:val="nil"/>
              <w:left w:val="nil"/>
              <w:bottom w:val="single" w:sz="6" w:space="0" w:color="000000"/>
              <w:right w:val="nil"/>
            </w:tcBorders>
            <w:shd w:val="clear" w:color="auto" w:fill="auto"/>
            <w:vAlign w:val="center"/>
            <w:hideMark/>
          </w:tcPr>
          <w:p w14:paraId="3BDE222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Commercial Readiness</w:t>
            </w:r>
            <w:r w:rsidRPr="00340A14">
              <w:rPr>
                <w:rFonts w:ascii="Times New Roman" w:hAnsi="Times New Roman"/>
                <w:color w:val="1F1F1F"/>
                <w:sz w:val="20"/>
              </w:rPr>
              <w:t> </w:t>
            </w:r>
          </w:p>
        </w:tc>
        <w:tc>
          <w:tcPr>
            <w:tcW w:w="855" w:type="dxa"/>
            <w:tcBorders>
              <w:top w:val="nil"/>
              <w:left w:val="nil"/>
              <w:bottom w:val="single" w:sz="6" w:space="0" w:color="000000"/>
              <w:right w:val="nil"/>
            </w:tcBorders>
            <w:shd w:val="clear" w:color="auto" w:fill="auto"/>
            <w:vAlign w:val="center"/>
            <w:hideMark/>
          </w:tcPr>
          <w:p w14:paraId="53D16A1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23E0D7F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single" w:sz="6" w:space="0" w:color="000000"/>
              <w:right w:val="nil"/>
            </w:tcBorders>
            <w:shd w:val="clear" w:color="auto" w:fill="auto"/>
            <w:vAlign w:val="center"/>
            <w:hideMark/>
          </w:tcPr>
          <w:p w14:paraId="03C9FB1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76B3865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3-4</w:t>
            </w:r>
            <w:r w:rsidRPr="00340A14">
              <w:rPr>
                <w:rFonts w:ascii="Times New Roman" w:hAnsi="Times New Roman"/>
                <w:color w:val="1F1F1F"/>
                <w:sz w:val="20"/>
              </w:rPr>
              <w:t> </w:t>
            </w:r>
          </w:p>
        </w:tc>
        <w:tc>
          <w:tcPr>
            <w:tcW w:w="1170" w:type="dxa"/>
            <w:tcBorders>
              <w:top w:val="nil"/>
              <w:left w:val="nil"/>
              <w:bottom w:val="single" w:sz="6" w:space="0" w:color="000000"/>
              <w:right w:val="nil"/>
            </w:tcBorders>
            <w:shd w:val="clear" w:color="auto" w:fill="auto"/>
            <w:vAlign w:val="center"/>
            <w:hideMark/>
          </w:tcPr>
          <w:p w14:paraId="603491C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single" w:sz="6" w:space="0" w:color="000000"/>
              <w:right w:val="nil"/>
            </w:tcBorders>
            <w:shd w:val="clear" w:color="auto" w:fill="auto"/>
            <w:vAlign w:val="center"/>
            <w:hideMark/>
          </w:tcPr>
          <w:p w14:paraId="5BC9CD6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3779837C" w14:textId="77777777" w:rsidTr="0040379B">
        <w:trPr>
          <w:jc w:val="center"/>
        </w:trPr>
        <w:tc>
          <w:tcPr>
            <w:tcW w:w="2160" w:type="dxa"/>
            <w:tcBorders>
              <w:top w:val="single" w:sz="6" w:space="0" w:color="000000"/>
              <w:left w:val="nil"/>
              <w:bottom w:val="nil"/>
              <w:right w:val="nil"/>
            </w:tcBorders>
            <w:shd w:val="clear" w:color="auto" w:fill="A6A6A6"/>
            <w:vAlign w:val="center"/>
            <w:hideMark/>
          </w:tcPr>
          <w:p w14:paraId="42F998E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Key Parameters</w:t>
            </w:r>
            <w:r w:rsidRPr="00340A14">
              <w:rPr>
                <w:rFonts w:ascii="Times New Roman" w:hAnsi="Times New Roman"/>
                <w:color w:val="1F1F1F"/>
                <w:sz w:val="20"/>
              </w:rPr>
              <w:t> </w:t>
            </w:r>
          </w:p>
        </w:tc>
        <w:tc>
          <w:tcPr>
            <w:tcW w:w="855" w:type="dxa"/>
            <w:tcBorders>
              <w:top w:val="single" w:sz="6" w:space="0" w:color="000000"/>
              <w:left w:val="nil"/>
              <w:bottom w:val="nil"/>
              <w:right w:val="nil"/>
            </w:tcBorders>
            <w:shd w:val="clear" w:color="auto" w:fill="A6A6A6"/>
            <w:vAlign w:val="center"/>
            <w:hideMark/>
          </w:tcPr>
          <w:p w14:paraId="7C6AC3F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26EC6E2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10" w:type="dxa"/>
            <w:tcBorders>
              <w:top w:val="single" w:sz="6" w:space="0" w:color="000000"/>
              <w:left w:val="nil"/>
              <w:bottom w:val="nil"/>
              <w:right w:val="nil"/>
            </w:tcBorders>
            <w:shd w:val="clear" w:color="auto" w:fill="A6A6A6"/>
            <w:vAlign w:val="center"/>
            <w:hideMark/>
          </w:tcPr>
          <w:p w14:paraId="574A105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4F622C27"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70" w:type="dxa"/>
            <w:tcBorders>
              <w:top w:val="single" w:sz="6" w:space="0" w:color="000000"/>
              <w:left w:val="nil"/>
              <w:bottom w:val="nil"/>
              <w:right w:val="nil"/>
            </w:tcBorders>
            <w:shd w:val="clear" w:color="auto" w:fill="A6A6A6"/>
            <w:vAlign w:val="center"/>
            <w:hideMark/>
          </w:tcPr>
          <w:p w14:paraId="0444BDB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200" w:type="dxa"/>
            <w:tcBorders>
              <w:top w:val="single" w:sz="6" w:space="0" w:color="000000"/>
              <w:left w:val="nil"/>
              <w:bottom w:val="nil"/>
              <w:right w:val="nil"/>
            </w:tcBorders>
            <w:shd w:val="clear" w:color="auto" w:fill="A6A6A6"/>
            <w:vAlign w:val="center"/>
            <w:hideMark/>
          </w:tcPr>
          <w:p w14:paraId="5C2FF93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r>
      <w:tr w:rsidR="00340A14" w:rsidRPr="00340A14" w14:paraId="3895E326" w14:textId="77777777" w:rsidTr="0040379B">
        <w:trPr>
          <w:jc w:val="center"/>
        </w:trPr>
        <w:tc>
          <w:tcPr>
            <w:tcW w:w="2160" w:type="dxa"/>
            <w:tcBorders>
              <w:top w:val="nil"/>
              <w:left w:val="nil"/>
              <w:bottom w:val="nil"/>
              <w:right w:val="nil"/>
            </w:tcBorders>
            <w:shd w:val="clear" w:color="auto" w:fill="auto"/>
            <w:vAlign w:val="center"/>
            <w:hideMark/>
          </w:tcPr>
          <w:p w14:paraId="4BB5FC3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Flammability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1F99D7D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6BF9673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59F946E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B20EB7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48F7451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5122A16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r>
      <w:tr w:rsidR="00340A14" w:rsidRPr="00340A14" w14:paraId="33325EB7" w14:textId="77777777" w:rsidTr="0040379B">
        <w:trPr>
          <w:jc w:val="center"/>
        </w:trPr>
        <w:tc>
          <w:tcPr>
            <w:tcW w:w="2160" w:type="dxa"/>
            <w:tcBorders>
              <w:top w:val="nil"/>
              <w:left w:val="nil"/>
              <w:bottom w:val="nil"/>
              <w:right w:val="nil"/>
            </w:tcBorders>
            <w:shd w:val="clear" w:color="auto" w:fill="auto"/>
            <w:vAlign w:val="center"/>
            <w:hideMark/>
          </w:tcPr>
          <w:p w14:paraId="69380BA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Toxicity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2623361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3-4</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FDF144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1C1AC92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AA3CEA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093CF08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01E46CE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r>
      <w:tr w:rsidR="00340A14" w:rsidRPr="00340A14" w14:paraId="7B0F1C50" w14:textId="77777777" w:rsidTr="0040379B">
        <w:trPr>
          <w:jc w:val="center"/>
        </w:trPr>
        <w:tc>
          <w:tcPr>
            <w:tcW w:w="2160" w:type="dxa"/>
            <w:tcBorders>
              <w:top w:val="nil"/>
              <w:left w:val="nil"/>
              <w:bottom w:val="single" w:sz="6" w:space="0" w:color="000000"/>
              <w:right w:val="nil"/>
            </w:tcBorders>
            <w:shd w:val="clear" w:color="auto" w:fill="auto"/>
            <w:vAlign w:val="center"/>
            <w:hideMark/>
          </w:tcPr>
          <w:p w14:paraId="2E685DF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Global production Capacity</w:t>
            </w:r>
            <w:r w:rsidRPr="00340A14">
              <w:rPr>
                <w:rFonts w:ascii="Times New Roman" w:hAnsi="Times New Roman"/>
                <w:color w:val="1F1F1F"/>
                <w:sz w:val="20"/>
              </w:rPr>
              <w:t> </w:t>
            </w:r>
          </w:p>
        </w:tc>
        <w:tc>
          <w:tcPr>
            <w:tcW w:w="855" w:type="dxa"/>
            <w:tcBorders>
              <w:top w:val="nil"/>
              <w:left w:val="nil"/>
              <w:bottom w:val="single" w:sz="6" w:space="0" w:color="000000"/>
              <w:right w:val="nil"/>
            </w:tcBorders>
            <w:shd w:val="clear" w:color="auto" w:fill="auto"/>
            <w:vAlign w:val="center"/>
            <w:hideMark/>
          </w:tcPr>
          <w:p w14:paraId="74E8874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179B308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single" w:sz="6" w:space="0" w:color="000000"/>
              <w:right w:val="nil"/>
            </w:tcBorders>
            <w:shd w:val="clear" w:color="auto" w:fill="auto"/>
            <w:vAlign w:val="center"/>
            <w:hideMark/>
          </w:tcPr>
          <w:p w14:paraId="37A23EB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664C630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170" w:type="dxa"/>
            <w:tcBorders>
              <w:top w:val="nil"/>
              <w:left w:val="nil"/>
              <w:bottom w:val="single" w:sz="6" w:space="0" w:color="000000"/>
              <w:right w:val="nil"/>
            </w:tcBorders>
            <w:shd w:val="clear" w:color="auto" w:fill="auto"/>
            <w:vAlign w:val="center"/>
            <w:hideMark/>
          </w:tcPr>
          <w:p w14:paraId="1B808D2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2-3</w:t>
            </w:r>
            <w:r w:rsidRPr="00340A14">
              <w:rPr>
                <w:rFonts w:ascii="Times New Roman" w:hAnsi="Times New Roman"/>
                <w:color w:val="1F1F1F"/>
                <w:sz w:val="20"/>
              </w:rPr>
              <w:t> </w:t>
            </w:r>
          </w:p>
        </w:tc>
        <w:tc>
          <w:tcPr>
            <w:tcW w:w="1200" w:type="dxa"/>
            <w:tcBorders>
              <w:top w:val="nil"/>
              <w:left w:val="nil"/>
              <w:bottom w:val="single" w:sz="6" w:space="0" w:color="000000"/>
              <w:right w:val="nil"/>
            </w:tcBorders>
            <w:shd w:val="clear" w:color="auto" w:fill="auto"/>
            <w:vAlign w:val="center"/>
            <w:hideMark/>
          </w:tcPr>
          <w:p w14:paraId="2DB45AE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r>
    </w:tbl>
    <w:p w14:paraId="22AB6B9F" w14:textId="77777777" w:rsidR="00340A14" w:rsidRDefault="00340A14" w:rsidP="59587566">
      <w:pPr>
        <w:rPr>
          <w:szCs w:val="21"/>
          <w:lang w:val="en-GB"/>
        </w:rPr>
      </w:pPr>
    </w:p>
    <w:p w14:paraId="61B9B256" w14:textId="6B7910DE" w:rsidR="00DC3405" w:rsidRDefault="00DC3405">
      <w:pPr>
        <w:spacing w:after="160" w:line="259" w:lineRule="auto"/>
        <w:jc w:val="left"/>
        <w:rPr>
          <w:lang w:val="en-GB"/>
        </w:rPr>
      </w:pPr>
      <w:r>
        <w:rPr>
          <w:lang w:val="en-GB"/>
        </w:rPr>
        <w:br w:type="page"/>
      </w:r>
    </w:p>
    <w:p w14:paraId="339CEB7E" w14:textId="31853204" w:rsidR="00017D36" w:rsidRPr="0045629F" w:rsidRDefault="3A29924E" w:rsidP="00DC3405">
      <w:pPr>
        <w:pStyle w:val="Heading1"/>
      </w:pPr>
      <w:bookmarkStart w:id="49" w:name="_Toc85627876"/>
      <w:r>
        <w:lastRenderedPageBreak/>
        <w:t>Risk Register</w:t>
      </w:r>
      <w:bookmarkEnd w:id="49"/>
    </w:p>
    <w:p w14:paraId="0DBB440E" w14:textId="53312DC1" w:rsidR="00DA0F6B" w:rsidRDefault="00DA0F6B" w:rsidP="0075226F">
      <w:pPr>
        <w:spacing w:after="240" w:line="276" w:lineRule="auto"/>
        <w:rPr>
          <w:lang w:val="en-GB"/>
        </w:rPr>
      </w:pPr>
    </w:p>
    <w:tbl>
      <w:tblPr>
        <w:tblStyle w:val="GridTable1Light"/>
        <w:tblW w:w="9262" w:type="dxa"/>
        <w:tblLook w:val="06A0" w:firstRow="1" w:lastRow="0" w:firstColumn="1" w:lastColumn="0" w:noHBand="1" w:noVBand="1"/>
      </w:tblPr>
      <w:tblGrid>
        <w:gridCol w:w="973"/>
        <w:gridCol w:w="3344"/>
        <w:gridCol w:w="1199"/>
        <w:gridCol w:w="1006"/>
        <w:gridCol w:w="2740"/>
      </w:tblGrid>
      <w:tr w:rsidR="00D34E10" w:rsidRPr="0045629F" w14:paraId="65711086" w14:textId="77777777" w:rsidTr="001D2647">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0B0F3C1C" w14:textId="77777777" w:rsidR="00710F7F" w:rsidRPr="0045629F" w:rsidRDefault="00710F7F" w:rsidP="007D4A4F">
            <w:pPr>
              <w:jc w:val="left"/>
              <w:rPr>
                <w:b w:val="0"/>
                <w:bCs w:val="0"/>
                <w:color w:val="FFFFFF" w:themeColor="background1"/>
                <w:sz w:val="20"/>
                <w:lang w:val="en-GB"/>
              </w:rPr>
            </w:pPr>
            <w:bookmarkStart w:id="50" w:name="_Hlk26972853"/>
            <w:r w:rsidRPr="0045629F">
              <w:rPr>
                <w:color w:val="FFFFFF" w:themeColor="background1"/>
                <w:sz w:val="20"/>
                <w:lang w:val="en-GB"/>
              </w:rPr>
              <w:t>Risk No.</w:t>
            </w:r>
          </w:p>
        </w:tc>
        <w:tc>
          <w:tcPr>
            <w:tcW w:w="3344"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6281A92E" w14:textId="77777777" w:rsidR="00710F7F" w:rsidRPr="0045629F" w:rsidRDefault="00710F7F" w:rsidP="007D4A4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What is the risk</w:t>
            </w:r>
          </w:p>
        </w:tc>
        <w:tc>
          <w:tcPr>
            <w:tcW w:w="1199"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23442D98" w14:textId="44A5960F" w:rsidR="00710F7F" w:rsidRPr="0034036F" w:rsidRDefault="00710F7F" w:rsidP="007D4A4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vertAlign w:val="superscript"/>
                <w:lang w:val="en-GB"/>
              </w:rPr>
            </w:pPr>
            <w:r w:rsidRPr="0045629F">
              <w:rPr>
                <w:color w:val="FFFFFF" w:themeColor="background1"/>
                <w:sz w:val="20"/>
                <w:lang w:val="en-GB"/>
              </w:rPr>
              <w:t>Probability of risk occurrence</w:t>
            </w:r>
            <w:r w:rsidR="0034036F">
              <w:rPr>
                <w:color w:val="FFFFFF" w:themeColor="background1"/>
                <w:sz w:val="20"/>
                <w:vertAlign w:val="superscript"/>
                <w:lang w:val="en-GB"/>
              </w:rPr>
              <w:t>1</w:t>
            </w:r>
          </w:p>
        </w:tc>
        <w:tc>
          <w:tcPr>
            <w:tcW w:w="1006"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0995D892" w14:textId="1F7A86CE" w:rsidR="00710F7F" w:rsidRPr="0034036F" w:rsidRDefault="00710F7F" w:rsidP="007D4A4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vertAlign w:val="superscript"/>
                <w:lang w:val="en-GB"/>
              </w:rPr>
            </w:pPr>
            <w:r w:rsidRPr="0045629F">
              <w:rPr>
                <w:color w:val="FFFFFF" w:themeColor="background1"/>
                <w:sz w:val="20"/>
                <w:lang w:val="en-GB"/>
              </w:rPr>
              <w:t>Effect of risk</w:t>
            </w:r>
            <w:r w:rsidR="0034036F">
              <w:rPr>
                <w:color w:val="FFFFFF" w:themeColor="background1"/>
                <w:sz w:val="20"/>
                <w:vertAlign w:val="superscript"/>
                <w:lang w:val="en-GB"/>
              </w:rPr>
              <w:t>1</w:t>
            </w:r>
          </w:p>
        </w:tc>
        <w:tc>
          <w:tcPr>
            <w:tcW w:w="2740"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54A1FCEE" w14:textId="77777777" w:rsidR="00710F7F" w:rsidRPr="0045629F" w:rsidRDefault="00710F7F" w:rsidP="007D4A4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Solutions to overcome the risk</w:t>
            </w:r>
          </w:p>
        </w:tc>
      </w:tr>
      <w:tr w:rsidR="00D34E10" w:rsidRPr="0045629F" w14:paraId="410E7BF1"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6CF02D5C" w14:textId="62ED1ED5" w:rsidR="00710F7F" w:rsidRPr="001D2647" w:rsidRDefault="007A35DB" w:rsidP="001D2647">
            <w:pPr>
              <w:jc w:val="center"/>
              <w:rPr>
                <w:color w:val="303030" w:themeColor="text1" w:themeTint="D9"/>
                <w:sz w:val="22"/>
                <w:szCs w:val="22"/>
                <w:lang w:val="en-GB"/>
              </w:rPr>
            </w:pPr>
            <w:r w:rsidRPr="001D2647">
              <w:rPr>
                <w:color w:val="303030" w:themeColor="text1" w:themeTint="D9"/>
                <w:sz w:val="22"/>
                <w:szCs w:val="22"/>
                <w:lang w:val="en-GB"/>
              </w:rPr>
              <w:t>1</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55091822" w14:textId="6024BB2F" w:rsidR="00710F7F" w:rsidRPr="001D2647" w:rsidRDefault="005422A7"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303030"/>
                <w:sz w:val="22"/>
                <w:szCs w:val="22"/>
                <w:lang w:val="en-GB"/>
              </w:rPr>
              <w:t>Feedstock cannot be considered as waste according to the amendment of Red II.</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58EFB7FA" w14:textId="3ACBC469" w:rsidR="00710F7F"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F71D3AC" w14:textId="363AC3C4" w:rsidR="00710F7F"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3769C749" w14:textId="77777777" w:rsidR="001D2647" w:rsidRDefault="005D3EAA" w:rsidP="001D2647">
            <w:pPr>
              <w:jc w:val="left"/>
              <w:cnfStyle w:val="000000000000" w:firstRow="0" w:lastRow="0" w:firstColumn="0" w:lastColumn="0" w:oddVBand="0" w:evenVBand="0" w:oddHBand="0" w:evenHBand="0" w:firstRowFirstColumn="0" w:firstRowLastColumn="0" w:lastRowFirstColumn="0" w:lastRowLastColumn="0"/>
              <w:rPr>
                <w:rStyle w:val="normaltextrun"/>
                <w:rFonts w:cs="Calibri"/>
                <w:color w:val="303030"/>
                <w:sz w:val="22"/>
                <w:szCs w:val="22"/>
                <w:lang w:val="en-GB"/>
              </w:rPr>
            </w:pPr>
            <w:r w:rsidRPr="001D2647">
              <w:rPr>
                <w:rStyle w:val="normaltextrun"/>
                <w:rFonts w:cs="Calibri"/>
                <w:color w:val="303030"/>
                <w:sz w:val="22"/>
                <w:szCs w:val="22"/>
                <w:lang w:val="en-GB"/>
              </w:rPr>
              <w:t>Engage</w:t>
            </w:r>
            <w:r w:rsidR="001D2647">
              <w:rPr>
                <w:rStyle w:val="normaltextrun"/>
                <w:rFonts w:cs="Calibri"/>
                <w:color w:val="303030"/>
                <w:sz w:val="22"/>
                <w:szCs w:val="22"/>
                <w:lang w:val="en-GB"/>
              </w:rPr>
              <w:t xml:space="preserve"> o</w:t>
            </w:r>
            <w:r w:rsidRPr="001D2647">
              <w:rPr>
                <w:rStyle w:val="normaltextrun"/>
                <w:rFonts w:cs="Calibri"/>
                <w:color w:val="303030"/>
                <w:sz w:val="22"/>
                <w:szCs w:val="22"/>
                <w:lang w:val="en-GB"/>
              </w:rPr>
              <w:t>n</w:t>
            </w:r>
            <w:r w:rsidR="001D2647">
              <w:rPr>
                <w:rStyle w:val="normaltextrun"/>
                <w:rFonts w:cs="Calibri"/>
                <w:color w:val="303030"/>
                <w:sz w:val="22"/>
                <w:szCs w:val="22"/>
                <w:lang w:val="en-GB"/>
              </w:rPr>
              <w:t xml:space="preserve"> </w:t>
            </w:r>
            <w:r w:rsidRPr="001D2647">
              <w:rPr>
                <w:rStyle w:val="normaltextrun"/>
                <w:rFonts w:cs="Calibri"/>
                <w:color w:val="303030"/>
                <w:sz w:val="22"/>
                <w:szCs w:val="22"/>
                <w:lang w:val="en-GB"/>
              </w:rPr>
              <w:t>lobbying</w:t>
            </w:r>
            <w:r w:rsidR="001D2647">
              <w:rPr>
                <w:rStyle w:val="normaltextrun"/>
                <w:rFonts w:cs="Calibri"/>
                <w:color w:val="303030"/>
                <w:sz w:val="22"/>
                <w:szCs w:val="22"/>
                <w:lang w:val="en-GB"/>
              </w:rPr>
              <w:t xml:space="preserve"> </w:t>
            </w:r>
            <w:r w:rsidRPr="001D2647">
              <w:rPr>
                <w:rStyle w:val="normaltextrun"/>
                <w:rFonts w:cs="Calibri"/>
                <w:color w:val="303030"/>
                <w:sz w:val="22"/>
                <w:szCs w:val="22"/>
                <w:lang w:val="en-GB"/>
              </w:rPr>
              <w:t xml:space="preserve">discussion. </w:t>
            </w:r>
          </w:p>
          <w:p w14:paraId="4CD2763A" w14:textId="4C6BB0B8" w:rsidR="00710F7F" w:rsidRPr="001D2647" w:rsidRDefault="001D2647"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Pr>
                <w:rStyle w:val="normaltextrun"/>
                <w:rFonts w:cs="Calibri"/>
                <w:color w:val="303030"/>
                <w:sz w:val="22"/>
                <w:szCs w:val="22"/>
                <w:lang w:val="en-GB"/>
              </w:rPr>
              <w:t>Marketing of c</w:t>
            </w:r>
            <w:r w:rsidR="005D3EAA" w:rsidRPr="001D2647">
              <w:rPr>
                <w:rStyle w:val="normaltextrun"/>
                <w:rFonts w:cs="Calibri"/>
                <w:color w:val="303030"/>
                <w:sz w:val="22"/>
                <w:szCs w:val="22"/>
                <w:lang w:val="en-GB"/>
              </w:rPr>
              <w:t>ellulose</w:t>
            </w:r>
            <w:r>
              <w:rPr>
                <w:rStyle w:val="normaltextrun"/>
                <w:rFonts w:cs="Calibri"/>
                <w:color w:val="303030"/>
                <w:sz w:val="22"/>
                <w:szCs w:val="22"/>
                <w:lang w:val="en-GB"/>
              </w:rPr>
              <w:t xml:space="preserve"> </w:t>
            </w:r>
            <w:r w:rsidR="005D3EAA" w:rsidRPr="001D2647">
              <w:rPr>
                <w:rStyle w:val="normaltextrun"/>
                <w:rFonts w:cs="Calibri"/>
                <w:color w:val="303030"/>
                <w:sz w:val="22"/>
                <w:szCs w:val="22"/>
                <w:lang w:val="en-GB"/>
              </w:rPr>
              <w:t>stream must be prioritized</w:t>
            </w:r>
            <w:r>
              <w:rPr>
                <w:rStyle w:val="normaltextrun"/>
                <w:rFonts w:cs="Calibri"/>
                <w:color w:val="303030"/>
                <w:sz w:val="22"/>
                <w:szCs w:val="22"/>
                <w:lang w:val="en-GB"/>
              </w:rPr>
              <w:t>.</w:t>
            </w:r>
          </w:p>
        </w:tc>
      </w:tr>
      <w:tr w:rsidR="00DA0F6B" w:rsidRPr="0045629F" w14:paraId="40722F5C"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1CF7799D" w14:textId="17195FA9" w:rsidR="00DA0F6B"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2</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5D01331B" w14:textId="3582DB5F" w:rsidR="00DA0F6B" w:rsidRPr="001D2647" w:rsidRDefault="005422A7"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303030"/>
                <w:sz w:val="22"/>
                <w:szCs w:val="22"/>
                <w:shd w:val="clear" w:color="auto" w:fill="FFFFFF"/>
                <w:lang w:val="en-GB"/>
              </w:rPr>
              <w:t>Lower regulation targets and carbon price</w:t>
            </w:r>
            <w:r w:rsidRPr="001D2647">
              <w:rPr>
                <w:rStyle w:val="eop"/>
                <w:rFonts w:cs="Calibri"/>
                <w:color w:val="303030"/>
                <w:sz w:val="22"/>
                <w:szCs w:val="22"/>
                <w:shd w:val="clear" w:color="auto" w:fill="FFFFFF"/>
              </w:rPr>
              <w:t> .</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1212800F" w14:textId="077504F5" w:rsidR="00DA0F6B"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3</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6AC76C7B" w14:textId="2F4BDACF" w:rsidR="00DA0F6B"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7F998AE3" w14:textId="5921DCD4" w:rsidR="00DA0F6B" w:rsidRPr="001D2647" w:rsidRDefault="005D3EAA"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303030"/>
                <w:sz w:val="22"/>
                <w:szCs w:val="22"/>
                <w:shd w:val="clear" w:color="auto" w:fill="FFFFFF"/>
                <w:lang w:val="en-GB"/>
              </w:rPr>
              <w:t>Reduction in production</w:t>
            </w:r>
            <w:r w:rsidR="001D2647">
              <w:rPr>
                <w:rStyle w:val="normaltextrun"/>
                <w:rFonts w:cs="Calibri"/>
                <w:color w:val="303030"/>
                <w:sz w:val="22"/>
                <w:szCs w:val="22"/>
                <w:shd w:val="clear" w:color="auto" w:fill="FFFFFF"/>
                <w:lang w:val="en-GB"/>
              </w:rPr>
              <w:t xml:space="preserve"> </w:t>
            </w:r>
            <w:r w:rsidRPr="001D2647">
              <w:rPr>
                <w:rStyle w:val="normaltextrun"/>
                <w:rFonts w:cs="Calibri"/>
                <w:color w:val="303030"/>
                <w:sz w:val="22"/>
                <w:szCs w:val="22"/>
                <w:shd w:val="clear" w:color="auto" w:fill="FFFFFF"/>
                <w:lang w:val="en-GB"/>
              </w:rPr>
              <w:t>cost must compensate a lower carbon price and dec</w:t>
            </w:r>
            <w:r w:rsidR="0006215C">
              <w:rPr>
                <w:rStyle w:val="normaltextrun"/>
                <w:rFonts w:cs="Calibri"/>
                <w:color w:val="303030"/>
                <w:sz w:val="22"/>
                <w:szCs w:val="22"/>
                <w:shd w:val="clear" w:color="auto" w:fill="FFFFFF"/>
                <w:lang w:val="en-GB"/>
              </w:rPr>
              <w:t>r</w:t>
            </w:r>
            <w:r w:rsidRPr="001D2647">
              <w:rPr>
                <w:rStyle w:val="normaltextrun"/>
                <w:rFonts w:cs="Calibri"/>
                <w:color w:val="303030"/>
                <w:sz w:val="22"/>
                <w:szCs w:val="22"/>
                <w:shd w:val="clear" w:color="auto" w:fill="FFFFFF"/>
                <w:lang w:val="en-GB"/>
              </w:rPr>
              <w:t>eased demand</w:t>
            </w:r>
            <w:r w:rsidR="0006215C">
              <w:rPr>
                <w:rStyle w:val="normaltextrun"/>
                <w:rFonts w:cs="Calibri"/>
                <w:color w:val="303030"/>
                <w:sz w:val="22"/>
                <w:szCs w:val="22"/>
                <w:shd w:val="clear" w:color="auto" w:fill="FFFFFF"/>
                <w:lang w:val="en-GB"/>
              </w:rPr>
              <w:t>.</w:t>
            </w:r>
          </w:p>
        </w:tc>
      </w:tr>
      <w:tr w:rsidR="00D34E10" w:rsidRPr="0045629F" w14:paraId="071C3E3C"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63B5A377" w14:textId="4377A2E5" w:rsidR="00710F7F"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3</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4A4D010B" w14:textId="4AEDE3B2" w:rsidR="00710F7F" w:rsidRPr="001D2647" w:rsidRDefault="002A4864"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shd w:val="clear" w:color="auto" w:fill="FFFFFF"/>
                <w:lang w:val="en-GB"/>
              </w:rPr>
              <w:t>Low stability or compatibility with HFO or fossil-based fuels.</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72DE3A8" w14:textId="0C160CB2" w:rsidR="00710F7F"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68363A6" w14:textId="48B90663" w:rsidR="00710F7F"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799292F2" w14:textId="03218BE8" w:rsidR="00710F7F" w:rsidRPr="001D2647" w:rsidRDefault="005D3EAA"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lang w:val="en-GB"/>
              </w:rPr>
              <w:t>Process design working together with product testing</w:t>
            </w:r>
            <w:r w:rsidR="0006215C">
              <w:rPr>
                <w:rStyle w:val="normaltextrun"/>
                <w:rFonts w:cs="Calibri"/>
                <w:color w:val="1F1F1F"/>
                <w:sz w:val="22"/>
                <w:szCs w:val="22"/>
                <w:lang w:val="en-GB"/>
              </w:rPr>
              <w:t>.</w:t>
            </w:r>
          </w:p>
        </w:tc>
      </w:tr>
      <w:tr w:rsidR="005422A7" w:rsidRPr="0045629F" w14:paraId="2C14589D"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163CA7F4" w14:textId="5FB1167D" w:rsidR="005422A7"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4</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30040A9E" w14:textId="26654A91" w:rsidR="005422A7" w:rsidRPr="001D2647" w:rsidRDefault="001D2647"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lang w:val="en-GB"/>
              </w:rPr>
              <w:t>Low oil prices</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618141C" w14:textId="44F1C5CE" w:rsidR="005422A7"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4C83F4E" w14:textId="7D36D88E" w:rsidR="005422A7"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1131519B" w14:textId="202F94B3" w:rsidR="005422A7" w:rsidRPr="001D2647" w:rsidRDefault="00867E85"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bdr w:val="none" w:sz="0" w:space="0" w:color="auto" w:frame="1"/>
                <w:lang w:val="en-GB"/>
              </w:rPr>
              <w:t xml:space="preserve">Minimize production costs and GHG emission to benefit from </w:t>
            </w:r>
            <w:r w:rsidR="0006215C">
              <w:rPr>
                <w:rStyle w:val="normaltextrun"/>
                <w:rFonts w:cs="Calibri"/>
                <w:color w:val="1F1F1F"/>
                <w:sz w:val="22"/>
                <w:szCs w:val="22"/>
                <w:bdr w:val="none" w:sz="0" w:space="0" w:color="auto" w:frame="1"/>
                <w:lang w:val="en-GB"/>
              </w:rPr>
              <w:t>the carbon market</w:t>
            </w:r>
            <w:r w:rsidRPr="001D2647">
              <w:rPr>
                <w:rStyle w:val="normaltextrun"/>
                <w:rFonts w:cs="Calibri"/>
                <w:color w:val="1F1F1F"/>
                <w:sz w:val="22"/>
                <w:szCs w:val="22"/>
                <w:bdr w:val="none" w:sz="0" w:space="0" w:color="auto" w:frame="1"/>
                <w:lang w:val="en-GB"/>
              </w:rPr>
              <w:t>.</w:t>
            </w:r>
          </w:p>
        </w:tc>
      </w:tr>
      <w:tr w:rsidR="005422A7" w:rsidRPr="0045629F" w14:paraId="68AC3122"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3984672" w14:textId="27B89772" w:rsidR="005422A7"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5</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3D33ADD" w14:textId="16EA6103" w:rsidR="005422A7" w:rsidRPr="001D2647" w:rsidRDefault="00867E85"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lang w:val="en-GB"/>
              </w:rPr>
              <w:t>Quicker market uptake of other lignocellulose-based fuels</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985F3A4" w14:textId="0A3E5212" w:rsidR="005422A7"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2E0E619" w14:textId="3C1EC290" w:rsidR="005422A7"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28F07DAC" w14:textId="77777777" w:rsidR="0006215C" w:rsidRDefault="00867E85" w:rsidP="001D2647">
            <w:pPr>
              <w:jc w:val="left"/>
              <w:cnfStyle w:val="000000000000" w:firstRow="0" w:lastRow="0" w:firstColumn="0" w:lastColumn="0" w:oddVBand="0" w:evenVBand="0" w:oddHBand="0" w:evenHBand="0" w:firstRowFirstColumn="0" w:firstRowLastColumn="0" w:lastRowFirstColumn="0" w:lastRowLastColumn="0"/>
              <w:rPr>
                <w:rStyle w:val="normaltextrun"/>
                <w:rFonts w:cs="Calibri"/>
                <w:color w:val="1F1F1F"/>
                <w:sz w:val="22"/>
                <w:szCs w:val="22"/>
                <w:shd w:val="clear" w:color="auto" w:fill="FFFFFF"/>
                <w:lang w:val="en-GB"/>
              </w:rPr>
            </w:pPr>
            <w:r w:rsidRPr="001D2647">
              <w:rPr>
                <w:rStyle w:val="normaltextrun"/>
                <w:rFonts w:cs="Calibri"/>
                <w:color w:val="1F1F1F"/>
                <w:sz w:val="22"/>
                <w:szCs w:val="22"/>
                <w:shd w:val="clear" w:color="auto" w:fill="FFFFFF"/>
                <w:lang w:val="en-GB"/>
              </w:rPr>
              <w:t>Accelerate end user tests. </w:t>
            </w:r>
          </w:p>
          <w:p w14:paraId="28E808F4" w14:textId="5C6850CC" w:rsidR="005422A7" w:rsidRPr="001D2647" w:rsidRDefault="00867E85"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shd w:val="clear" w:color="auto" w:fill="FFFFFF"/>
                <w:lang w:val="en-GB"/>
              </w:rPr>
              <w:t>Cost optimization.</w:t>
            </w:r>
          </w:p>
        </w:tc>
      </w:tr>
      <w:tr w:rsidR="005422A7" w:rsidRPr="0045629F" w14:paraId="40C66B91"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30E5E3E8" w14:textId="6F96C8AD" w:rsidR="005422A7"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6</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E650D19" w14:textId="4CF657E5" w:rsidR="005422A7" w:rsidRPr="001D2647" w:rsidRDefault="00867E85"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shd w:val="clear" w:color="auto" w:fill="FFFFFF"/>
                <w:lang w:val="en-GB"/>
              </w:rPr>
              <w:t>Market tendency towards other alternative fuel: Methanol, LNG.</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5B485C6" w14:textId="13DF350A" w:rsidR="005422A7"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97CC2FC" w14:textId="031AD546" w:rsidR="005422A7"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7199FDFE" w14:textId="552BC54D" w:rsidR="00867E85" w:rsidRPr="001D2647" w:rsidRDefault="00867E85" w:rsidP="001D264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1F1F1F"/>
                <w:sz w:val="22"/>
                <w:szCs w:val="22"/>
                <w:lang w:val="en-GB"/>
              </w:rPr>
            </w:pPr>
            <w:r w:rsidRPr="001D2647">
              <w:rPr>
                <w:rStyle w:val="normaltextrun"/>
                <w:rFonts w:ascii="Calibri" w:hAnsi="Calibri" w:cs="Calibri"/>
                <w:color w:val="1F1F1F"/>
                <w:sz w:val="22"/>
                <w:szCs w:val="22"/>
                <w:lang w:val="en-GB"/>
              </w:rPr>
              <w:t>Accelerate end user tests.</w:t>
            </w:r>
          </w:p>
          <w:p w14:paraId="3BB1F55B" w14:textId="0B3D0D77" w:rsidR="00867E85" w:rsidRPr="001D2647" w:rsidRDefault="00867E85" w:rsidP="001D264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1F1F1F"/>
                <w:sz w:val="22"/>
                <w:szCs w:val="22"/>
                <w:lang w:val="en-GB"/>
              </w:rPr>
            </w:pPr>
            <w:r w:rsidRPr="001D2647">
              <w:rPr>
                <w:rStyle w:val="normaltextrun"/>
                <w:rFonts w:ascii="Calibri" w:hAnsi="Calibri" w:cs="Calibri"/>
                <w:color w:val="1F1F1F"/>
                <w:sz w:val="22"/>
                <w:szCs w:val="22"/>
                <w:lang w:val="en-GB"/>
              </w:rPr>
              <w:t>Cost optimization.</w:t>
            </w:r>
          </w:p>
          <w:p w14:paraId="351E761B" w14:textId="2D1207FA" w:rsidR="00867E85" w:rsidRPr="001D2647" w:rsidRDefault="00867E85" w:rsidP="001D264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1F1F1F"/>
                <w:sz w:val="22"/>
                <w:szCs w:val="22"/>
                <w:lang w:val="en-GB"/>
              </w:rPr>
            </w:pPr>
            <w:r w:rsidRPr="001D2647">
              <w:rPr>
                <w:rStyle w:val="normaltextrun"/>
                <w:rFonts w:ascii="Calibri" w:hAnsi="Calibri" w:cs="Calibri"/>
                <w:color w:val="1F1F1F"/>
                <w:sz w:val="22"/>
                <w:szCs w:val="22"/>
                <w:lang w:val="en-GB"/>
              </w:rPr>
              <w:t>Lobbying</w:t>
            </w:r>
            <w:r w:rsidR="0006215C">
              <w:rPr>
                <w:rStyle w:val="normaltextrun"/>
                <w:rFonts w:ascii="Calibri" w:hAnsi="Calibri" w:cs="Calibri"/>
                <w:color w:val="1F1F1F"/>
                <w:sz w:val="22"/>
                <w:szCs w:val="22"/>
                <w:lang w:val="en-GB"/>
              </w:rPr>
              <w:t>.</w:t>
            </w:r>
          </w:p>
          <w:p w14:paraId="42513761" w14:textId="77777777" w:rsidR="005422A7" w:rsidRPr="001D2647" w:rsidRDefault="005422A7"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p>
        </w:tc>
      </w:tr>
    </w:tbl>
    <w:bookmarkEnd w:id="50"/>
    <w:p w14:paraId="5D0AEFF9" w14:textId="77777777" w:rsidR="0034036F" w:rsidRDefault="0034036F" w:rsidP="0034036F">
      <w:pPr>
        <w:spacing w:after="160" w:line="259" w:lineRule="auto"/>
        <w:jc w:val="left"/>
        <w:rPr>
          <w:rFonts w:ascii="Verdana" w:hAnsi="Verdana"/>
          <w:sz w:val="16"/>
          <w:szCs w:val="16"/>
        </w:rPr>
      </w:pPr>
      <w:r>
        <w:rPr>
          <w:vertAlign w:val="superscript"/>
          <w:lang w:val="en-GB"/>
        </w:rPr>
        <w:t>1)</w:t>
      </w:r>
      <w:r>
        <w:rPr>
          <w:lang w:val="en-GB"/>
        </w:rPr>
        <w:t xml:space="preserve"> </w:t>
      </w:r>
      <w:r>
        <w:rPr>
          <w:rFonts w:ascii="Verdana" w:hAnsi="Verdana"/>
          <w:sz w:val="16"/>
          <w:szCs w:val="16"/>
        </w:rPr>
        <w:t>Probability risk will occur</w:t>
      </w:r>
      <w:r w:rsidRPr="00AA3608">
        <w:rPr>
          <w:rFonts w:ascii="Verdana" w:hAnsi="Verdana"/>
          <w:sz w:val="16"/>
          <w:szCs w:val="16"/>
        </w:rPr>
        <w:t>: 1 = high</w:t>
      </w:r>
      <w:r>
        <w:rPr>
          <w:rFonts w:ascii="Verdana" w:hAnsi="Verdana"/>
          <w:sz w:val="16"/>
          <w:szCs w:val="16"/>
        </w:rPr>
        <w:t>, 2 = medium,</w:t>
      </w:r>
      <w:r w:rsidRPr="00AA3608">
        <w:rPr>
          <w:rFonts w:ascii="Verdana" w:hAnsi="Verdana"/>
          <w:sz w:val="16"/>
          <w:szCs w:val="16"/>
        </w:rPr>
        <w:t xml:space="preserve"> 3 = Low</w:t>
      </w:r>
    </w:p>
    <w:p w14:paraId="0E928AE1" w14:textId="77777777" w:rsidR="00017D36" w:rsidRPr="0034036F" w:rsidRDefault="00017D36" w:rsidP="0075226F">
      <w:pPr>
        <w:spacing w:before="240" w:after="240" w:line="276" w:lineRule="auto"/>
        <w:rPr>
          <w:color w:val="606060" w:themeColor="text1" w:themeTint="A6"/>
          <w:sz w:val="22"/>
          <w:szCs w:val="22"/>
        </w:rPr>
      </w:pPr>
    </w:p>
    <w:p w14:paraId="1C79F808" w14:textId="77777777" w:rsidR="0034036F" w:rsidRDefault="0034036F">
      <w:pPr>
        <w:spacing w:after="160" w:line="259" w:lineRule="auto"/>
        <w:jc w:val="left"/>
        <w:rPr>
          <w:rFonts w:asciiTheme="minorHAnsi" w:eastAsiaTheme="majorEastAsia" w:hAnsiTheme="minorHAnsi" w:cstheme="majorBidi"/>
          <w:b/>
          <w:color w:val="232323" w:themeColor="text1" w:themeTint="E6"/>
          <w:sz w:val="28"/>
          <w:szCs w:val="32"/>
          <w:lang w:val="en-GB"/>
        </w:rPr>
      </w:pPr>
      <w:r>
        <w:rPr>
          <w:lang w:val="en-GB"/>
        </w:rPr>
        <w:br w:type="page"/>
      </w:r>
    </w:p>
    <w:p w14:paraId="74C75408" w14:textId="3A926002" w:rsidR="004C14E2" w:rsidRPr="0045629F" w:rsidRDefault="3A29924E" w:rsidP="00DC3405">
      <w:pPr>
        <w:pStyle w:val="Heading1"/>
      </w:pPr>
      <w:bookmarkStart w:id="51" w:name="_Toc85627877"/>
      <w:r>
        <w:lastRenderedPageBreak/>
        <w:t>References</w:t>
      </w:r>
      <w:bookmarkEnd w:id="51"/>
    </w:p>
    <w:p w14:paraId="70436773" w14:textId="5FB1491E" w:rsidR="00B0696A" w:rsidRPr="00B0696A" w:rsidRDefault="003B4A74" w:rsidP="00B0696A">
      <w:pPr>
        <w:widowControl w:val="0"/>
        <w:autoSpaceDE w:val="0"/>
        <w:autoSpaceDN w:val="0"/>
        <w:adjustRightInd w:val="0"/>
        <w:spacing w:after="160"/>
        <w:ind w:left="480" w:hanging="480"/>
        <w:rPr>
          <w:rFonts w:cs="Calibri"/>
          <w:noProof/>
          <w:sz w:val="20"/>
          <w:szCs w:val="24"/>
        </w:rPr>
      </w:pPr>
      <w:r>
        <w:rPr>
          <w:lang w:val="en-GB"/>
        </w:rPr>
        <w:fldChar w:fldCharType="begin" w:fldLock="1"/>
      </w:r>
      <w:r>
        <w:rPr>
          <w:lang w:val="en-GB"/>
        </w:rPr>
        <w:instrText xml:space="preserve">ADDIN Mendeley Bibliography CSL_BIBLIOGRAPHY </w:instrText>
      </w:r>
      <w:r>
        <w:rPr>
          <w:lang w:val="en-GB"/>
        </w:rPr>
        <w:fldChar w:fldCharType="separate"/>
      </w:r>
      <w:r w:rsidR="00B0696A" w:rsidRPr="00B0696A">
        <w:rPr>
          <w:rFonts w:cs="Calibri"/>
          <w:noProof/>
          <w:sz w:val="20"/>
          <w:szCs w:val="24"/>
        </w:rPr>
        <w:t xml:space="preserve">Abdenur, A. E. (2021). </w:t>
      </w:r>
      <w:r w:rsidR="00B0696A" w:rsidRPr="00B0696A">
        <w:rPr>
          <w:rFonts w:cs="Calibri"/>
          <w:i/>
          <w:iCs/>
          <w:noProof/>
          <w:sz w:val="20"/>
          <w:szCs w:val="24"/>
        </w:rPr>
        <w:t>Climate action</w:t>
      </w:r>
      <w:r w:rsidR="00B0696A" w:rsidRPr="00B0696A">
        <w:rPr>
          <w:rFonts w:cs="Calibri"/>
          <w:noProof/>
          <w:sz w:val="20"/>
          <w:szCs w:val="24"/>
        </w:rPr>
        <w:t>. Global Governance Futures. https://doi.org/10.4324/9781003139836-21</w:t>
      </w:r>
    </w:p>
    <w:p w14:paraId="64E4A9C0"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Al-Aboosi, F. Y., El-Halwagi, M. M., Moore, M., &amp; Nielsen, R. B. (2021). Renewable ammonia as an alternative fuel for the shipping industry. </w:t>
      </w:r>
      <w:r w:rsidRPr="00B0696A">
        <w:rPr>
          <w:rFonts w:cs="Calibri"/>
          <w:i/>
          <w:iCs/>
          <w:noProof/>
          <w:sz w:val="20"/>
          <w:szCs w:val="24"/>
        </w:rPr>
        <w:t>Current Opinion in Chemical Engineering</w:t>
      </w:r>
      <w:r w:rsidRPr="00B0696A">
        <w:rPr>
          <w:rFonts w:cs="Calibri"/>
          <w:noProof/>
          <w:sz w:val="20"/>
          <w:szCs w:val="24"/>
        </w:rPr>
        <w:t xml:space="preserve">, </w:t>
      </w:r>
      <w:r w:rsidRPr="00B0696A">
        <w:rPr>
          <w:rFonts w:cs="Calibri"/>
          <w:i/>
          <w:iCs/>
          <w:noProof/>
          <w:sz w:val="20"/>
          <w:szCs w:val="24"/>
        </w:rPr>
        <w:t>31</w:t>
      </w:r>
      <w:r w:rsidRPr="00B0696A">
        <w:rPr>
          <w:rFonts w:cs="Calibri"/>
          <w:noProof/>
          <w:sz w:val="20"/>
          <w:szCs w:val="24"/>
        </w:rPr>
        <w:t>, 100670. https://doi.org/10.1016/j.coche.2021.100670</w:t>
      </w:r>
    </w:p>
    <w:p w14:paraId="33511812"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Balcombe, P., Brierley, J., Lewis, C., Skatvedt, L., Speirs, J., Hawkes, A., &amp; Staffell, I. (2019). How to decarbonise international shipping: Options for fuels, technologies and policies. </w:t>
      </w:r>
      <w:r w:rsidRPr="00B0696A">
        <w:rPr>
          <w:rFonts w:cs="Calibri"/>
          <w:i/>
          <w:iCs/>
          <w:noProof/>
          <w:sz w:val="20"/>
          <w:szCs w:val="24"/>
        </w:rPr>
        <w:t>Energy Conversion and Management</w:t>
      </w:r>
      <w:r w:rsidRPr="00B0696A">
        <w:rPr>
          <w:rFonts w:cs="Calibri"/>
          <w:noProof/>
          <w:sz w:val="20"/>
          <w:szCs w:val="24"/>
        </w:rPr>
        <w:t xml:space="preserve">, </w:t>
      </w:r>
      <w:r w:rsidRPr="00B0696A">
        <w:rPr>
          <w:rFonts w:cs="Calibri"/>
          <w:i/>
          <w:iCs/>
          <w:noProof/>
          <w:sz w:val="20"/>
          <w:szCs w:val="24"/>
        </w:rPr>
        <w:t>182</w:t>
      </w:r>
      <w:r w:rsidRPr="00B0696A">
        <w:rPr>
          <w:rFonts w:cs="Calibri"/>
          <w:noProof/>
          <w:sz w:val="20"/>
          <w:szCs w:val="24"/>
        </w:rPr>
        <w:t>(December 2018), 72–88. https://doi.org/10.1016/j.enconman.2018.12.080</w:t>
      </w:r>
    </w:p>
    <w:p w14:paraId="491544E7"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Brodie, P. (2020). </w:t>
      </w:r>
      <w:r w:rsidRPr="00B0696A">
        <w:rPr>
          <w:rFonts w:cs="Calibri"/>
          <w:i/>
          <w:iCs/>
          <w:noProof/>
          <w:sz w:val="20"/>
          <w:szCs w:val="24"/>
        </w:rPr>
        <w:t>International Convention for the Prevention of Pollution from Ships (MARPOL)</w:t>
      </w:r>
      <w:r w:rsidRPr="00B0696A">
        <w:rPr>
          <w:rFonts w:cs="Calibri"/>
          <w:noProof/>
          <w:sz w:val="20"/>
          <w:szCs w:val="24"/>
        </w:rPr>
        <w:t>. Commercial Shipping Handbook. https://doi.org/10.4324/9781315774695-85</w:t>
      </w:r>
    </w:p>
    <w:p w14:paraId="50012E01"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Brynolf, S., Fridell, E., &amp; Andersson, K. (2014). Environmental assessment of marine fuels: Liquefied natural gas, liquefied biogas, methanol and bio-methanol. </w:t>
      </w:r>
      <w:r w:rsidRPr="00B0696A">
        <w:rPr>
          <w:rFonts w:cs="Calibri"/>
          <w:i/>
          <w:iCs/>
          <w:noProof/>
          <w:sz w:val="20"/>
          <w:szCs w:val="24"/>
        </w:rPr>
        <w:t>Journal of Cleaner Production</w:t>
      </w:r>
      <w:r w:rsidRPr="00B0696A">
        <w:rPr>
          <w:rFonts w:cs="Calibri"/>
          <w:noProof/>
          <w:sz w:val="20"/>
          <w:szCs w:val="24"/>
        </w:rPr>
        <w:t xml:space="preserve">, </w:t>
      </w:r>
      <w:r w:rsidRPr="00B0696A">
        <w:rPr>
          <w:rFonts w:cs="Calibri"/>
          <w:i/>
          <w:iCs/>
          <w:noProof/>
          <w:sz w:val="20"/>
          <w:szCs w:val="24"/>
        </w:rPr>
        <w:t>74</w:t>
      </w:r>
      <w:r w:rsidRPr="00B0696A">
        <w:rPr>
          <w:rFonts w:cs="Calibri"/>
          <w:noProof/>
          <w:sz w:val="20"/>
          <w:szCs w:val="24"/>
        </w:rPr>
        <w:t>(X), 86–95. https://doi.org/10.1016/j.jclepro.2014.03.052</w:t>
      </w:r>
    </w:p>
    <w:p w14:paraId="584EBF44" w14:textId="77777777" w:rsidR="00B0696A" w:rsidRPr="00DC3405" w:rsidRDefault="00B0696A" w:rsidP="00B0696A">
      <w:pPr>
        <w:widowControl w:val="0"/>
        <w:autoSpaceDE w:val="0"/>
        <w:autoSpaceDN w:val="0"/>
        <w:adjustRightInd w:val="0"/>
        <w:spacing w:after="160"/>
        <w:ind w:left="480" w:hanging="480"/>
        <w:rPr>
          <w:rFonts w:cs="Calibri"/>
          <w:noProof/>
          <w:sz w:val="20"/>
          <w:szCs w:val="24"/>
          <w:lang w:val="da-DK"/>
        </w:rPr>
      </w:pPr>
      <w:r w:rsidRPr="00B0696A">
        <w:rPr>
          <w:rFonts w:cs="Calibri"/>
          <w:noProof/>
          <w:sz w:val="20"/>
          <w:szCs w:val="24"/>
        </w:rPr>
        <w:t xml:space="preserve">Carvalho, F., Portugal‐pereira, J., Junginger, M., &amp; Szklo, A. (2021). Biofuels for maritime transportation: A spatial, techno‐economic, and logistic analysis in brazil, europe, south africa, and the usa. </w:t>
      </w:r>
      <w:r w:rsidRPr="00DC3405">
        <w:rPr>
          <w:rFonts w:cs="Calibri"/>
          <w:i/>
          <w:iCs/>
          <w:noProof/>
          <w:sz w:val="20"/>
          <w:szCs w:val="24"/>
          <w:lang w:val="da-DK"/>
        </w:rPr>
        <w:t>Energies</w:t>
      </w:r>
      <w:r w:rsidRPr="00DC3405">
        <w:rPr>
          <w:rFonts w:cs="Calibri"/>
          <w:noProof/>
          <w:sz w:val="20"/>
          <w:szCs w:val="24"/>
          <w:lang w:val="da-DK"/>
        </w:rPr>
        <w:t xml:space="preserve">, </w:t>
      </w:r>
      <w:r w:rsidRPr="00DC3405">
        <w:rPr>
          <w:rFonts w:cs="Calibri"/>
          <w:i/>
          <w:iCs/>
          <w:noProof/>
          <w:sz w:val="20"/>
          <w:szCs w:val="24"/>
          <w:lang w:val="da-DK"/>
        </w:rPr>
        <w:t>14</w:t>
      </w:r>
      <w:r w:rsidRPr="00DC3405">
        <w:rPr>
          <w:rFonts w:cs="Calibri"/>
          <w:noProof/>
          <w:sz w:val="20"/>
          <w:szCs w:val="24"/>
          <w:lang w:val="da-DK"/>
        </w:rPr>
        <w:t>(16). https://doi.org/10.3390/en14164980</w:t>
      </w:r>
    </w:p>
    <w:p w14:paraId="600C8AE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DC3405">
        <w:rPr>
          <w:rFonts w:cs="Calibri"/>
          <w:noProof/>
          <w:sz w:val="20"/>
          <w:szCs w:val="24"/>
          <w:lang w:val="da-DK"/>
        </w:rPr>
        <w:t xml:space="preserve">Chiaramonti, D., Talluri, G., Scarlat, N., &amp; Prussi, M. (2021). </w:t>
      </w:r>
      <w:r w:rsidRPr="00B0696A">
        <w:rPr>
          <w:rFonts w:cs="Calibri"/>
          <w:noProof/>
          <w:sz w:val="20"/>
          <w:szCs w:val="24"/>
        </w:rPr>
        <w:t xml:space="preserve">The challenge of forecasting the role of biofuel in EU transport decarbonisation at 2050: A meta-analysis review of published scenarios. </w:t>
      </w:r>
      <w:r w:rsidRPr="00B0696A">
        <w:rPr>
          <w:rFonts w:cs="Calibri"/>
          <w:i/>
          <w:iCs/>
          <w:noProof/>
          <w:sz w:val="20"/>
          <w:szCs w:val="24"/>
        </w:rPr>
        <w:t>Renewable and Sustainable Energy Reviews</w:t>
      </w:r>
      <w:r w:rsidRPr="00B0696A">
        <w:rPr>
          <w:rFonts w:cs="Calibri"/>
          <w:noProof/>
          <w:sz w:val="20"/>
          <w:szCs w:val="24"/>
        </w:rPr>
        <w:t xml:space="preserve">, </w:t>
      </w:r>
      <w:r w:rsidRPr="00B0696A">
        <w:rPr>
          <w:rFonts w:cs="Calibri"/>
          <w:i/>
          <w:iCs/>
          <w:noProof/>
          <w:sz w:val="20"/>
          <w:szCs w:val="24"/>
        </w:rPr>
        <w:t>139</w:t>
      </w:r>
      <w:r w:rsidRPr="00B0696A">
        <w:rPr>
          <w:rFonts w:cs="Calibri"/>
          <w:noProof/>
          <w:sz w:val="20"/>
          <w:szCs w:val="24"/>
        </w:rPr>
        <w:t>(January), 110715. https://doi.org/10.1016/j.rser.2021.110715</w:t>
      </w:r>
    </w:p>
    <w:p w14:paraId="5C3A0C7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DNV GL. (2019). </w:t>
      </w:r>
      <w:r w:rsidRPr="00B0696A">
        <w:rPr>
          <w:rFonts w:cs="Calibri"/>
          <w:i/>
          <w:iCs/>
          <w:noProof/>
          <w:sz w:val="20"/>
          <w:szCs w:val="24"/>
        </w:rPr>
        <w:t>Comparison of Alternative Marine Fuels</w:t>
      </w:r>
      <w:r w:rsidRPr="00B0696A">
        <w:rPr>
          <w:rFonts w:cs="Calibri"/>
          <w:noProof/>
          <w:sz w:val="20"/>
          <w:szCs w:val="24"/>
        </w:rPr>
        <w:t>. 1–65. https://sea-lng.org/wp-content/uploads/2019/09/19-09-16_Alternative-Marine-Fuels-Study_final_report.pdf</w:t>
      </w:r>
    </w:p>
    <w:p w14:paraId="39FD5327"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ECSA. (2020). </w:t>
      </w:r>
      <w:r w:rsidRPr="00B0696A">
        <w:rPr>
          <w:rFonts w:cs="Calibri"/>
          <w:i/>
          <w:iCs/>
          <w:noProof/>
          <w:sz w:val="20"/>
          <w:szCs w:val="24"/>
        </w:rPr>
        <w:t>A Green Deal for the European shipping industry</w:t>
      </w:r>
      <w:r w:rsidRPr="00B0696A">
        <w:rPr>
          <w:rFonts w:cs="Calibri"/>
          <w:noProof/>
          <w:sz w:val="20"/>
          <w:szCs w:val="24"/>
        </w:rPr>
        <w:t>. https://www.ecsa.eu/publications</w:t>
      </w:r>
    </w:p>
    <w:p w14:paraId="466BC6CD"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EurObserv’ER. (2019). </w:t>
      </w:r>
      <w:r w:rsidRPr="00B0696A">
        <w:rPr>
          <w:rFonts w:cs="Calibri"/>
          <w:i/>
          <w:iCs/>
          <w:noProof/>
          <w:sz w:val="20"/>
          <w:szCs w:val="24"/>
        </w:rPr>
        <w:t>Boifuels Barometer</w:t>
      </w:r>
      <w:r w:rsidRPr="00B0696A">
        <w:rPr>
          <w:rFonts w:cs="Calibri"/>
          <w:noProof/>
          <w:sz w:val="20"/>
          <w:szCs w:val="24"/>
        </w:rPr>
        <w:t xml:space="preserve"> (Vol. 2019, Issue September 2020).</w:t>
      </w:r>
    </w:p>
    <w:p w14:paraId="2FB672D3"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Alternative Fuels Observatory. (2020). </w:t>
      </w:r>
      <w:r w:rsidRPr="00B0696A">
        <w:rPr>
          <w:rFonts w:cs="Calibri"/>
          <w:i/>
          <w:iCs/>
          <w:noProof/>
          <w:sz w:val="20"/>
          <w:szCs w:val="24"/>
        </w:rPr>
        <w:t>WHAT ARE ADVANCED BIOFUELS?</w:t>
      </w:r>
      <w:r w:rsidRPr="00B0696A">
        <w:rPr>
          <w:rFonts w:cs="Calibri"/>
          <w:noProof/>
          <w:sz w:val="20"/>
          <w:szCs w:val="24"/>
        </w:rPr>
        <w:t xml:space="preserve"> https://www.eafo.eu/alternative-fuels/advanced-biofuels/generic-information</w:t>
      </w:r>
    </w:p>
    <w:p w14:paraId="055FE604"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Commission. (n.d.). </w:t>
      </w:r>
      <w:r w:rsidRPr="00B0696A">
        <w:rPr>
          <w:rFonts w:cs="Calibri"/>
          <w:i/>
          <w:iCs/>
          <w:noProof/>
          <w:sz w:val="20"/>
          <w:szCs w:val="24"/>
        </w:rPr>
        <w:t>EU Emissions Trading System (EU ETS)</w:t>
      </w:r>
      <w:r w:rsidRPr="00B0696A">
        <w:rPr>
          <w:rFonts w:cs="Calibri"/>
          <w:noProof/>
          <w:sz w:val="20"/>
          <w:szCs w:val="24"/>
        </w:rPr>
        <w:t>. Retrieved September 13, 2021, from https://ec.europa.eu/clima/policies/ets_en</w:t>
      </w:r>
    </w:p>
    <w:p w14:paraId="4B07E75E"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Commission. (2021a). </w:t>
      </w:r>
      <w:r w:rsidRPr="00B0696A">
        <w:rPr>
          <w:rFonts w:cs="Calibri"/>
          <w:i/>
          <w:iCs/>
          <w:noProof/>
          <w:sz w:val="20"/>
          <w:szCs w:val="24"/>
        </w:rPr>
        <w:t>Amending Directive (EU) 2018/2001 of the European Parliament regards the promotion of energy from renewable sources, and repealing Council Directive (EU) 2015/65</w:t>
      </w:r>
      <w:r w:rsidRPr="00B0696A">
        <w:rPr>
          <w:rFonts w:cs="Calibri"/>
          <w:noProof/>
          <w:sz w:val="20"/>
          <w:szCs w:val="24"/>
        </w:rPr>
        <w:t xml:space="preserve"> (Vol. 0218). https://ec.europa.eu/info/sites/default/files/amendment-renewable-energy-directive-2030-climate-target-with-annexes_en.pdf</w:t>
      </w:r>
    </w:p>
    <w:p w14:paraId="0943D8AB"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Commission. (2021b). </w:t>
      </w:r>
      <w:r w:rsidRPr="00B0696A">
        <w:rPr>
          <w:rFonts w:cs="Calibri"/>
          <w:i/>
          <w:iCs/>
          <w:noProof/>
          <w:sz w:val="20"/>
          <w:szCs w:val="24"/>
        </w:rPr>
        <w:t>European Green Deal: Commission proposes transformation of EU economy and society to meet climate ambitions</w:t>
      </w:r>
      <w:r w:rsidRPr="00B0696A">
        <w:rPr>
          <w:rFonts w:cs="Calibri"/>
          <w:noProof/>
          <w:sz w:val="20"/>
          <w:szCs w:val="24"/>
        </w:rPr>
        <w:t>. https://ec.europa.eu/commission/presscorner/detail/en/ip_21_3541</w:t>
      </w:r>
    </w:p>
    <w:p w14:paraId="0ADBD198"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Parliament. (2018). DIRECTIVE (EU) 2018/2001. In </w:t>
      </w:r>
      <w:r w:rsidRPr="00B0696A">
        <w:rPr>
          <w:rFonts w:cs="Calibri"/>
          <w:i/>
          <w:iCs/>
          <w:noProof/>
          <w:sz w:val="20"/>
          <w:szCs w:val="24"/>
        </w:rPr>
        <w:t>Official Journal of the European Union</w:t>
      </w:r>
      <w:r w:rsidRPr="00B0696A">
        <w:rPr>
          <w:rFonts w:cs="Calibri"/>
          <w:noProof/>
          <w:sz w:val="20"/>
          <w:szCs w:val="24"/>
        </w:rPr>
        <w:t xml:space="preserve"> (Vol. 2018, Issue December).</w:t>
      </w:r>
    </w:p>
    <w:p w14:paraId="2E0473E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Fortune Business Insights. (2020). Cellulose Market Size, Share &amp; Industry Analysis. </w:t>
      </w:r>
      <w:r w:rsidRPr="00B0696A">
        <w:rPr>
          <w:rFonts w:cs="Calibri"/>
          <w:i/>
          <w:iCs/>
          <w:noProof/>
          <w:sz w:val="20"/>
          <w:szCs w:val="24"/>
        </w:rPr>
        <w:t>Market Researsh Report</w:t>
      </w:r>
      <w:r w:rsidRPr="00B0696A">
        <w:rPr>
          <w:rFonts w:cs="Calibri"/>
          <w:noProof/>
          <w:sz w:val="20"/>
          <w:szCs w:val="24"/>
        </w:rPr>
        <w:t>. https://www.fortunebusinessinsights.com/cellulose-market-102062</w:t>
      </w:r>
    </w:p>
    <w:p w14:paraId="7BDF7441"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Houston, C. (2020). </w:t>
      </w:r>
      <w:r w:rsidRPr="00B0696A">
        <w:rPr>
          <w:rFonts w:cs="Calibri"/>
          <w:i/>
          <w:iCs/>
          <w:noProof/>
          <w:sz w:val="20"/>
          <w:szCs w:val="24"/>
        </w:rPr>
        <w:t>Mind the methane gap</w:t>
      </w:r>
      <w:r w:rsidRPr="00B0696A">
        <w:rPr>
          <w:rFonts w:cs="Calibri"/>
          <w:noProof/>
          <w:sz w:val="20"/>
          <w:szCs w:val="24"/>
        </w:rPr>
        <w:t>. https://www.wartsila.com/insights/article/mind-the-methane-gap</w:t>
      </w:r>
    </w:p>
    <w:p w14:paraId="467BCDCF"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IEA Bioenergy. (2017). </w:t>
      </w:r>
      <w:r w:rsidRPr="00B0696A">
        <w:rPr>
          <w:rFonts w:cs="Calibri"/>
          <w:i/>
          <w:iCs/>
          <w:noProof/>
          <w:sz w:val="20"/>
          <w:szCs w:val="24"/>
        </w:rPr>
        <w:t>Biofuels for the marine shipping sector: An overview and analysis of sector infrastructure, fuel technologies and regulations</w:t>
      </w:r>
      <w:r w:rsidRPr="00B0696A">
        <w:rPr>
          <w:rFonts w:cs="Calibri"/>
          <w:noProof/>
          <w:sz w:val="20"/>
          <w:szCs w:val="24"/>
        </w:rPr>
        <w:t>. 86.</w:t>
      </w:r>
    </w:p>
    <w:p w14:paraId="16936321"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IMO. (2020). </w:t>
      </w:r>
      <w:r w:rsidRPr="00B0696A">
        <w:rPr>
          <w:rFonts w:cs="Calibri"/>
          <w:i/>
          <w:iCs/>
          <w:noProof/>
          <w:sz w:val="20"/>
          <w:szCs w:val="24"/>
        </w:rPr>
        <w:t>IMO 2020 – cutting sulphur oxide emissions</w:t>
      </w:r>
      <w:r w:rsidRPr="00B0696A">
        <w:rPr>
          <w:rFonts w:cs="Calibri"/>
          <w:noProof/>
          <w:sz w:val="20"/>
          <w:szCs w:val="24"/>
        </w:rPr>
        <w:t>. International Maritime Organization. https://www.imo.org/en/MediaCentre/HotTopics/Pages/Sulphur-2020.aspx</w:t>
      </w:r>
    </w:p>
    <w:p w14:paraId="2F4EB62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International Maritime Organization. (2019). </w:t>
      </w:r>
      <w:r w:rsidRPr="00B0696A">
        <w:rPr>
          <w:rFonts w:cs="Calibri"/>
          <w:i/>
          <w:iCs/>
          <w:noProof/>
          <w:sz w:val="20"/>
          <w:szCs w:val="24"/>
        </w:rPr>
        <w:t>UN body adopts climate change strategy for shipping</w:t>
      </w:r>
      <w:r w:rsidRPr="00B0696A">
        <w:rPr>
          <w:rFonts w:cs="Calibri"/>
          <w:noProof/>
          <w:sz w:val="20"/>
          <w:szCs w:val="24"/>
        </w:rPr>
        <w:t>. https://www.imo.org/en/MediaCentre/PressBriefings/Pages/06GHGinitialstrategy.aspx</w:t>
      </w:r>
    </w:p>
    <w:p w14:paraId="79AF468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lastRenderedPageBreak/>
        <w:t xml:space="preserve">IRENA. (2019). </w:t>
      </w:r>
      <w:r w:rsidRPr="00B0696A">
        <w:rPr>
          <w:rFonts w:cs="Calibri"/>
          <w:i/>
          <w:iCs/>
          <w:noProof/>
          <w:sz w:val="20"/>
          <w:szCs w:val="24"/>
        </w:rPr>
        <w:t>Navigating to a renewable future: Solutions for decarbonising shipping, Preliminary findings</w:t>
      </w:r>
      <w:r w:rsidRPr="00B0696A">
        <w:rPr>
          <w:rFonts w:cs="Calibri"/>
          <w:noProof/>
          <w:sz w:val="20"/>
          <w:szCs w:val="24"/>
        </w:rPr>
        <w:t xml:space="preserve"> (Issue September).</w:t>
      </w:r>
    </w:p>
    <w:p w14:paraId="543221CE"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Konur, O. (2021). Petrodiesel Fuels. In </w:t>
      </w:r>
      <w:r w:rsidRPr="00B0696A">
        <w:rPr>
          <w:rFonts w:cs="Calibri"/>
          <w:i/>
          <w:iCs/>
          <w:noProof/>
          <w:sz w:val="20"/>
          <w:szCs w:val="24"/>
        </w:rPr>
        <w:t>Paper Knowledge . Toward a Media History of Documents</w:t>
      </w:r>
      <w:r w:rsidRPr="00B0696A">
        <w:rPr>
          <w:rFonts w:cs="Calibri"/>
          <w:noProof/>
          <w:sz w:val="20"/>
          <w:szCs w:val="24"/>
        </w:rPr>
        <w:t>. CRC Press.</w:t>
      </w:r>
    </w:p>
    <w:p w14:paraId="2247B77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Lucia, L. Di, &amp; Ribeiro, B. (2018). </w:t>
      </w:r>
      <w:r w:rsidRPr="00B0696A">
        <w:rPr>
          <w:rFonts w:cs="Calibri"/>
          <w:i/>
          <w:iCs/>
          <w:noProof/>
          <w:sz w:val="20"/>
          <w:szCs w:val="24"/>
        </w:rPr>
        <w:t>Enacting Responsibilities in Landscape Design : The Case of Advanced Biofuels</w:t>
      </w:r>
      <w:r w:rsidRPr="00B0696A">
        <w:rPr>
          <w:rFonts w:cs="Calibri"/>
          <w:noProof/>
          <w:sz w:val="20"/>
          <w:szCs w:val="24"/>
        </w:rPr>
        <w:t>. 1–15. https://doi.org/10.3390/su10114016</w:t>
      </w:r>
    </w:p>
    <w:p w14:paraId="34567C6B"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McCarney, J. (2020). Evolution in the engine room: A review of technologies to deliver decarbonised, sustainable shipping technology options for the shipping sector to meet international ship emissions limits. </w:t>
      </w:r>
      <w:r w:rsidRPr="00B0696A">
        <w:rPr>
          <w:rFonts w:cs="Calibri"/>
          <w:i/>
          <w:iCs/>
          <w:noProof/>
          <w:sz w:val="20"/>
          <w:szCs w:val="24"/>
        </w:rPr>
        <w:t>Johnson Matthey Technology Review</w:t>
      </w:r>
      <w:r w:rsidRPr="00B0696A">
        <w:rPr>
          <w:rFonts w:cs="Calibri"/>
          <w:noProof/>
          <w:sz w:val="20"/>
          <w:szCs w:val="24"/>
        </w:rPr>
        <w:t xml:space="preserve">, </w:t>
      </w:r>
      <w:r w:rsidRPr="00B0696A">
        <w:rPr>
          <w:rFonts w:cs="Calibri"/>
          <w:i/>
          <w:iCs/>
          <w:noProof/>
          <w:sz w:val="20"/>
          <w:szCs w:val="24"/>
        </w:rPr>
        <w:t>64</w:t>
      </w:r>
      <w:r w:rsidRPr="00B0696A">
        <w:rPr>
          <w:rFonts w:cs="Calibri"/>
          <w:noProof/>
          <w:sz w:val="20"/>
          <w:szCs w:val="24"/>
        </w:rPr>
        <w:t>(3), 374–392. https://doi.org/10.1595/205651320x15924055217177</w:t>
      </w:r>
    </w:p>
    <w:p w14:paraId="74EFD814"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McPhie, T., &amp; Rietdorf, L. (2021). </w:t>
      </w:r>
      <w:r w:rsidRPr="00B0696A">
        <w:rPr>
          <w:rFonts w:cs="Calibri"/>
          <w:i/>
          <w:iCs/>
          <w:noProof/>
          <w:sz w:val="20"/>
          <w:szCs w:val="24"/>
        </w:rPr>
        <w:t>Questions and Answers - Emissions Trading – Putting a Price on carbon*</w:t>
      </w:r>
      <w:r w:rsidRPr="00B0696A">
        <w:rPr>
          <w:rFonts w:cs="Calibri"/>
          <w:noProof/>
          <w:sz w:val="20"/>
          <w:szCs w:val="24"/>
        </w:rPr>
        <w:t>. https://ec.europa.eu/commission/presscorner/detail/en/qanda_21_3542</w:t>
      </w:r>
    </w:p>
    <w:p w14:paraId="304174D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Myhre, G., D., Shindell, F. ‐M., Bréon, W., Collins, J., Fuglestvedt, J., Huang, D., Koch, J. ‐F., Lamarque, D., Lee, B., Mendoza, T., Nakajima, A., Robock, G., Stephens, T., Takemura, &amp; Zhang, H. (2015). Global Warming Potential Values. </w:t>
      </w:r>
      <w:r w:rsidRPr="00B0696A">
        <w:rPr>
          <w:rFonts w:cs="Calibri"/>
          <w:i/>
          <w:iCs/>
          <w:noProof/>
          <w:sz w:val="20"/>
          <w:szCs w:val="24"/>
        </w:rPr>
        <w:t>Greenhouse Gas Protocol</w:t>
      </w:r>
      <w:r w:rsidRPr="00B0696A">
        <w:rPr>
          <w:rFonts w:cs="Calibri"/>
          <w:noProof/>
          <w:sz w:val="20"/>
          <w:szCs w:val="24"/>
        </w:rPr>
        <w:t xml:space="preserve">, </w:t>
      </w:r>
      <w:r w:rsidRPr="00B0696A">
        <w:rPr>
          <w:rFonts w:cs="Calibri"/>
          <w:i/>
          <w:iCs/>
          <w:noProof/>
          <w:sz w:val="20"/>
          <w:szCs w:val="24"/>
        </w:rPr>
        <w:t>2014</w:t>
      </w:r>
      <w:r w:rsidRPr="00B0696A">
        <w:rPr>
          <w:rFonts w:cs="Calibri"/>
          <w:noProof/>
          <w:sz w:val="20"/>
          <w:szCs w:val="24"/>
        </w:rPr>
        <w:t>(1995), 2–5.</w:t>
      </w:r>
    </w:p>
    <w:p w14:paraId="5A2C6CC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Oiltanking GmbH. (n.d.). </w:t>
      </w:r>
      <w:r w:rsidRPr="00B0696A">
        <w:rPr>
          <w:rFonts w:cs="Calibri"/>
          <w:i/>
          <w:iCs/>
          <w:noProof/>
          <w:sz w:val="20"/>
          <w:szCs w:val="24"/>
        </w:rPr>
        <w:t>Important Terms from A to Z</w:t>
      </w:r>
      <w:r w:rsidRPr="00B0696A">
        <w:rPr>
          <w:rFonts w:cs="Calibri"/>
          <w:noProof/>
          <w:sz w:val="20"/>
          <w:szCs w:val="24"/>
        </w:rPr>
        <w:t>. Retrieved September 20, 2021, from https://www.oiltanking.com/en/news-info/glossary/details/term/lng-liquefied-natural-gas.html</w:t>
      </w:r>
    </w:p>
    <w:p w14:paraId="755677EB"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DC3405">
        <w:rPr>
          <w:rFonts w:cs="Calibri"/>
          <w:noProof/>
          <w:sz w:val="20"/>
          <w:szCs w:val="24"/>
          <w:lang w:val="da-DK"/>
        </w:rPr>
        <w:t xml:space="preserve">Panoutsou, C., Germer, S., Karka, P., Papadokostantakis, S., Kroyan, Y., Wojcieszyk, M., Maniatis, K., Marchand, P., &amp; Landalv, I. (2021). </w:t>
      </w:r>
      <w:r w:rsidRPr="00B0696A">
        <w:rPr>
          <w:rFonts w:cs="Calibri"/>
          <w:noProof/>
          <w:sz w:val="20"/>
          <w:szCs w:val="24"/>
        </w:rPr>
        <w:t xml:space="preserve">Advanced biofuels to decarbonise European transport by 2030: Markets, challenges, and policies that impact their successful market uptake. </w:t>
      </w:r>
      <w:r w:rsidRPr="00B0696A">
        <w:rPr>
          <w:rFonts w:cs="Calibri"/>
          <w:i/>
          <w:iCs/>
          <w:noProof/>
          <w:sz w:val="20"/>
          <w:szCs w:val="24"/>
        </w:rPr>
        <w:t>Energy Strategy Reviews</w:t>
      </w:r>
      <w:r w:rsidRPr="00B0696A">
        <w:rPr>
          <w:rFonts w:cs="Calibri"/>
          <w:noProof/>
          <w:sz w:val="20"/>
          <w:szCs w:val="24"/>
        </w:rPr>
        <w:t xml:space="preserve">, </w:t>
      </w:r>
      <w:r w:rsidRPr="00B0696A">
        <w:rPr>
          <w:rFonts w:cs="Calibri"/>
          <w:i/>
          <w:iCs/>
          <w:noProof/>
          <w:sz w:val="20"/>
          <w:szCs w:val="24"/>
        </w:rPr>
        <w:t>34</w:t>
      </w:r>
      <w:r w:rsidRPr="00B0696A">
        <w:rPr>
          <w:rFonts w:cs="Calibri"/>
          <w:noProof/>
          <w:sz w:val="20"/>
          <w:szCs w:val="24"/>
        </w:rPr>
        <w:t>(March), 100633. https://doi.org/10.1016/j.esr.2021.100633</w:t>
      </w:r>
    </w:p>
    <w:p w14:paraId="114359D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Pavlenko, A. N., Comer, B., Zhou, Y., Clark, N., &amp; Rutherford, D. (2020). </w:t>
      </w:r>
      <w:r w:rsidRPr="00B0696A">
        <w:rPr>
          <w:rFonts w:cs="Calibri"/>
          <w:i/>
          <w:iCs/>
          <w:noProof/>
          <w:sz w:val="20"/>
          <w:szCs w:val="24"/>
        </w:rPr>
        <w:t>The climate implications of using LNG as a marine fuel</w:t>
      </w:r>
      <w:r w:rsidRPr="00B0696A">
        <w:rPr>
          <w:rFonts w:cs="Calibri"/>
          <w:noProof/>
          <w:sz w:val="20"/>
          <w:szCs w:val="24"/>
        </w:rPr>
        <w:t xml:space="preserve">. </w:t>
      </w:r>
      <w:r w:rsidRPr="00B0696A">
        <w:rPr>
          <w:rFonts w:cs="Calibri"/>
          <w:i/>
          <w:iCs/>
          <w:noProof/>
          <w:sz w:val="20"/>
          <w:szCs w:val="24"/>
        </w:rPr>
        <w:t>January</w:t>
      </w:r>
      <w:r w:rsidRPr="00B0696A">
        <w:rPr>
          <w:rFonts w:cs="Calibri"/>
          <w:noProof/>
          <w:sz w:val="20"/>
          <w:szCs w:val="24"/>
        </w:rPr>
        <w:t>.</w:t>
      </w:r>
    </w:p>
    <w:p w14:paraId="5FDAADD3"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Port of Rotterdam. (2021). </w:t>
      </w:r>
      <w:r w:rsidRPr="00B0696A">
        <w:rPr>
          <w:rFonts w:cs="Calibri"/>
          <w:i/>
          <w:iCs/>
          <w:noProof/>
          <w:sz w:val="20"/>
          <w:szCs w:val="24"/>
        </w:rPr>
        <w:t>Port of Rotterdam Bunker Sales</w:t>
      </w:r>
      <w:r w:rsidRPr="00B0696A">
        <w:rPr>
          <w:rFonts w:cs="Calibri"/>
          <w:noProof/>
          <w:sz w:val="20"/>
          <w:szCs w:val="24"/>
        </w:rPr>
        <w:t>. https://www.portofrotterdam.com/sites/default/files/2021-08/bunker-sales-2018-2021.pdf</w:t>
      </w:r>
    </w:p>
    <w:p w14:paraId="634B693E"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Prussi, M., Scarlat, N., Acciaro, M., &amp; Kosmas, V. (2021). Potential and limiting factors in the use of alternative fuels in the European maritime sector. </w:t>
      </w:r>
      <w:r w:rsidRPr="00B0696A">
        <w:rPr>
          <w:rFonts w:cs="Calibri"/>
          <w:i/>
          <w:iCs/>
          <w:noProof/>
          <w:sz w:val="20"/>
          <w:szCs w:val="24"/>
        </w:rPr>
        <w:t>Journal of Cleaner Production</w:t>
      </w:r>
      <w:r w:rsidRPr="00B0696A">
        <w:rPr>
          <w:rFonts w:cs="Calibri"/>
          <w:noProof/>
          <w:sz w:val="20"/>
          <w:szCs w:val="24"/>
        </w:rPr>
        <w:t xml:space="preserve">, </w:t>
      </w:r>
      <w:r w:rsidRPr="00B0696A">
        <w:rPr>
          <w:rFonts w:cs="Calibri"/>
          <w:i/>
          <w:iCs/>
          <w:noProof/>
          <w:sz w:val="20"/>
          <w:szCs w:val="24"/>
        </w:rPr>
        <w:t>291</w:t>
      </w:r>
      <w:r w:rsidRPr="00B0696A">
        <w:rPr>
          <w:rFonts w:cs="Calibri"/>
          <w:noProof/>
          <w:sz w:val="20"/>
          <w:szCs w:val="24"/>
        </w:rPr>
        <w:t>, 125849. https://doi.org/10.1016/j.jclepro.2021.125849</w:t>
      </w:r>
    </w:p>
    <w:p w14:paraId="5F115773"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Schröder, O., Krahl, J., Müller-Langer, F., Schröder, J., &amp; Mattheß, E. (2018). </w:t>
      </w:r>
      <w:r w:rsidRPr="00B0696A">
        <w:rPr>
          <w:rFonts w:cs="Calibri"/>
          <w:i/>
          <w:iCs/>
          <w:noProof/>
          <w:sz w:val="20"/>
          <w:szCs w:val="24"/>
        </w:rPr>
        <w:t>Survey on Advanced Fuels for Advanced Engines Project report Funding by IEA Bioenergy Task 39 Norbert Grope</w:t>
      </w:r>
      <w:r w:rsidRPr="00B0696A">
        <w:rPr>
          <w:rFonts w:cs="Calibri"/>
          <w:noProof/>
          <w:sz w:val="20"/>
          <w:szCs w:val="24"/>
        </w:rPr>
        <w:t xml:space="preserve">. </w:t>
      </w:r>
      <w:r w:rsidRPr="00B0696A">
        <w:rPr>
          <w:rFonts w:cs="Calibri"/>
          <w:i/>
          <w:iCs/>
          <w:noProof/>
          <w:sz w:val="20"/>
          <w:szCs w:val="24"/>
        </w:rPr>
        <w:t>October</w:t>
      </w:r>
      <w:r w:rsidRPr="00B0696A">
        <w:rPr>
          <w:rFonts w:cs="Calibri"/>
          <w:noProof/>
          <w:sz w:val="20"/>
          <w:szCs w:val="24"/>
        </w:rPr>
        <w:t>.</w:t>
      </w:r>
    </w:p>
    <w:p w14:paraId="3754AE25" w14:textId="77777777" w:rsidR="00B0696A" w:rsidRPr="00D27197" w:rsidRDefault="00B0696A" w:rsidP="00B0696A">
      <w:pPr>
        <w:widowControl w:val="0"/>
        <w:autoSpaceDE w:val="0"/>
        <w:autoSpaceDN w:val="0"/>
        <w:adjustRightInd w:val="0"/>
        <w:spacing w:after="160"/>
        <w:ind w:left="480" w:hanging="480"/>
        <w:rPr>
          <w:rFonts w:cs="Calibri"/>
          <w:noProof/>
          <w:sz w:val="20"/>
          <w:szCs w:val="24"/>
          <w:lang w:val="nl-NL"/>
        </w:rPr>
      </w:pPr>
      <w:r w:rsidRPr="00B0696A">
        <w:rPr>
          <w:rFonts w:cs="Calibri"/>
          <w:noProof/>
          <w:sz w:val="20"/>
          <w:szCs w:val="24"/>
        </w:rPr>
        <w:t xml:space="preserve">Sikora, A. (2020). European Green Deal – legal and financial challenges of the climate change. </w:t>
      </w:r>
      <w:r w:rsidRPr="00D27197">
        <w:rPr>
          <w:rFonts w:cs="Calibri"/>
          <w:i/>
          <w:iCs/>
          <w:noProof/>
          <w:sz w:val="20"/>
          <w:szCs w:val="24"/>
          <w:lang w:val="nl-NL"/>
        </w:rPr>
        <w:t>ERA Forum</w:t>
      </w:r>
      <w:r w:rsidRPr="00D27197">
        <w:rPr>
          <w:rFonts w:cs="Calibri"/>
          <w:noProof/>
          <w:sz w:val="20"/>
          <w:szCs w:val="24"/>
          <w:lang w:val="nl-NL"/>
        </w:rPr>
        <w:t>, 681–697. https://doi.org/10.1007/s12027-020-00637-3</w:t>
      </w:r>
    </w:p>
    <w:p w14:paraId="46A99357"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D27197">
        <w:rPr>
          <w:rFonts w:cs="Calibri"/>
          <w:noProof/>
          <w:sz w:val="20"/>
          <w:szCs w:val="24"/>
          <w:lang w:val="nl-NL"/>
        </w:rPr>
        <w:t xml:space="preserve">Stappen, F. Van, Brose, I., &amp; Schenkel, Y. (2011). </w:t>
      </w:r>
      <w:r w:rsidRPr="00B0696A">
        <w:rPr>
          <w:rFonts w:cs="Calibri"/>
          <w:noProof/>
          <w:sz w:val="20"/>
          <w:szCs w:val="24"/>
        </w:rPr>
        <w:t xml:space="preserve">Direct and indirect land use changes issues in European sustainability initiatives : State-of-the-art , open issues and future developments. </w:t>
      </w:r>
      <w:r w:rsidRPr="00B0696A">
        <w:rPr>
          <w:rFonts w:cs="Calibri"/>
          <w:i/>
          <w:iCs/>
          <w:noProof/>
          <w:sz w:val="20"/>
          <w:szCs w:val="24"/>
        </w:rPr>
        <w:t>Biomass and Bioenergy</w:t>
      </w:r>
      <w:r w:rsidRPr="00B0696A">
        <w:rPr>
          <w:rFonts w:cs="Calibri"/>
          <w:noProof/>
          <w:sz w:val="20"/>
          <w:szCs w:val="24"/>
        </w:rPr>
        <w:t xml:space="preserve">, </w:t>
      </w:r>
      <w:r w:rsidRPr="00B0696A">
        <w:rPr>
          <w:rFonts w:cs="Calibri"/>
          <w:i/>
          <w:iCs/>
          <w:noProof/>
          <w:sz w:val="20"/>
          <w:szCs w:val="24"/>
        </w:rPr>
        <w:t>35</w:t>
      </w:r>
      <w:r w:rsidRPr="00B0696A">
        <w:rPr>
          <w:rFonts w:cs="Calibri"/>
          <w:noProof/>
          <w:sz w:val="20"/>
          <w:szCs w:val="24"/>
        </w:rPr>
        <w:t>(12), 4824–4834. https://doi.org/10.1016/j.biombioe.2011.07.015</w:t>
      </w:r>
    </w:p>
    <w:p w14:paraId="7286388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Tanzer, S. E., Posada, J., Geraedts, S., &amp; Ramírez, A. (2019). Lignocellulosic marine biofuel: Technoeconomic and environmental assessment for production in Brazil and Sweden. </w:t>
      </w:r>
      <w:r w:rsidRPr="00B0696A">
        <w:rPr>
          <w:rFonts w:cs="Calibri"/>
          <w:i/>
          <w:iCs/>
          <w:noProof/>
          <w:sz w:val="20"/>
          <w:szCs w:val="24"/>
        </w:rPr>
        <w:t>Journal of Cleaner Production</w:t>
      </w:r>
      <w:r w:rsidRPr="00B0696A">
        <w:rPr>
          <w:rFonts w:cs="Calibri"/>
          <w:noProof/>
          <w:sz w:val="20"/>
          <w:szCs w:val="24"/>
        </w:rPr>
        <w:t xml:space="preserve">, </w:t>
      </w:r>
      <w:r w:rsidRPr="00B0696A">
        <w:rPr>
          <w:rFonts w:cs="Calibri"/>
          <w:i/>
          <w:iCs/>
          <w:noProof/>
          <w:sz w:val="20"/>
          <w:szCs w:val="24"/>
        </w:rPr>
        <w:t>239</w:t>
      </w:r>
      <w:r w:rsidRPr="00B0696A">
        <w:rPr>
          <w:rFonts w:cs="Calibri"/>
          <w:noProof/>
          <w:sz w:val="20"/>
          <w:szCs w:val="24"/>
        </w:rPr>
        <w:t>, 117845. https://doi.org/10.1016/j.jclepro.2019.117845</w:t>
      </w:r>
    </w:p>
    <w:p w14:paraId="2233C7FF"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The Royal Society. (2019). </w:t>
      </w:r>
      <w:r w:rsidRPr="00B0696A">
        <w:rPr>
          <w:rFonts w:cs="Calibri"/>
          <w:i/>
          <w:iCs/>
          <w:noProof/>
          <w:sz w:val="20"/>
          <w:szCs w:val="24"/>
        </w:rPr>
        <w:t>Sustainable synthetic carbon based fuels for transport</w:t>
      </w:r>
      <w:r w:rsidRPr="00B0696A">
        <w:rPr>
          <w:rFonts w:cs="Calibri"/>
          <w:noProof/>
          <w:sz w:val="20"/>
          <w:szCs w:val="24"/>
        </w:rPr>
        <w:t>. https://royalsociety.org/topics-policy/projects/low-carbon-energy-programme/sustainable-synthetic-carbon-based-fuels-for-transport/</w:t>
      </w:r>
    </w:p>
    <w:p w14:paraId="378C4E97" w14:textId="77777777" w:rsidR="00B0696A" w:rsidRPr="00DC3405" w:rsidRDefault="00B0696A" w:rsidP="00B0696A">
      <w:pPr>
        <w:widowControl w:val="0"/>
        <w:autoSpaceDE w:val="0"/>
        <w:autoSpaceDN w:val="0"/>
        <w:adjustRightInd w:val="0"/>
        <w:spacing w:after="160"/>
        <w:ind w:left="480" w:hanging="480"/>
        <w:rPr>
          <w:rFonts w:cs="Calibri"/>
          <w:noProof/>
          <w:sz w:val="20"/>
          <w:szCs w:val="24"/>
          <w:lang w:val="da-DK"/>
        </w:rPr>
      </w:pPr>
      <w:r w:rsidRPr="00B0696A">
        <w:rPr>
          <w:rFonts w:cs="Calibri"/>
          <w:noProof/>
          <w:sz w:val="20"/>
          <w:szCs w:val="24"/>
        </w:rPr>
        <w:t xml:space="preserve">Thomas, R., Hursthouse, A., Mellor, P., Lord, R. A., &amp; Jo, E. (2021). </w:t>
      </w:r>
      <w:r w:rsidRPr="00B0696A">
        <w:rPr>
          <w:rFonts w:cs="Calibri"/>
          <w:i/>
          <w:iCs/>
          <w:noProof/>
          <w:sz w:val="20"/>
          <w:szCs w:val="24"/>
        </w:rPr>
        <w:t>Identifying non-agricultural marginal lands as a route to sustainable bioenergy provision - A review and holistic definition</w:t>
      </w:r>
      <w:r w:rsidRPr="00B0696A">
        <w:rPr>
          <w:rFonts w:cs="Calibri"/>
          <w:noProof/>
          <w:sz w:val="20"/>
          <w:szCs w:val="24"/>
        </w:rPr>
        <w:t xml:space="preserve">. </w:t>
      </w:r>
      <w:r w:rsidRPr="00DC3405">
        <w:rPr>
          <w:rFonts w:cs="Calibri"/>
          <w:i/>
          <w:iCs/>
          <w:noProof/>
          <w:sz w:val="20"/>
          <w:szCs w:val="24"/>
          <w:lang w:val="da-DK"/>
        </w:rPr>
        <w:t>135</w:t>
      </w:r>
      <w:r w:rsidRPr="00DC3405">
        <w:rPr>
          <w:rFonts w:cs="Calibri"/>
          <w:noProof/>
          <w:sz w:val="20"/>
          <w:szCs w:val="24"/>
          <w:lang w:val="da-DK"/>
        </w:rPr>
        <w:t>(August 2020). https://doi.org/10.1016/j.rser.2020.110220</w:t>
      </w:r>
    </w:p>
    <w:p w14:paraId="1CAFBF3D" w14:textId="77777777" w:rsidR="00B0696A" w:rsidRPr="00DC3405" w:rsidRDefault="00B0696A" w:rsidP="00B0696A">
      <w:pPr>
        <w:widowControl w:val="0"/>
        <w:autoSpaceDE w:val="0"/>
        <w:autoSpaceDN w:val="0"/>
        <w:adjustRightInd w:val="0"/>
        <w:spacing w:after="160"/>
        <w:ind w:left="480" w:hanging="480"/>
        <w:rPr>
          <w:rFonts w:cs="Calibri"/>
          <w:noProof/>
          <w:sz w:val="20"/>
          <w:szCs w:val="24"/>
          <w:lang w:val="da-DK"/>
        </w:rPr>
      </w:pPr>
      <w:r w:rsidRPr="00DC3405">
        <w:rPr>
          <w:rFonts w:cs="Calibri"/>
          <w:noProof/>
          <w:sz w:val="20"/>
          <w:szCs w:val="24"/>
          <w:lang w:val="da-DK"/>
        </w:rPr>
        <w:t xml:space="preserve">Uslu, A. (2019). </w:t>
      </w:r>
      <w:r w:rsidRPr="00DC3405">
        <w:rPr>
          <w:rFonts w:cs="Calibri"/>
          <w:i/>
          <w:iCs/>
          <w:noProof/>
          <w:sz w:val="20"/>
          <w:szCs w:val="24"/>
          <w:lang w:val="da-DK"/>
        </w:rPr>
        <w:t>Market analysis</w:t>
      </w:r>
      <w:r w:rsidRPr="00DC3405">
        <w:rPr>
          <w:rFonts w:cs="Calibri"/>
          <w:noProof/>
          <w:sz w:val="20"/>
          <w:szCs w:val="24"/>
          <w:lang w:val="da-DK"/>
        </w:rPr>
        <w:t>.</w:t>
      </w:r>
    </w:p>
    <w:p w14:paraId="1D484C79" w14:textId="77777777" w:rsidR="00B0696A" w:rsidRPr="00B0696A" w:rsidRDefault="00B0696A" w:rsidP="00B0696A">
      <w:pPr>
        <w:widowControl w:val="0"/>
        <w:autoSpaceDE w:val="0"/>
        <w:autoSpaceDN w:val="0"/>
        <w:adjustRightInd w:val="0"/>
        <w:spacing w:after="160"/>
        <w:ind w:left="480" w:hanging="480"/>
        <w:rPr>
          <w:rFonts w:cs="Calibri"/>
          <w:noProof/>
          <w:sz w:val="20"/>
        </w:rPr>
      </w:pPr>
      <w:r w:rsidRPr="00B0696A">
        <w:rPr>
          <w:rFonts w:cs="Calibri"/>
          <w:noProof/>
          <w:sz w:val="20"/>
          <w:szCs w:val="24"/>
        </w:rPr>
        <w:t xml:space="preserve">Yuanrong Zhou, N. P. (2020). The potential of liquid biofuels in reducing ship emissions | International Council on Clean Transportation. </w:t>
      </w:r>
      <w:r w:rsidRPr="00B0696A">
        <w:rPr>
          <w:rFonts w:cs="Calibri"/>
          <w:i/>
          <w:iCs/>
          <w:noProof/>
          <w:sz w:val="20"/>
          <w:szCs w:val="24"/>
        </w:rPr>
        <w:t>International Council on Clean Transportation</w:t>
      </w:r>
      <w:r w:rsidRPr="00B0696A">
        <w:rPr>
          <w:rFonts w:cs="Calibri"/>
          <w:noProof/>
          <w:sz w:val="20"/>
          <w:szCs w:val="24"/>
        </w:rPr>
        <w:t xml:space="preserve">, </w:t>
      </w:r>
      <w:r w:rsidRPr="00B0696A">
        <w:rPr>
          <w:rFonts w:cs="Calibri"/>
          <w:i/>
          <w:iCs/>
          <w:noProof/>
          <w:sz w:val="20"/>
          <w:szCs w:val="24"/>
        </w:rPr>
        <w:t>September</w:t>
      </w:r>
      <w:r w:rsidRPr="00B0696A">
        <w:rPr>
          <w:rFonts w:cs="Calibri"/>
          <w:noProof/>
          <w:sz w:val="20"/>
          <w:szCs w:val="24"/>
        </w:rPr>
        <w:t>. https://theicct.org/publications/marine-biofuels-sept2020</w:t>
      </w:r>
    </w:p>
    <w:p w14:paraId="225A406C" w14:textId="6269FE7A" w:rsidR="00032649" w:rsidRPr="0045629F" w:rsidRDefault="003B4A74" w:rsidP="0086254D">
      <w:pPr>
        <w:pStyle w:val="Heading1"/>
        <w:numPr>
          <w:ilvl w:val="0"/>
          <w:numId w:val="0"/>
        </w:numPr>
        <w:ind w:left="426" w:hanging="426"/>
      </w:pPr>
      <w:r>
        <w:lastRenderedPageBreak/>
        <w:fldChar w:fldCharType="end"/>
      </w:r>
      <w:bookmarkStart w:id="52" w:name="_Toc85627878"/>
      <w:r w:rsidR="004C14E2" w:rsidRPr="0045629F">
        <w:t>Acknowledgement</w:t>
      </w:r>
      <w:bookmarkEnd w:id="52"/>
    </w:p>
    <w:p w14:paraId="7B6621BC" w14:textId="7927F951" w:rsidR="004C14E2" w:rsidRPr="0034036F" w:rsidRDefault="004C14E2" w:rsidP="00EC0977">
      <w:pPr>
        <w:spacing w:before="240" w:after="240" w:line="276" w:lineRule="auto"/>
        <w:rPr>
          <w:sz w:val="22"/>
          <w:szCs w:val="22"/>
          <w:lang w:val="en-GB"/>
        </w:rPr>
      </w:pPr>
      <w:r w:rsidRPr="0034036F">
        <w:rPr>
          <w:sz w:val="22"/>
          <w:szCs w:val="22"/>
          <w:lang w:val="en-GB"/>
        </w:rPr>
        <w:t xml:space="preserve">The author(s) would like to thank the partners in the project for their valuable comments on previous drafts and for performing the review. </w:t>
      </w:r>
    </w:p>
    <w:p w14:paraId="43DDB77B" w14:textId="1FE79428" w:rsidR="004C14E2" w:rsidRDefault="004C14E2" w:rsidP="004C14E2">
      <w:pPr>
        <w:rPr>
          <w:b/>
          <w:szCs w:val="22"/>
          <w:lang w:val="en-GB"/>
        </w:rPr>
      </w:pPr>
      <w:r w:rsidRPr="0045629F">
        <w:rPr>
          <w:b/>
          <w:szCs w:val="22"/>
          <w:lang w:val="en-GB"/>
        </w:rPr>
        <w:t>Project partners:</w:t>
      </w:r>
    </w:p>
    <w:p w14:paraId="2BD4B0A4" w14:textId="77777777" w:rsidR="004C14E2" w:rsidRPr="0045629F" w:rsidRDefault="004C14E2" w:rsidP="004C14E2">
      <w:pPr>
        <w:rPr>
          <w:lang w:val="en-GB"/>
        </w:rPr>
      </w:pPr>
    </w:p>
    <w:tbl>
      <w:tblPr>
        <w:tblStyle w:val="GridTable1Light"/>
        <w:tblW w:w="9067" w:type="dxa"/>
        <w:tblLook w:val="06A0" w:firstRow="1" w:lastRow="0" w:firstColumn="1" w:lastColumn="0" w:noHBand="1" w:noVBand="1"/>
      </w:tblPr>
      <w:tblGrid>
        <w:gridCol w:w="705"/>
        <w:gridCol w:w="991"/>
        <w:gridCol w:w="7371"/>
      </w:tblGrid>
      <w:tr w:rsidR="00645867" w14:paraId="02A32ACD" w14:textId="77777777" w:rsidTr="5937A937">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hideMark/>
          </w:tcPr>
          <w:p w14:paraId="50F230BF" w14:textId="77777777" w:rsidR="00645867" w:rsidRDefault="00645867">
            <w:pPr>
              <w:jc w:val="left"/>
              <w:rPr>
                <w:b w:val="0"/>
                <w:bCs w:val="0"/>
                <w:color w:val="FFFFFF" w:themeColor="background1"/>
                <w:sz w:val="20"/>
                <w:lang w:val="en-GB"/>
              </w:rPr>
            </w:pPr>
            <w:r>
              <w:rPr>
                <w:color w:val="FFFFFF" w:themeColor="background1"/>
                <w:sz w:val="20"/>
                <w:lang w:val="en-GB"/>
              </w:rPr>
              <w:t>#</w:t>
            </w:r>
          </w:p>
        </w:tc>
        <w:tc>
          <w:tcPr>
            <w:tcW w:w="991"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hideMark/>
          </w:tcPr>
          <w:p w14:paraId="7644FFA0" w14:textId="77777777" w:rsidR="00645867" w:rsidRDefault="00645867">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Partner short name</w:t>
            </w:r>
          </w:p>
        </w:tc>
        <w:tc>
          <w:tcPr>
            <w:tcW w:w="7371"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hideMark/>
          </w:tcPr>
          <w:p w14:paraId="500FA113" w14:textId="77777777" w:rsidR="00645867" w:rsidRDefault="00645867">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Partner Full Name</w:t>
            </w:r>
          </w:p>
        </w:tc>
      </w:tr>
      <w:tr w:rsidR="00645867" w14:paraId="647EACC2" w14:textId="77777777" w:rsidTr="5937A937">
        <w:trPr>
          <w:trHeight w:val="308"/>
        </w:trPr>
        <w:tc>
          <w:tcPr>
            <w:cnfStyle w:val="001000000000" w:firstRow="0" w:lastRow="0" w:firstColumn="1" w:lastColumn="0" w:oddVBand="0" w:evenVBand="0" w:oddHBand="0" w:evenHBand="0" w:firstRowFirstColumn="0" w:firstRowLastColumn="0" w:lastRowFirstColumn="0" w:lastRowLastColumn="0"/>
            <w:tcW w:w="705" w:type="dxa"/>
            <w:tcBorders>
              <w:top w:val="single" w:sz="12" w:space="0" w:color="002244" w:themeColor="accent1"/>
              <w:left w:val="single" w:sz="4" w:space="0" w:color="002244" w:themeColor="accent1"/>
              <w:bottom w:val="single" w:sz="4" w:space="0" w:color="002244" w:themeColor="accent1"/>
              <w:right w:val="single" w:sz="4" w:space="0" w:color="002244" w:themeColor="accent1"/>
            </w:tcBorders>
            <w:hideMark/>
          </w:tcPr>
          <w:p w14:paraId="48ADA63B" w14:textId="77777777" w:rsidR="00645867" w:rsidRDefault="00645867">
            <w:pPr>
              <w:rPr>
                <w:sz w:val="20"/>
                <w:lang w:val="en-GB"/>
              </w:rPr>
            </w:pPr>
            <w:r>
              <w:rPr>
                <w:sz w:val="20"/>
                <w:lang w:val="en-GB" w:eastAsia="en-GB"/>
              </w:rPr>
              <w:t>1</w:t>
            </w:r>
          </w:p>
        </w:tc>
        <w:tc>
          <w:tcPr>
            <w:tcW w:w="991" w:type="dxa"/>
            <w:tcBorders>
              <w:top w:val="single" w:sz="12" w:space="0" w:color="002244" w:themeColor="accent1"/>
              <w:left w:val="single" w:sz="4" w:space="0" w:color="002244" w:themeColor="accent1"/>
              <w:bottom w:val="single" w:sz="4" w:space="0" w:color="002244" w:themeColor="accent1"/>
              <w:right w:val="single" w:sz="4" w:space="0" w:color="002244" w:themeColor="accent1"/>
            </w:tcBorders>
            <w:hideMark/>
          </w:tcPr>
          <w:p w14:paraId="48CF024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TUE</w:t>
            </w:r>
          </w:p>
        </w:tc>
        <w:tc>
          <w:tcPr>
            <w:tcW w:w="7371" w:type="dxa"/>
            <w:tcBorders>
              <w:top w:val="single" w:sz="12" w:space="0" w:color="002244" w:themeColor="accent1"/>
              <w:left w:val="single" w:sz="4" w:space="0" w:color="002244" w:themeColor="accent1"/>
              <w:bottom w:val="single" w:sz="4" w:space="0" w:color="002244" w:themeColor="accent1"/>
              <w:right w:val="single" w:sz="4" w:space="0" w:color="002244" w:themeColor="accent1"/>
            </w:tcBorders>
            <w:hideMark/>
          </w:tcPr>
          <w:p w14:paraId="489703EE"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Technische Universiteit Eindhoven</w:t>
            </w:r>
          </w:p>
        </w:tc>
      </w:tr>
      <w:tr w:rsidR="00645867" w14:paraId="6CB1189C"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9D9D9D"/>
              <w:right w:val="single" w:sz="4" w:space="0" w:color="002244" w:themeColor="accent1"/>
            </w:tcBorders>
            <w:hideMark/>
          </w:tcPr>
          <w:p w14:paraId="6AB66C82" w14:textId="77777777" w:rsidR="00645867" w:rsidRDefault="00645867">
            <w:pPr>
              <w:rPr>
                <w:sz w:val="20"/>
                <w:lang w:val="en-GB"/>
              </w:rPr>
            </w:pPr>
            <w:r>
              <w:rPr>
                <w:sz w:val="20"/>
                <w:lang w:val="en-GB" w:eastAsia="en-GB"/>
              </w:rPr>
              <w:t>2</w:t>
            </w:r>
          </w:p>
        </w:tc>
        <w:tc>
          <w:tcPr>
            <w:tcW w:w="991" w:type="dxa"/>
            <w:tcBorders>
              <w:top w:val="single" w:sz="4" w:space="0" w:color="002244" w:themeColor="accent1"/>
              <w:left w:val="single" w:sz="4" w:space="0" w:color="002244" w:themeColor="accent1"/>
              <w:bottom w:val="single" w:sz="4" w:space="0" w:color="9D9D9D"/>
              <w:right w:val="single" w:sz="4" w:space="0" w:color="002244" w:themeColor="accent1"/>
            </w:tcBorders>
            <w:hideMark/>
          </w:tcPr>
          <w:p w14:paraId="736DB5DA"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VERT</w:t>
            </w:r>
          </w:p>
        </w:tc>
        <w:tc>
          <w:tcPr>
            <w:tcW w:w="7371" w:type="dxa"/>
            <w:tcBorders>
              <w:top w:val="single" w:sz="4" w:space="0" w:color="002244" w:themeColor="accent1"/>
              <w:left w:val="single" w:sz="4" w:space="0" w:color="002244" w:themeColor="accent1"/>
              <w:bottom w:val="single" w:sz="4" w:space="0" w:color="9D9D9D"/>
              <w:right w:val="single" w:sz="4" w:space="0" w:color="002244" w:themeColor="accent1"/>
            </w:tcBorders>
            <w:hideMark/>
          </w:tcPr>
          <w:p w14:paraId="52E66B59"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Vertoro BV</w:t>
            </w:r>
          </w:p>
        </w:tc>
      </w:tr>
      <w:tr w:rsidR="00645867" w14:paraId="78A6661C"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10A0C5C" w14:textId="77777777" w:rsidR="00645867" w:rsidRDefault="00645867">
            <w:pPr>
              <w:rPr>
                <w:sz w:val="20"/>
                <w:lang w:val="en-GB"/>
              </w:rPr>
            </w:pPr>
            <w:r>
              <w:rPr>
                <w:sz w:val="20"/>
                <w:lang w:val="en-GB" w:eastAsia="en-GB"/>
              </w:rPr>
              <w:t>3</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98910A5"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T4F</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A506101"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Tec4Fuels</w:t>
            </w:r>
          </w:p>
        </w:tc>
      </w:tr>
      <w:tr w:rsidR="00645867" w14:paraId="37CA43B8"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2A83F07" w14:textId="77777777" w:rsidR="00645867" w:rsidRDefault="00645867">
            <w:pPr>
              <w:rPr>
                <w:sz w:val="20"/>
                <w:lang w:val="en-GB"/>
              </w:rPr>
            </w:pPr>
            <w:r>
              <w:rPr>
                <w:sz w:val="20"/>
                <w:lang w:val="en-GB" w:eastAsia="en-GB"/>
              </w:rPr>
              <w:t>4</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B86B6F4"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BLOOM</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A25661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Bloom Biorenewables Ltd</w:t>
            </w:r>
          </w:p>
        </w:tc>
      </w:tr>
      <w:tr w:rsidR="00645867" w14:paraId="6195ACD1"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594A8A2" w14:textId="77777777" w:rsidR="00645867" w:rsidRDefault="00645867">
            <w:pPr>
              <w:rPr>
                <w:sz w:val="20"/>
                <w:lang w:val="en-GB"/>
              </w:rPr>
            </w:pPr>
            <w:r>
              <w:rPr>
                <w:sz w:val="20"/>
                <w:lang w:val="en-GB"/>
              </w:rPr>
              <w:t>5</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131630F0"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UNR</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56011BF"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Uniresearch B.V.</w:t>
            </w:r>
          </w:p>
        </w:tc>
      </w:tr>
      <w:tr w:rsidR="00645867" w14:paraId="1CEC6286"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4613C55D" w14:textId="77777777" w:rsidR="00645867" w:rsidRDefault="00645867">
            <w:pPr>
              <w:rPr>
                <w:sz w:val="20"/>
                <w:lang w:val="en-GB"/>
              </w:rPr>
            </w:pPr>
            <w:r>
              <w:rPr>
                <w:sz w:val="20"/>
                <w:lang w:val="en-GB"/>
              </w:rPr>
              <w:t>6</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F8748CA"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WinGD</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04005C95"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Winterthur Gas &amp; Diesel AG</w:t>
            </w:r>
          </w:p>
        </w:tc>
      </w:tr>
      <w:tr w:rsidR="00645867" w14:paraId="41823D1C"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38C7078" w14:textId="77777777" w:rsidR="00645867" w:rsidRDefault="00645867">
            <w:pPr>
              <w:rPr>
                <w:sz w:val="20"/>
                <w:lang w:val="en-GB"/>
              </w:rPr>
            </w:pPr>
            <w:r>
              <w:rPr>
                <w:sz w:val="20"/>
                <w:lang w:val="en-GB"/>
              </w:rPr>
              <w:t>7</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2DC37181"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DE6276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 xml:space="preserve"> (Formerly SeaNRG, is now GOODFUELS #12)</w:t>
            </w:r>
          </w:p>
        </w:tc>
      </w:tr>
      <w:tr w:rsidR="00645867" w14:paraId="637096FF"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C6F38D5" w14:textId="77777777" w:rsidR="00645867" w:rsidRDefault="00645867">
            <w:pPr>
              <w:rPr>
                <w:sz w:val="20"/>
                <w:lang w:val="en-GB"/>
              </w:rPr>
            </w:pPr>
            <w:r>
              <w:rPr>
                <w:sz w:val="20"/>
                <w:lang w:val="en-GB"/>
              </w:rPr>
              <w:t>8</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11E41F2B"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TKMS</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78C7BA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Thyssenkrupp Marine Systems GMBH</w:t>
            </w:r>
          </w:p>
        </w:tc>
      </w:tr>
      <w:tr w:rsidR="00645867" w14:paraId="145CF6AD"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15DB30A" w14:textId="77777777" w:rsidR="00645867" w:rsidRDefault="00645867">
            <w:pPr>
              <w:rPr>
                <w:sz w:val="20"/>
                <w:lang w:val="en-GB"/>
              </w:rPr>
            </w:pPr>
            <w:r>
              <w:rPr>
                <w:sz w:val="20"/>
                <w:lang w:val="en-GB"/>
              </w:rPr>
              <w:t>9</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2AA70E2"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OWI</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4FB95775"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OWI – Science for Fuels gGmbH</w:t>
            </w:r>
          </w:p>
        </w:tc>
      </w:tr>
      <w:tr w:rsidR="00645867" w:rsidRPr="007D4A4F" w14:paraId="7342ABB3"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4D701626" w14:textId="77777777" w:rsidR="00645867" w:rsidRDefault="00645867">
            <w:pPr>
              <w:rPr>
                <w:sz w:val="20"/>
                <w:lang w:val="en-GB" w:eastAsia="en-GB"/>
              </w:rPr>
            </w:pPr>
            <w:r>
              <w:rPr>
                <w:sz w:val="20"/>
                <w:lang w:val="en-GB" w:eastAsia="en-GB"/>
              </w:rPr>
              <w:t>10</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00E9EB2"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eastAsia="en-GB"/>
              </w:rPr>
              <w:t>CSIC</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BEB0C46" w14:textId="11CB7D77" w:rsidR="00645867" w:rsidRPr="002D131D" w:rsidRDefault="00645867">
            <w:pPr>
              <w:cnfStyle w:val="000000000000" w:firstRow="0" w:lastRow="0" w:firstColumn="0" w:lastColumn="0" w:oddVBand="0" w:evenVBand="0" w:oddHBand="0" w:evenHBand="0" w:firstRowFirstColumn="0" w:firstRowLastColumn="0" w:lastRowFirstColumn="0" w:lastRowLastColumn="0"/>
              <w:rPr>
                <w:sz w:val="20"/>
                <w:lang w:val="es-ES"/>
              </w:rPr>
            </w:pPr>
            <w:r w:rsidRPr="002D131D">
              <w:rPr>
                <w:color w:val="auto"/>
                <w:sz w:val="20"/>
                <w:lang w:val="es-ES"/>
              </w:rPr>
              <w:t>Consejo Superior De Investigaciones </w:t>
            </w:r>
            <w:r w:rsidR="002D131D" w:rsidRPr="002D131D">
              <w:rPr>
                <w:color w:val="auto"/>
                <w:sz w:val="20"/>
                <w:lang w:val="es-ES"/>
              </w:rPr>
              <w:t>Científicas</w:t>
            </w:r>
          </w:p>
        </w:tc>
      </w:tr>
      <w:tr w:rsidR="00645867" w14:paraId="63DADEA6"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FC1DCCC" w14:textId="77777777" w:rsidR="00645867" w:rsidRDefault="00645867">
            <w:pPr>
              <w:rPr>
                <w:sz w:val="20"/>
                <w:lang w:val="en-GB" w:eastAsia="en-GB"/>
              </w:rPr>
            </w:pPr>
            <w:r>
              <w:rPr>
                <w:sz w:val="20"/>
                <w:lang w:val="en-GB" w:eastAsia="en-GB"/>
              </w:rPr>
              <w:t>11</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B40782B"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eastAsia="en-GB"/>
              </w:rPr>
            </w:pPr>
            <w:r>
              <w:rPr>
                <w:rFonts w:eastAsiaTheme="minorHAnsi" w:cs="Calibri"/>
                <w:color w:val="auto"/>
                <w:sz w:val="20"/>
                <w:lang w:val="nl-NL"/>
              </w:rPr>
              <w:t>VARO</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34EDF5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eastAsia="en-GB"/>
              </w:rPr>
            </w:pPr>
            <w:r>
              <w:rPr>
                <w:color w:val="auto"/>
                <w:sz w:val="20"/>
                <w:lang w:val="en-GB"/>
              </w:rPr>
              <w:t>Varo Energy Netherlands BV</w:t>
            </w:r>
          </w:p>
        </w:tc>
      </w:tr>
      <w:tr w:rsidR="00645867" w14:paraId="3EAAD165"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E9C8289" w14:textId="77777777" w:rsidR="00645867" w:rsidRDefault="00645867">
            <w:pPr>
              <w:rPr>
                <w:sz w:val="20"/>
                <w:lang w:val="en-GB" w:eastAsia="en-GB"/>
              </w:rPr>
            </w:pPr>
            <w:r>
              <w:rPr>
                <w:sz w:val="20"/>
                <w:lang w:val="en-GB" w:eastAsia="en-GB"/>
              </w:rPr>
              <w:t>12</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548A1C1" w14:textId="77777777" w:rsidR="00645867" w:rsidRDefault="00645867">
            <w:pPr>
              <w:cnfStyle w:val="000000000000" w:firstRow="0" w:lastRow="0" w:firstColumn="0" w:lastColumn="0" w:oddVBand="0" w:evenVBand="0" w:oddHBand="0" w:evenHBand="0" w:firstRowFirstColumn="0" w:firstRowLastColumn="0" w:lastRowFirstColumn="0" w:lastRowLastColumn="0"/>
              <w:rPr>
                <w:rFonts w:eastAsiaTheme="minorHAnsi" w:cs="Calibri"/>
                <w:color w:val="auto"/>
                <w:sz w:val="20"/>
                <w:lang w:val="nl-NL"/>
              </w:rPr>
            </w:pPr>
            <w:r>
              <w:rPr>
                <w:rFonts w:eastAsiaTheme="minorHAnsi" w:cs="Calibri"/>
                <w:color w:val="auto"/>
                <w:sz w:val="20"/>
                <w:lang w:val="nl-NL"/>
              </w:rPr>
              <w:t>GOOD</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E7236BD"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auto"/>
                <w:sz w:val="20"/>
                <w:lang w:val="en-GB"/>
              </w:rPr>
            </w:pPr>
            <w:r>
              <w:rPr>
                <w:color w:val="auto"/>
                <w:sz w:val="20"/>
                <w:lang w:val="en-GB"/>
              </w:rPr>
              <w:t>GoodFuels B.V.</w:t>
            </w:r>
          </w:p>
        </w:tc>
      </w:tr>
    </w:tbl>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This project has received funding from the European Union’s Horizon 2020 research and innovation programme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5C6494B8" w14:textId="4D821AB9" w:rsidR="00710F7F" w:rsidRPr="0045629F" w:rsidRDefault="00710F7F" w:rsidP="00DC3405">
      <w:pPr>
        <w:spacing w:after="160" w:line="259" w:lineRule="auto"/>
        <w:jc w:val="left"/>
        <w:rPr>
          <w:lang w:val="en-GB"/>
        </w:rPr>
      </w:pPr>
    </w:p>
    <w:sectPr w:rsidR="00710F7F" w:rsidRPr="0045629F" w:rsidSect="00095ECB">
      <w:headerReference w:type="default" r:id="rId24"/>
      <w:footerReference w:type="default" r:id="rId25"/>
      <w:footerReference w:type="first" r:id="rId26"/>
      <w:pgSz w:w="11906" w:h="16838"/>
      <w:pgMar w:top="1418" w:right="1134" w:bottom="1418"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231E7" w14:textId="77777777" w:rsidR="00A92754" w:rsidRDefault="00A92754" w:rsidP="00AF6EDB">
      <w:r>
        <w:separator/>
      </w:r>
    </w:p>
  </w:endnote>
  <w:endnote w:type="continuationSeparator" w:id="0">
    <w:p w14:paraId="011F4528" w14:textId="77777777" w:rsidR="00A92754" w:rsidRDefault="00A92754"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2AD8" w14:textId="46DD211E" w:rsidR="007D4A4F" w:rsidRPr="00530FD4" w:rsidRDefault="007D4A4F" w:rsidP="00095ECB">
    <w:pPr>
      <w:pStyle w:val="Footer"/>
      <w:tabs>
        <w:tab w:val="clear" w:pos="9072"/>
        <w:tab w:val="right" w:pos="9638"/>
      </w:tabs>
      <w:rPr>
        <w:rFonts w:cs="Calibri"/>
        <w:color w:val="2F2F2F" w:themeColor="background2" w:themeShade="BF"/>
        <w:sz w:val="18"/>
        <w:szCs w:val="18"/>
      </w:rPr>
    </w:pPr>
    <w:r w:rsidRPr="00530FD4">
      <w:rPr>
        <w:color w:val="2F2F2F" w:themeColor="background2" w:themeShade="BF"/>
      </w:rPr>
      <w:t>D</w:t>
    </w:r>
    <w:r>
      <w:rPr>
        <w:color w:val="2F2F2F" w:themeColor="background2" w:themeShade="BF"/>
      </w:rPr>
      <w:t>6.2</w:t>
    </w:r>
    <w:r w:rsidR="008C59E4">
      <w:rPr>
        <w:color w:val="2F2F2F" w:themeColor="background2" w:themeShade="BF"/>
      </w:rPr>
      <w:t xml:space="preserve"> </w:t>
    </w:r>
    <w:r w:rsidRPr="00530FD4">
      <w:rPr>
        <w:color w:val="2F2F2F" w:themeColor="background2" w:themeShade="BF"/>
      </w:rPr>
      <w:t xml:space="preserve">– </w:t>
    </w:r>
    <w:r>
      <w:rPr>
        <w:color w:val="2F2F2F" w:themeColor="background2" w:themeShade="BF"/>
      </w:rPr>
      <w:t>Market Assessment</w:t>
    </w:r>
    <w:r w:rsidRPr="00530FD4">
      <w:rPr>
        <w:color w:val="2F2F2F" w:themeColor="background2" w:themeShade="BF"/>
      </w:rPr>
      <w:t xml:space="preserve"> – </w:t>
    </w:r>
    <w:r>
      <w:rPr>
        <w:color w:val="2F2F2F" w:themeColor="background2" w:themeShade="BF"/>
      </w:rPr>
      <w:t>CO</w:t>
    </w:r>
    <w:r>
      <w:rPr>
        <w:color w:val="2F2F2F" w:themeColor="background2" w:themeShade="BF"/>
      </w:rPr>
      <w:tab/>
    </w:r>
    <w:r>
      <w:rPr>
        <w:color w:val="2F2F2F" w:themeColor="background2" w:themeShade="BF"/>
      </w:rPr>
      <w:tab/>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00574D49">
      <w:rPr>
        <w:rFonts w:cs="Calibri"/>
        <w:noProof/>
        <w:color w:val="2F2F2F" w:themeColor="background2" w:themeShade="BF"/>
        <w:sz w:val="18"/>
        <w:szCs w:val="18"/>
      </w:rPr>
      <w:t>20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00574D49">
      <w:rPr>
        <w:rFonts w:cs="Calibri"/>
        <w:noProof/>
        <w:color w:val="2F2F2F" w:themeColor="background2" w:themeShade="BF"/>
        <w:sz w:val="18"/>
        <w:szCs w:val="18"/>
      </w:rPr>
      <w:t>38</w:t>
    </w:r>
    <w:r w:rsidRPr="00530FD4">
      <w:rPr>
        <w:rFonts w:cs="Calibri"/>
        <w:color w:val="2F2F2F" w:themeColor="background2" w:themeShade="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5CEA" w14:textId="77777777" w:rsidR="007D4A4F" w:rsidRDefault="007D4A4F" w:rsidP="007A4C09">
    <w:pPr>
      <w:jc w:val="left"/>
      <w:rPr>
        <w:i/>
        <w:iCs/>
      </w:rPr>
    </w:pPr>
  </w:p>
  <w:p w14:paraId="01F54B89" w14:textId="77777777" w:rsidR="007D4A4F" w:rsidRDefault="007D4A4F" w:rsidP="007A4C09">
    <w:pPr>
      <w:jc w:val="left"/>
      <w:rPr>
        <w:i/>
        <w:iCs/>
      </w:rPr>
    </w:pPr>
    <w:r w:rsidRPr="002821F1">
      <w:rPr>
        <w:i/>
        <w:iCs/>
        <w:noProof/>
        <w:color w:val="303030" w:themeColor="text1" w:themeTint="D9"/>
      </w:rPr>
      <w:drawing>
        <wp:anchor distT="0" distB="0" distL="114300" distR="114300" simplePos="0" relativeHeight="251683840" behindDoc="1" locked="0" layoutInCell="1" allowOverlap="1" wp14:anchorId="7DF27CC3" wp14:editId="5AA93E39">
          <wp:simplePos x="0" y="0"/>
          <wp:positionH relativeFrom="margin">
            <wp:posOffset>0</wp:posOffset>
          </wp:positionH>
          <wp:positionV relativeFrom="paragraph">
            <wp:posOffset>102235</wp:posOffset>
          </wp:positionV>
          <wp:extent cx="609600" cy="457200"/>
          <wp:effectExtent l="0" t="0" r="0" b="0"/>
          <wp:wrapTight wrapText="bothSides">
            <wp:wrapPolygon edited="0">
              <wp:start x="0" y="0"/>
              <wp:lineTo x="0" y="20700"/>
              <wp:lineTo x="20925" y="20700"/>
              <wp:lineTo x="20925" y="0"/>
              <wp:lineTo x="0" y="0"/>
            </wp:wrapPolygon>
          </wp:wrapTight>
          <wp:docPr id="5" name="Picture 11" descr="http://elastic.studioh2o.nl/image.php/userdata/image/ec_1.gif?width=150&amp;height=150&amp;image=/userdata/image/ec_1.gif">
            <a:extLst xmlns:a="http://schemas.openxmlformats.org/drawingml/2006/main">
              <a:ext uri="{FF2B5EF4-FFF2-40B4-BE49-F238E27FC236}">
                <a16:creationId xmlns:a16="http://schemas.microsoft.com/office/drawing/2014/main" id="{323BD298-D795-4995-9582-278327A86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ttp://elastic.studioh2o.nl/image.php/userdata/image/ec_1.gif?width=150&amp;height=150&amp;image=/userdata/image/ec_1.gif">
                    <a:extLst>
                      <a:ext uri="{FF2B5EF4-FFF2-40B4-BE49-F238E27FC236}">
                        <a16:creationId xmlns:a16="http://schemas.microsoft.com/office/drawing/2014/main" id="{323BD298-D795-4995-9582-278327A86B3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w="9525">
                    <a:noFill/>
                    <a:miter lim="800000"/>
                    <a:headEnd/>
                    <a:tailEnd/>
                  </a:ln>
                </pic:spPr>
              </pic:pic>
            </a:graphicData>
          </a:graphic>
        </wp:anchor>
      </w:drawing>
    </w:r>
  </w:p>
  <w:p w14:paraId="3A5F8808" w14:textId="77777777" w:rsidR="007D4A4F" w:rsidRPr="002821F1" w:rsidRDefault="007D4A4F" w:rsidP="007A4C09">
    <w:pPr>
      <w:jc w:val="left"/>
      <w:rPr>
        <w:color w:val="303030" w:themeColor="text1" w:themeTint="D9"/>
        <w:lang w:val="en-GB"/>
      </w:rPr>
    </w:pPr>
    <w:bookmarkStart w:id="53" w:name="_Hlk27465704"/>
    <w:r w:rsidRPr="00D36423">
      <w:rPr>
        <w:i/>
        <w:iCs/>
        <w:color w:val="303030" w:themeColor="text1" w:themeTint="D9"/>
      </w:rPr>
      <w:t>This project has received funding from the European Union’s Horizon 2020 research and innovation programme under grant agreement No 883753</w:t>
    </w:r>
  </w:p>
  <w:bookmarkEnd w:id="53"/>
  <w:p w14:paraId="574A5BF9" w14:textId="4C2150FA" w:rsidR="007D4A4F" w:rsidRPr="007A4C09" w:rsidRDefault="007D4A4F" w:rsidP="007A4C09">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5629C" w14:textId="77777777" w:rsidR="00A92754" w:rsidRDefault="00A92754" w:rsidP="00AF6EDB">
      <w:bookmarkStart w:id="0" w:name="_Hlk42782855"/>
      <w:bookmarkEnd w:id="0"/>
      <w:r>
        <w:separator/>
      </w:r>
    </w:p>
  </w:footnote>
  <w:footnote w:type="continuationSeparator" w:id="0">
    <w:p w14:paraId="066DCE2C" w14:textId="77777777" w:rsidR="00A92754" w:rsidRDefault="00A92754"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4EED" w14:textId="3758E29D" w:rsidR="007D4A4F" w:rsidRPr="00E646DE" w:rsidRDefault="007D4A4F" w:rsidP="00E646DE">
    <w:pPr>
      <w:pStyle w:val="Footer"/>
      <w:rPr>
        <w:color w:val="303030" w:themeColor="text1" w:themeTint="D9"/>
      </w:rPr>
    </w:pPr>
    <w:r w:rsidRPr="00B524B5">
      <w:rPr>
        <w:noProof/>
        <w:color w:val="181818" w:themeColor="text1" w:themeTint="F2"/>
      </w:rPr>
      <w:drawing>
        <wp:anchor distT="0" distB="0" distL="114300" distR="114300" simplePos="0" relativeHeight="25165721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FD3410F"/>
    <w:multiLevelType w:val="hybridMultilevel"/>
    <w:tmpl w:val="709CB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21775"/>
    <w:multiLevelType w:val="hybridMultilevel"/>
    <w:tmpl w:val="A3EAB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55AFE"/>
    <w:multiLevelType w:val="hybridMultilevel"/>
    <w:tmpl w:val="2F9AB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A45CB"/>
    <w:multiLevelType w:val="hybridMultilevel"/>
    <w:tmpl w:val="A0A68384"/>
    <w:lvl w:ilvl="0" w:tplc="EB5A7930">
      <w:start w:val="1"/>
      <w:numFmt w:val="bullet"/>
      <w:lvlText w:val="-"/>
      <w:lvlJc w:val="left"/>
      <w:pPr>
        <w:ind w:left="720" w:hanging="360"/>
      </w:pPr>
      <w:rPr>
        <w:rFonts w:ascii="Calibri" w:hAnsi="Calibri" w:hint="default"/>
      </w:rPr>
    </w:lvl>
    <w:lvl w:ilvl="1" w:tplc="9B441FAC">
      <w:start w:val="1"/>
      <w:numFmt w:val="bullet"/>
      <w:lvlText w:val="o"/>
      <w:lvlJc w:val="left"/>
      <w:pPr>
        <w:ind w:left="1440" w:hanging="360"/>
      </w:pPr>
      <w:rPr>
        <w:rFonts w:ascii="Courier New" w:hAnsi="Courier New" w:hint="default"/>
      </w:rPr>
    </w:lvl>
    <w:lvl w:ilvl="2" w:tplc="766EB99A">
      <w:start w:val="1"/>
      <w:numFmt w:val="bullet"/>
      <w:lvlText w:val=""/>
      <w:lvlJc w:val="left"/>
      <w:pPr>
        <w:ind w:left="2160" w:hanging="360"/>
      </w:pPr>
      <w:rPr>
        <w:rFonts w:ascii="Wingdings" w:hAnsi="Wingdings" w:hint="default"/>
      </w:rPr>
    </w:lvl>
    <w:lvl w:ilvl="3" w:tplc="ED9AF38C">
      <w:start w:val="1"/>
      <w:numFmt w:val="bullet"/>
      <w:lvlText w:val=""/>
      <w:lvlJc w:val="left"/>
      <w:pPr>
        <w:ind w:left="2880" w:hanging="360"/>
      </w:pPr>
      <w:rPr>
        <w:rFonts w:ascii="Symbol" w:hAnsi="Symbol" w:hint="default"/>
      </w:rPr>
    </w:lvl>
    <w:lvl w:ilvl="4" w:tplc="023E43B4">
      <w:start w:val="1"/>
      <w:numFmt w:val="bullet"/>
      <w:lvlText w:val="o"/>
      <w:lvlJc w:val="left"/>
      <w:pPr>
        <w:ind w:left="3600" w:hanging="360"/>
      </w:pPr>
      <w:rPr>
        <w:rFonts w:ascii="Courier New" w:hAnsi="Courier New" w:hint="default"/>
      </w:rPr>
    </w:lvl>
    <w:lvl w:ilvl="5" w:tplc="C33A3BFC">
      <w:start w:val="1"/>
      <w:numFmt w:val="bullet"/>
      <w:lvlText w:val=""/>
      <w:lvlJc w:val="left"/>
      <w:pPr>
        <w:ind w:left="4320" w:hanging="360"/>
      </w:pPr>
      <w:rPr>
        <w:rFonts w:ascii="Wingdings" w:hAnsi="Wingdings" w:hint="default"/>
      </w:rPr>
    </w:lvl>
    <w:lvl w:ilvl="6" w:tplc="93FCC23A">
      <w:start w:val="1"/>
      <w:numFmt w:val="bullet"/>
      <w:lvlText w:val=""/>
      <w:lvlJc w:val="left"/>
      <w:pPr>
        <w:ind w:left="5040" w:hanging="360"/>
      </w:pPr>
      <w:rPr>
        <w:rFonts w:ascii="Symbol" w:hAnsi="Symbol" w:hint="default"/>
      </w:rPr>
    </w:lvl>
    <w:lvl w:ilvl="7" w:tplc="BCFA3B5E">
      <w:start w:val="1"/>
      <w:numFmt w:val="bullet"/>
      <w:lvlText w:val="o"/>
      <w:lvlJc w:val="left"/>
      <w:pPr>
        <w:ind w:left="5760" w:hanging="360"/>
      </w:pPr>
      <w:rPr>
        <w:rFonts w:ascii="Courier New" w:hAnsi="Courier New" w:hint="default"/>
      </w:rPr>
    </w:lvl>
    <w:lvl w:ilvl="8" w:tplc="E722C26C">
      <w:start w:val="1"/>
      <w:numFmt w:val="bullet"/>
      <w:lvlText w:val=""/>
      <w:lvlJc w:val="left"/>
      <w:pPr>
        <w:ind w:left="6480" w:hanging="360"/>
      </w:pPr>
      <w:rPr>
        <w:rFonts w:ascii="Wingdings" w:hAnsi="Wingdings" w:hint="default"/>
      </w:rPr>
    </w:lvl>
  </w:abstractNum>
  <w:abstractNum w:abstractNumId="6" w15:restartNumberingAfterBreak="0">
    <w:nsid w:val="4D824B37"/>
    <w:multiLevelType w:val="hybridMultilevel"/>
    <w:tmpl w:val="885A80CA"/>
    <w:lvl w:ilvl="0" w:tplc="62B2A6BE">
      <w:start w:val="1"/>
      <w:numFmt w:val="decimal"/>
      <w:lvlText w:val="%1."/>
      <w:lvlJc w:val="left"/>
      <w:pPr>
        <w:ind w:left="1080" w:hanging="360"/>
      </w:pPr>
    </w:lvl>
    <w:lvl w:ilvl="1" w:tplc="3A121508">
      <w:start w:val="1"/>
      <w:numFmt w:val="lowerLetter"/>
      <w:lvlText w:val="%2."/>
      <w:lvlJc w:val="left"/>
      <w:pPr>
        <w:ind w:left="1800" w:hanging="360"/>
      </w:pPr>
    </w:lvl>
    <w:lvl w:ilvl="2" w:tplc="32A4399C">
      <w:start w:val="1"/>
      <w:numFmt w:val="lowerRoman"/>
      <w:lvlText w:val="%3."/>
      <w:lvlJc w:val="right"/>
      <w:pPr>
        <w:ind w:left="2520" w:hanging="180"/>
      </w:pPr>
    </w:lvl>
    <w:lvl w:ilvl="3" w:tplc="8FE6F2D4">
      <w:start w:val="1"/>
      <w:numFmt w:val="decimal"/>
      <w:lvlText w:val="%4."/>
      <w:lvlJc w:val="left"/>
      <w:pPr>
        <w:ind w:left="3240" w:hanging="360"/>
      </w:pPr>
    </w:lvl>
    <w:lvl w:ilvl="4" w:tplc="5EB83A66">
      <w:start w:val="1"/>
      <w:numFmt w:val="lowerLetter"/>
      <w:lvlText w:val="%5."/>
      <w:lvlJc w:val="left"/>
      <w:pPr>
        <w:ind w:left="3960" w:hanging="360"/>
      </w:pPr>
    </w:lvl>
    <w:lvl w:ilvl="5" w:tplc="E19A4B5A">
      <w:start w:val="1"/>
      <w:numFmt w:val="lowerRoman"/>
      <w:lvlText w:val="%6."/>
      <w:lvlJc w:val="right"/>
      <w:pPr>
        <w:ind w:left="4680" w:hanging="180"/>
      </w:pPr>
    </w:lvl>
    <w:lvl w:ilvl="6" w:tplc="351E0702">
      <w:start w:val="1"/>
      <w:numFmt w:val="decimal"/>
      <w:lvlText w:val="%7."/>
      <w:lvlJc w:val="left"/>
      <w:pPr>
        <w:ind w:left="5400" w:hanging="360"/>
      </w:pPr>
    </w:lvl>
    <w:lvl w:ilvl="7" w:tplc="270AEE74">
      <w:start w:val="1"/>
      <w:numFmt w:val="lowerLetter"/>
      <w:lvlText w:val="%8."/>
      <w:lvlJc w:val="left"/>
      <w:pPr>
        <w:ind w:left="6120" w:hanging="360"/>
      </w:pPr>
    </w:lvl>
    <w:lvl w:ilvl="8" w:tplc="6F768114">
      <w:start w:val="1"/>
      <w:numFmt w:val="lowerRoman"/>
      <w:lvlText w:val="%9."/>
      <w:lvlJc w:val="right"/>
      <w:pPr>
        <w:ind w:left="6840" w:hanging="180"/>
      </w:pPr>
    </w:lvl>
  </w:abstractNum>
  <w:abstractNum w:abstractNumId="7" w15:restartNumberingAfterBreak="0">
    <w:nsid w:val="4E6A7D73"/>
    <w:multiLevelType w:val="hybridMultilevel"/>
    <w:tmpl w:val="DB143FAE"/>
    <w:lvl w:ilvl="0" w:tplc="7868B3C2">
      <w:numFmt w:val="none"/>
      <w:lvlText w:val=""/>
      <w:lvlJc w:val="left"/>
      <w:pPr>
        <w:tabs>
          <w:tab w:val="num" w:pos="360"/>
        </w:tabs>
      </w:pPr>
    </w:lvl>
    <w:lvl w:ilvl="1" w:tplc="B8CCF05A">
      <w:start w:val="1"/>
      <w:numFmt w:val="lowerLetter"/>
      <w:lvlText w:val="%2."/>
      <w:lvlJc w:val="left"/>
      <w:pPr>
        <w:ind w:left="1440" w:hanging="360"/>
      </w:pPr>
    </w:lvl>
    <w:lvl w:ilvl="2" w:tplc="5DEEDFDE">
      <w:start w:val="1"/>
      <w:numFmt w:val="lowerRoman"/>
      <w:lvlText w:val="%3."/>
      <w:lvlJc w:val="right"/>
      <w:pPr>
        <w:ind w:left="2160" w:hanging="180"/>
      </w:pPr>
    </w:lvl>
    <w:lvl w:ilvl="3" w:tplc="DC0C7C3C">
      <w:start w:val="1"/>
      <w:numFmt w:val="decimal"/>
      <w:lvlText w:val="%4."/>
      <w:lvlJc w:val="left"/>
      <w:pPr>
        <w:ind w:left="2880" w:hanging="360"/>
      </w:pPr>
    </w:lvl>
    <w:lvl w:ilvl="4" w:tplc="8F4E0E5C">
      <w:start w:val="1"/>
      <w:numFmt w:val="lowerLetter"/>
      <w:lvlText w:val="%5."/>
      <w:lvlJc w:val="left"/>
      <w:pPr>
        <w:ind w:left="3600" w:hanging="360"/>
      </w:pPr>
    </w:lvl>
    <w:lvl w:ilvl="5" w:tplc="34AAC556">
      <w:start w:val="1"/>
      <w:numFmt w:val="lowerRoman"/>
      <w:lvlText w:val="%6."/>
      <w:lvlJc w:val="right"/>
      <w:pPr>
        <w:ind w:left="4320" w:hanging="180"/>
      </w:pPr>
    </w:lvl>
    <w:lvl w:ilvl="6" w:tplc="183C284E">
      <w:start w:val="1"/>
      <w:numFmt w:val="decimal"/>
      <w:lvlText w:val="%7."/>
      <w:lvlJc w:val="left"/>
      <w:pPr>
        <w:ind w:left="5040" w:hanging="360"/>
      </w:pPr>
    </w:lvl>
    <w:lvl w:ilvl="7" w:tplc="B3C6250C">
      <w:start w:val="1"/>
      <w:numFmt w:val="lowerLetter"/>
      <w:lvlText w:val="%8."/>
      <w:lvlJc w:val="left"/>
      <w:pPr>
        <w:ind w:left="5760" w:hanging="360"/>
      </w:pPr>
    </w:lvl>
    <w:lvl w:ilvl="8" w:tplc="8ACE796C">
      <w:start w:val="1"/>
      <w:numFmt w:val="lowerRoman"/>
      <w:lvlText w:val="%9."/>
      <w:lvlJc w:val="right"/>
      <w:pPr>
        <w:ind w:left="6480" w:hanging="180"/>
      </w:pPr>
    </w:lvl>
  </w:abstractNum>
  <w:abstractNum w:abstractNumId="8" w15:restartNumberingAfterBreak="0">
    <w:nsid w:val="51307164"/>
    <w:multiLevelType w:val="hybridMultilevel"/>
    <w:tmpl w:val="CBE6D1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63EF0792"/>
    <w:multiLevelType w:val="multilevel"/>
    <w:tmpl w:val="3F282D7E"/>
    <w:lvl w:ilvl="0">
      <w:start w:val="1"/>
      <w:numFmt w:val="decimal"/>
      <w:pStyle w:val="Heading1"/>
      <w:lvlText w:val="%1"/>
      <w:lvlJc w:val="left"/>
      <w:pPr>
        <w:ind w:left="727" w:hanging="431"/>
      </w:pPr>
      <w:rPr>
        <w:color w:val="002244"/>
      </w:rPr>
    </w:lvl>
    <w:lvl w:ilvl="1">
      <w:start w:val="1"/>
      <w:numFmt w:val="decimal"/>
      <w:pStyle w:val="Heading2"/>
      <w:lvlText w:val="%1.%2"/>
      <w:lvlJc w:val="left"/>
      <w:pPr>
        <w:ind w:left="444" w:hanging="431"/>
      </w:pPr>
      <w:rPr>
        <w:color w:val="0075B0"/>
      </w:rPr>
    </w:lvl>
    <w:lvl w:ilvl="2">
      <w:start w:val="1"/>
      <w:numFmt w:val="decimal"/>
      <w:pStyle w:val="Heading3"/>
      <w:lvlText w:val="%1.%2.%3"/>
      <w:lvlJc w:val="left"/>
      <w:pPr>
        <w:ind w:left="1511" w:hanging="431"/>
      </w:pPr>
      <w:rPr>
        <w:color w:val="0075B0"/>
      </w:rPr>
    </w:lvl>
    <w:lvl w:ilvl="3">
      <w:start w:val="1"/>
      <w:numFmt w:val="decimal"/>
      <w:pStyle w:val="Heading4"/>
      <w:lvlText w:val="%1.%2.%3.%4"/>
      <w:lvlJc w:val="left"/>
      <w:pPr>
        <w:ind w:left="444" w:hanging="431"/>
      </w:pPr>
    </w:lvl>
    <w:lvl w:ilvl="4">
      <w:start w:val="1"/>
      <w:numFmt w:val="decimal"/>
      <w:pStyle w:val="Heading5"/>
      <w:lvlText w:val="%1.%2.%3.%4.%5"/>
      <w:lvlJc w:val="left"/>
      <w:pPr>
        <w:ind w:left="444" w:hanging="431"/>
      </w:pPr>
    </w:lvl>
    <w:lvl w:ilvl="5">
      <w:start w:val="1"/>
      <w:numFmt w:val="decimal"/>
      <w:pStyle w:val="Heading6"/>
      <w:lvlText w:val="%1.%2.%3.%4.%5.%6"/>
      <w:lvlJc w:val="left"/>
      <w:pPr>
        <w:ind w:left="444" w:hanging="431"/>
      </w:pPr>
    </w:lvl>
    <w:lvl w:ilvl="6">
      <w:start w:val="1"/>
      <w:numFmt w:val="decimal"/>
      <w:lvlText w:val="%1.%2.%3.%4.%5.%6.%7"/>
      <w:lvlJc w:val="left"/>
      <w:pPr>
        <w:ind w:left="444" w:hanging="431"/>
      </w:pPr>
    </w:lvl>
    <w:lvl w:ilvl="7">
      <w:start w:val="1"/>
      <w:numFmt w:val="decimal"/>
      <w:lvlText w:val="%1.%2.%3.%4.%5.%6.%7.%8"/>
      <w:lvlJc w:val="left"/>
      <w:pPr>
        <w:ind w:left="444" w:hanging="431"/>
      </w:pPr>
    </w:lvl>
    <w:lvl w:ilvl="8">
      <w:start w:val="1"/>
      <w:numFmt w:val="decimal"/>
      <w:lvlText w:val="%1.%2.%3.%4.%5.%6.%7.%8.%9"/>
      <w:lvlJc w:val="left"/>
      <w:pPr>
        <w:ind w:left="444" w:hanging="431"/>
      </w:pPr>
    </w:lvl>
  </w:abstractNum>
  <w:abstractNum w:abstractNumId="11"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113D3E"/>
    <w:multiLevelType w:val="hybridMultilevel"/>
    <w:tmpl w:val="6D025AA0"/>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ED7430F"/>
    <w:multiLevelType w:val="hybridMultilevel"/>
    <w:tmpl w:val="3D0C4CD6"/>
    <w:lvl w:ilvl="0" w:tplc="69F69F2E">
      <w:start w:val="13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8"/>
  </w:num>
  <w:num w:numId="5">
    <w:abstractNumId w:val="9"/>
  </w:num>
  <w:num w:numId="6">
    <w:abstractNumId w:val="10"/>
  </w:num>
  <w:num w:numId="7">
    <w:abstractNumId w:val="1"/>
  </w:num>
  <w:num w:numId="8">
    <w:abstractNumId w:val="4"/>
  </w:num>
  <w:num w:numId="9">
    <w:abstractNumId w:val="0"/>
  </w:num>
  <w:num w:numId="10">
    <w:abstractNumId w:val="11"/>
  </w:num>
  <w:num w:numId="11">
    <w:abstractNumId w:val="12"/>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3"/>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NDcwtzAyNTWytDBS0lEKTi0uzszPAykwrAUAu2VZMiwAAAA="/>
  </w:docVars>
  <w:rsids>
    <w:rsidRoot w:val="0093640B"/>
    <w:rsid w:val="00000A29"/>
    <w:rsid w:val="0000120D"/>
    <w:rsid w:val="00001DE7"/>
    <w:rsid w:val="00004694"/>
    <w:rsid w:val="000067B3"/>
    <w:rsid w:val="00007050"/>
    <w:rsid w:val="0000757F"/>
    <w:rsid w:val="00012A70"/>
    <w:rsid w:val="00012BF4"/>
    <w:rsid w:val="00013041"/>
    <w:rsid w:val="00013D65"/>
    <w:rsid w:val="000170FF"/>
    <w:rsid w:val="00017D36"/>
    <w:rsid w:val="00020333"/>
    <w:rsid w:val="000205AF"/>
    <w:rsid w:val="00023DC2"/>
    <w:rsid w:val="00031F0B"/>
    <w:rsid w:val="00032649"/>
    <w:rsid w:val="00033047"/>
    <w:rsid w:val="000336AA"/>
    <w:rsid w:val="0003492A"/>
    <w:rsid w:val="00034A0A"/>
    <w:rsid w:val="00036667"/>
    <w:rsid w:val="00037058"/>
    <w:rsid w:val="000378E4"/>
    <w:rsid w:val="00037B04"/>
    <w:rsid w:val="00037DA9"/>
    <w:rsid w:val="00041AEA"/>
    <w:rsid w:val="00042270"/>
    <w:rsid w:val="00044EB3"/>
    <w:rsid w:val="00045982"/>
    <w:rsid w:val="000505E6"/>
    <w:rsid w:val="00050650"/>
    <w:rsid w:val="0005204F"/>
    <w:rsid w:val="00056EF1"/>
    <w:rsid w:val="0005FE0B"/>
    <w:rsid w:val="0006055E"/>
    <w:rsid w:val="00061ED1"/>
    <w:rsid w:val="0006215C"/>
    <w:rsid w:val="00063760"/>
    <w:rsid w:val="00065026"/>
    <w:rsid w:val="0006573F"/>
    <w:rsid w:val="0006589A"/>
    <w:rsid w:val="00070184"/>
    <w:rsid w:val="000733B1"/>
    <w:rsid w:val="00073D86"/>
    <w:rsid w:val="00073F25"/>
    <w:rsid w:val="00074443"/>
    <w:rsid w:val="00074D66"/>
    <w:rsid w:val="00074FBC"/>
    <w:rsid w:val="00075C14"/>
    <w:rsid w:val="000808D9"/>
    <w:rsid w:val="000841E2"/>
    <w:rsid w:val="00091493"/>
    <w:rsid w:val="00091678"/>
    <w:rsid w:val="00092038"/>
    <w:rsid w:val="000924CE"/>
    <w:rsid w:val="00092EB5"/>
    <w:rsid w:val="00093632"/>
    <w:rsid w:val="00095524"/>
    <w:rsid w:val="00095ECB"/>
    <w:rsid w:val="00096512"/>
    <w:rsid w:val="000966E5"/>
    <w:rsid w:val="000A128B"/>
    <w:rsid w:val="000A5C5F"/>
    <w:rsid w:val="000A6122"/>
    <w:rsid w:val="000A6226"/>
    <w:rsid w:val="000A688B"/>
    <w:rsid w:val="000A729C"/>
    <w:rsid w:val="000A72A2"/>
    <w:rsid w:val="000B2E7F"/>
    <w:rsid w:val="000B393A"/>
    <w:rsid w:val="000B40B6"/>
    <w:rsid w:val="000B46FF"/>
    <w:rsid w:val="000B4F44"/>
    <w:rsid w:val="000B56C1"/>
    <w:rsid w:val="000B6A1F"/>
    <w:rsid w:val="000C1930"/>
    <w:rsid w:val="000C2D0B"/>
    <w:rsid w:val="000C4706"/>
    <w:rsid w:val="000C6781"/>
    <w:rsid w:val="000C6BD3"/>
    <w:rsid w:val="000D093D"/>
    <w:rsid w:val="000D0B84"/>
    <w:rsid w:val="000D1B57"/>
    <w:rsid w:val="000D319F"/>
    <w:rsid w:val="000D4C23"/>
    <w:rsid w:val="000D7D19"/>
    <w:rsid w:val="000E166E"/>
    <w:rsid w:val="000E1923"/>
    <w:rsid w:val="000E35B6"/>
    <w:rsid w:val="000E539E"/>
    <w:rsid w:val="000E56EE"/>
    <w:rsid w:val="000F0990"/>
    <w:rsid w:val="000F2ADF"/>
    <w:rsid w:val="000F2BDB"/>
    <w:rsid w:val="000F4A5B"/>
    <w:rsid w:val="000F77DD"/>
    <w:rsid w:val="001008E6"/>
    <w:rsid w:val="001065BD"/>
    <w:rsid w:val="00106A9B"/>
    <w:rsid w:val="00106F23"/>
    <w:rsid w:val="00111D02"/>
    <w:rsid w:val="001135A2"/>
    <w:rsid w:val="0011416A"/>
    <w:rsid w:val="0011532E"/>
    <w:rsid w:val="00115433"/>
    <w:rsid w:val="00115841"/>
    <w:rsid w:val="001168F0"/>
    <w:rsid w:val="00121EAE"/>
    <w:rsid w:val="00131432"/>
    <w:rsid w:val="00131E03"/>
    <w:rsid w:val="001341C3"/>
    <w:rsid w:val="00135465"/>
    <w:rsid w:val="00136F65"/>
    <w:rsid w:val="00137154"/>
    <w:rsid w:val="00140821"/>
    <w:rsid w:val="001417A6"/>
    <w:rsid w:val="00143C14"/>
    <w:rsid w:val="001449EB"/>
    <w:rsid w:val="00146BF7"/>
    <w:rsid w:val="001517EB"/>
    <w:rsid w:val="00151A87"/>
    <w:rsid w:val="00152413"/>
    <w:rsid w:val="001534E1"/>
    <w:rsid w:val="001542BF"/>
    <w:rsid w:val="001552AF"/>
    <w:rsid w:val="001552F1"/>
    <w:rsid w:val="00156753"/>
    <w:rsid w:val="0015719B"/>
    <w:rsid w:val="001574DF"/>
    <w:rsid w:val="0015791B"/>
    <w:rsid w:val="00160DC6"/>
    <w:rsid w:val="001624E8"/>
    <w:rsid w:val="00164DD5"/>
    <w:rsid w:val="00164F88"/>
    <w:rsid w:val="00165FFA"/>
    <w:rsid w:val="00166C12"/>
    <w:rsid w:val="00172BB8"/>
    <w:rsid w:val="00181F4B"/>
    <w:rsid w:val="001824B0"/>
    <w:rsid w:val="00182583"/>
    <w:rsid w:val="00182601"/>
    <w:rsid w:val="00182E78"/>
    <w:rsid w:val="00184277"/>
    <w:rsid w:val="0018446B"/>
    <w:rsid w:val="00184EBA"/>
    <w:rsid w:val="0018643C"/>
    <w:rsid w:val="001908AE"/>
    <w:rsid w:val="0019357C"/>
    <w:rsid w:val="0019547B"/>
    <w:rsid w:val="00196C3B"/>
    <w:rsid w:val="001A05CB"/>
    <w:rsid w:val="001A23BA"/>
    <w:rsid w:val="001A33C3"/>
    <w:rsid w:val="001A5454"/>
    <w:rsid w:val="001A6FAE"/>
    <w:rsid w:val="001A6FD6"/>
    <w:rsid w:val="001A7DB9"/>
    <w:rsid w:val="001B1935"/>
    <w:rsid w:val="001B3050"/>
    <w:rsid w:val="001B3C27"/>
    <w:rsid w:val="001B711A"/>
    <w:rsid w:val="001B7BE0"/>
    <w:rsid w:val="001BB8ED"/>
    <w:rsid w:val="001C01FE"/>
    <w:rsid w:val="001C6F85"/>
    <w:rsid w:val="001C7BD7"/>
    <w:rsid w:val="001D2647"/>
    <w:rsid w:val="001D2DD5"/>
    <w:rsid w:val="001D4DD0"/>
    <w:rsid w:val="001D5822"/>
    <w:rsid w:val="001D5FD8"/>
    <w:rsid w:val="001E0893"/>
    <w:rsid w:val="001E0EAB"/>
    <w:rsid w:val="001E179D"/>
    <w:rsid w:val="001E32AF"/>
    <w:rsid w:val="001E71C5"/>
    <w:rsid w:val="001F4496"/>
    <w:rsid w:val="001F51CD"/>
    <w:rsid w:val="001F7AFF"/>
    <w:rsid w:val="002001F7"/>
    <w:rsid w:val="00200380"/>
    <w:rsid w:val="0020069D"/>
    <w:rsid w:val="00200B2B"/>
    <w:rsid w:val="002015DD"/>
    <w:rsid w:val="00204851"/>
    <w:rsid w:val="00213D1A"/>
    <w:rsid w:val="00215704"/>
    <w:rsid w:val="002161B6"/>
    <w:rsid w:val="002165E2"/>
    <w:rsid w:val="002174B6"/>
    <w:rsid w:val="00221F59"/>
    <w:rsid w:val="00223739"/>
    <w:rsid w:val="0022473B"/>
    <w:rsid w:val="00224C60"/>
    <w:rsid w:val="00226D9C"/>
    <w:rsid w:val="00233B02"/>
    <w:rsid w:val="002362A0"/>
    <w:rsid w:val="00236E60"/>
    <w:rsid w:val="00237FBC"/>
    <w:rsid w:val="002405DB"/>
    <w:rsid w:val="002412FC"/>
    <w:rsid w:val="002433E0"/>
    <w:rsid w:val="002445F6"/>
    <w:rsid w:val="00244B79"/>
    <w:rsid w:val="0024718A"/>
    <w:rsid w:val="00251036"/>
    <w:rsid w:val="00253BF1"/>
    <w:rsid w:val="00255BF0"/>
    <w:rsid w:val="00260E94"/>
    <w:rsid w:val="00261412"/>
    <w:rsid w:val="00261E05"/>
    <w:rsid w:val="002626D5"/>
    <w:rsid w:val="0026326A"/>
    <w:rsid w:val="0026511E"/>
    <w:rsid w:val="002679C9"/>
    <w:rsid w:val="00272780"/>
    <w:rsid w:val="00274C43"/>
    <w:rsid w:val="00274F0D"/>
    <w:rsid w:val="0027596C"/>
    <w:rsid w:val="00277726"/>
    <w:rsid w:val="0028142C"/>
    <w:rsid w:val="002821F1"/>
    <w:rsid w:val="00282551"/>
    <w:rsid w:val="00287BA4"/>
    <w:rsid w:val="002908EC"/>
    <w:rsid w:val="00295F62"/>
    <w:rsid w:val="002961F6"/>
    <w:rsid w:val="00296271"/>
    <w:rsid w:val="00297246"/>
    <w:rsid w:val="00297B5D"/>
    <w:rsid w:val="002A0A07"/>
    <w:rsid w:val="002A1BA0"/>
    <w:rsid w:val="002A2257"/>
    <w:rsid w:val="002A3813"/>
    <w:rsid w:val="002A4864"/>
    <w:rsid w:val="002A5ADC"/>
    <w:rsid w:val="002A5FAF"/>
    <w:rsid w:val="002A6960"/>
    <w:rsid w:val="002B00C0"/>
    <w:rsid w:val="002B02F7"/>
    <w:rsid w:val="002B3D1A"/>
    <w:rsid w:val="002B49CB"/>
    <w:rsid w:val="002B5A63"/>
    <w:rsid w:val="002C0DA4"/>
    <w:rsid w:val="002C1CDD"/>
    <w:rsid w:val="002C591F"/>
    <w:rsid w:val="002D0318"/>
    <w:rsid w:val="002D1131"/>
    <w:rsid w:val="002D131D"/>
    <w:rsid w:val="002D2C40"/>
    <w:rsid w:val="002D541D"/>
    <w:rsid w:val="002D6984"/>
    <w:rsid w:val="002E0EBC"/>
    <w:rsid w:val="002E2B36"/>
    <w:rsid w:val="002E4890"/>
    <w:rsid w:val="002E78F9"/>
    <w:rsid w:val="002EA22A"/>
    <w:rsid w:val="002F001F"/>
    <w:rsid w:val="002F1723"/>
    <w:rsid w:val="002F2E21"/>
    <w:rsid w:val="002F528B"/>
    <w:rsid w:val="002F5C33"/>
    <w:rsid w:val="002F5D9F"/>
    <w:rsid w:val="002F60AD"/>
    <w:rsid w:val="002F73A3"/>
    <w:rsid w:val="002F760E"/>
    <w:rsid w:val="002F7E75"/>
    <w:rsid w:val="0030082F"/>
    <w:rsid w:val="003008C1"/>
    <w:rsid w:val="00301D15"/>
    <w:rsid w:val="00301F56"/>
    <w:rsid w:val="0030361A"/>
    <w:rsid w:val="003055BB"/>
    <w:rsid w:val="003066F9"/>
    <w:rsid w:val="00306967"/>
    <w:rsid w:val="00311698"/>
    <w:rsid w:val="0031380E"/>
    <w:rsid w:val="00315401"/>
    <w:rsid w:val="003171AF"/>
    <w:rsid w:val="00320083"/>
    <w:rsid w:val="003216CE"/>
    <w:rsid w:val="003226E3"/>
    <w:rsid w:val="0032316F"/>
    <w:rsid w:val="00323461"/>
    <w:rsid w:val="00324C57"/>
    <w:rsid w:val="00327122"/>
    <w:rsid w:val="00331EFA"/>
    <w:rsid w:val="00334617"/>
    <w:rsid w:val="0033563B"/>
    <w:rsid w:val="00336DB9"/>
    <w:rsid w:val="0034036F"/>
    <w:rsid w:val="00340A14"/>
    <w:rsid w:val="0034170A"/>
    <w:rsid w:val="00342B64"/>
    <w:rsid w:val="0034319B"/>
    <w:rsid w:val="00347B73"/>
    <w:rsid w:val="003500DA"/>
    <w:rsid w:val="00351318"/>
    <w:rsid w:val="00352671"/>
    <w:rsid w:val="00352F47"/>
    <w:rsid w:val="00357301"/>
    <w:rsid w:val="00364987"/>
    <w:rsid w:val="003655C3"/>
    <w:rsid w:val="00365985"/>
    <w:rsid w:val="00365E05"/>
    <w:rsid w:val="003667F9"/>
    <w:rsid w:val="003706AB"/>
    <w:rsid w:val="00370CF1"/>
    <w:rsid w:val="0037144D"/>
    <w:rsid w:val="00372792"/>
    <w:rsid w:val="00373BE4"/>
    <w:rsid w:val="00374C57"/>
    <w:rsid w:val="00375E04"/>
    <w:rsid w:val="003842FD"/>
    <w:rsid w:val="003869C4"/>
    <w:rsid w:val="003870A1"/>
    <w:rsid w:val="0039237F"/>
    <w:rsid w:val="0039263A"/>
    <w:rsid w:val="00393684"/>
    <w:rsid w:val="0039418C"/>
    <w:rsid w:val="00394CCB"/>
    <w:rsid w:val="003960CD"/>
    <w:rsid w:val="0039618E"/>
    <w:rsid w:val="00396378"/>
    <w:rsid w:val="00396AC7"/>
    <w:rsid w:val="00396E12"/>
    <w:rsid w:val="00397733"/>
    <w:rsid w:val="003A125E"/>
    <w:rsid w:val="003A21E5"/>
    <w:rsid w:val="003A2D2A"/>
    <w:rsid w:val="003A2F75"/>
    <w:rsid w:val="003A3931"/>
    <w:rsid w:val="003A3EB0"/>
    <w:rsid w:val="003A404B"/>
    <w:rsid w:val="003A4A25"/>
    <w:rsid w:val="003A6712"/>
    <w:rsid w:val="003A78CE"/>
    <w:rsid w:val="003B3E67"/>
    <w:rsid w:val="003B4A74"/>
    <w:rsid w:val="003B59FC"/>
    <w:rsid w:val="003B69A6"/>
    <w:rsid w:val="003B6E80"/>
    <w:rsid w:val="003C01AE"/>
    <w:rsid w:val="003C08FF"/>
    <w:rsid w:val="003C0D25"/>
    <w:rsid w:val="003C20A0"/>
    <w:rsid w:val="003C2E7D"/>
    <w:rsid w:val="003C2F0D"/>
    <w:rsid w:val="003C5F36"/>
    <w:rsid w:val="003D0C09"/>
    <w:rsid w:val="003D21C6"/>
    <w:rsid w:val="003D3C72"/>
    <w:rsid w:val="003D4521"/>
    <w:rsid w:val="003D5DE1"/>
    <w:rsid w:val="003D5F09"/>
    <w:rsid w:val="003E00F6"/>
    <w:rsid w:val="003E03DC"/>
    <w:rsid w:val="003E0693"/>
    <w:rsid w:val="003E17EA"/>
    <w:rsid w:val="003E20A1"/>
    <w:rsid w:val="003E3488"/>
    <w:rsid w:val="003E4861"/>
    <w:rsid w:val="003E531E"/>
    <w:rsid w:val="003E54BC"/>
    <w:rsid w:val="003E7AAC"/>
    <w:rsid w:val="003E7D8B"/>
    <w:rsid w:val="003F0947"/>
    <w:rsid w:val="003F1488"/>
    <w:rsid w:val="003F16EA"/>
    <w:rsid w:val="003F3946"/>
    <w:rsid w:val="003F6460"/>
    <w:rsid w:val="003F6BC5"/>
    <w:rsid w:val="0040065C"/>
    <w:rsid w:val="00400C75"/>
    <w:rsid w:val="00402078"/>
    <w:rsid w:val="0040379B"/>
    <w:rsid w:val="004048A8"/>
    <w:rsid w:val="004055F3"/>
    <w:rsid w:val="004064D3"/>
    <w:rsid w:val="004073E2"/>
    <w:rsid w:val="004123AF"/>
    <w:rsid w:val="00414443"/>
    <w:rsid w:val="00414C54"/>
    <w:rsid w:val="00414F43"/>
    <w:rsid w:val="00416CBA"/>
    <w:rsid w:val="00420F25"/>
    <w:rsid w:val="004216E0"/>
    <w:rsid w:val="00425CCC"/>
    <w:rsid w:val="00426573"/>
    <w:rsid w:val="004306D6"/>
    <w:rsid w:val="00433288"/>
    <w:rsid w:val="00433F18"/>
    <w:rsid w:val="0043415A"/>
    <w:rsid w:val="00434631"/>
    <w:rsid w:val="00435509"/>
    <w:rsid w:val="00435758"/>
    <w:rsid w:val="00435C76"/>
    <w:rsid w:val="004373E0"/>
    <w:rsid w:val="0043799B"/>
    <w:rsid w:val="00437C33"/>
    <w:rsid w:val="00443C5F"/>
    <w:rsid w:val="004450A2"/>
    <w:rsid w:val="0044535B"/>
    <w:rsid w:val="004453B9"/>
    <w:rsid w:val="00450406"/>
    <w:rsid w:val="00451C87"/>
    <w:rsid w:val="00452B7B"/>
    <w:rsid w:val="0045629F"/>
    <w:rsid w:val="00460032"/>
    <w:rsid w:val="0046218D"/>
    <w:rsid w:val="004643B9"/>
    <w:rsid w:val="00473805"/>
    <w:rsid w:val="00474105"/>
    <w:rsid w:val="00476B01"/>
    <w:rsid w:val="00476C39"/>
    <w:rsid w:val="00477468"/>
    <w:rsid w:val="004774A4"/>
    <w:rsid w:val="00482636"/>
    <w:rsid w:val="00482E50"/>
    <w:rsid w:val="004834E2"/>
    <w:rsid w:val="00486410"/>
    <w:rsid w:val="00486E07"/>
    <w:rsid w:val="00487622"/>
    <w:rsid w:val="004907BD"/>
    <w:rsid w:val="00491B9B"/>
    <w:rsid w:val="00492572"/>
    <w:rsid w:val="004933B0"/>
    <w:rsid w:val="004934BA"/>
    <w:rsid w:val="004958E8"/>
    <w:rsid w:val="004A4F22"/>
    <w:rsid w:val="004B1348"/>
    <w:rsid w:val="004B39A6"/>
    <w:rsid w:val="004B5BAB"/>
    <w:rsid w:val="004B5E01"/>
    <w:rsid w:val="004B6159"/>
    <w:rsid w:val="004B81B7"/>
    <w:rsid w:val="004C0AD6"/>
    <w:rsid w:val="004C14E2"/>
    <w:rsid w:val="004C2A72"/>
    <w:rsid w:val="004C57FE"/>
    <w:rsid w:val="004C6EB7"/>
    <w:rsid w:val="004D4CE4"/>
    <w:rsid w:val="004D5B22"/>
    <w:rsid w:val="004D6533"/>
    <w:rsid w:val="004D7265"/>
    <w:rsid w:val="004E3CED"/>
    <w:rsid w:val="004E47B6"/>
    <w:rsid w:val="004E5873"/>
    <w:rsid w:val="004E5A2B"/>
    <w:rsid w:val="004E5C3D"/>
    <w:rsid w:val="004F2BC6"/>
    <w:rsid w:val="004F66B3"/>
    <w:rsid w:val="004F7508"/>
    <w:rsid w:val="00500078"/>
    <w:rsid w:val="005007D3"/>
    <w:rsid w:val="0050439D"/>
    <w:rsid w:val="00506D77"/>
    <w:rsid w:val="0051145B"/>
    <w:rsid w:val="0051273D"/>
    <w:rsid w:val="00512A9B"/>
    <w:rsid w:val="0051793C"/>
    <w:rsid w:val="005202D0"/>
    <w:rsid w:val="00523991"/>
    <w:rsid w:val="00523C7A"/>
    <w:rsid w:val="005260B5"/>
    <w:rsid w:val="00530FD4"/>
    <w:rsid w:val="00533B84"/>
    <w:rsid w:val="00534528"/>
    <w:rsid w:val="00534DA6"/>
    <w:rsid w:val="00535E88"/>
    <w:rsid w:val="005370BB"/>
    <w:rsid w:val="00537EEB"/>
    <w:rsid w:val="005422A7"/>
    <w:rsid w:val="00542E96"/>
    <w:rsid w:val="005435AF"/>
    <w:rsid w:val="00543777"/>
    <w:rsid w:val="0054596A"/>
    <w:rsid w:val="00545D1B"/>
    <w:rsid w:val="005460F0"/>
    <w:rsid w:val="00546171"/>
    <w:rsid w:val="00547654"/>
    <w:rsid w:val="005525CB"/>
    <w:rsid w:val="00553B46"/>
    <w:rsid w:val="00553C3C"/>
    <w:rsid w:val="00559408"/>
    <w:rsid w:val="00561068"/>
    <w:rsid w:val="0056168F"/>
    <w:rsid w:val="00561BDA"/>
    <w:rsid w:val="00562E59"/>
    <w:rsid w:val="005712EC"/>
    <w:rsid w:val="0057262F"/>
    <w:rsid w:val="00572DB8"/>
    <w:rsid w:val="00573EDB"/>
    <w:rsid w:val="00574D49"/>
    <w:rsid w:val="005764AB"/>
    <w:rsid w:val="00577F13"/>
    <w:rsid w:val="005807A1"/>
    <w:rsid w:val="00581868"/>
    <w:rsid w:val="00583F55"/>
    <w:rsid w:val="00584D96"/>
    <w:rsid w:val="00584E12"/>
    <w:rsid w:val="00585DEE"/>
    <w:rsid w:val="0058663D"/>
    <w:rsid w:val="00590100"/>
    <w:rsid w:val="00590AAA"/>
    <w:rsid w:val="00590C5F"/>
    <w:rsid w:val="00591747"/>
    <w:rsid w:val="00591C74"/>
    <w:rsid w:val="00592210"/>
    <w:rsid w:val="00592721"/>
    <w:rsid w:val="00597B64"/>
    <w:rsid w:val="005A24D1"/>
    <w:rsid w:val="005A2C5B"/>
    <w:rsid w:val="005A3669"/>
    <w:rsid w:val="005A3A79"/>
    <w:rsid w:val="005A5DC1"/>
    <w:rsid w:val="005A60F0"/>
    <w:rsid w:val="005A62D9"/>
    <w:rsid w:val="005A6766"/>
    <w:rsid w:val="005A6BFC"/>
    <w:rsid w:val="005A7931"/>
    <w:rsid w:val="005A7A1F"/>
    <w:rsid w:val="005A7A2C"/>
    <w:rsid w:val="005B382E"/>
    <w:rsid w:val="005B4BC3"/>
    <w:rsid w:val="005C36F8"/>
    <w:rsid w:val="005C5220"/>
    <w:rsid w:val="005D0FC1"/>
    <w:rsid w:val="005D3EAA"/>
    <w:rsid w:val="005D45BB"/>
    <w:rsid w:val="005D4798"/>
    <w:rsid w:val="005D5634"/>
    <w:rsid w:val="005D5B93"/>
    <w:rsid w:val="005D6854"/>
    <w:rsid w:val="005D7FBC"/>
    <w:rsid w:val="005E0093"/>
    <w:rsid w:val="005E1FE5"/>
    <w:rsid w:val="005E294E"/>
    <w:rsid w:val="005E4564"/>
    <w:rsid w:val="005E586D"/>
    <w:rsid w:val="005F04A1"/>
    <w:rsid w:val="005F107D"/>
    <w:rsid w:val="005F4385"/>
    <w:rsid w:val="005F508E"/>
    <w:rsid w:val="005F6405"/>
    <w:rsid w:val="005F6E4F"/>
    <w:rsid w:val="00602387"/>
    <w:rsid w:val="006047EB"/>
    <w:rsid w:val="00605250"/>
    <w:rsid w:val="0060636D"/>
    <w:rsid w:val="00606DF0"/>
    <w:rsid w:val="00607FA0"/>
    <w:rsid w:val="00607FF1"/>
    <w:rsid w:val="00611C6F"/>
    <w:rsid w:val="006137E9"/>
    <w:rsid w:val="00613CE3"/>
    <w:rsid w:val="0061477A"/>
    <w:rsid w:val="0061EAE4"/>
    <w:rsid w:val="0062045F"/>
    <w:rsid w:val="006224F9"/>
    <w:rsid w:val="00622CF8"/>
    <w:rsid w:val="006245CD"/>
    <w:rsid w:val="006311F4"/>
    <w:rsid w:val="006312E6"/>
    <w:rsid w:val="00634998"/>
    <w:rsid w:val="00634D7F"/>
    <w:rsid w:val="00635632"/>
    <w:rsid w:val="006357D7"/>
    <w:rsid w:val="00636727"/>
    <w:rsid w:val="00637B59"/>
    <w:rsid w:val="00637DD6"/>
    <w:rsid w:val="00640721"/>
    <w:rsid w:val="0064127C"/>
    <w:rsid w:val="00642C02"/>
    <w:rsid w:val="00643BE2"/>
    <w:rsid w:val="00644793"/>
    <w:rsid w:val="00645867"/>
    <w:rsid w:val="006459D8"/>
    <w:rsid w:val="00645D6D"/>
    <w:rsid w:val="006468A3"/>
    <w:rsid w:val="00650B23"/>
    <w:rsid w:val="0065136E"/>
    <w:rsid w:val="0065365F"/>
    <w:rsid w:val="00655761"/>
    <w:rsid w:val="006569ED"/>
    <w:rsid w:val="00657DB7"/>
    <w:rsid w:val="00660F37"/>
    <w:rsid w:val="00663E00"/>
    <w:rsid w:val="0066402D"/>
    <w:rsid w:val="0066578C"/>
    <w:rsid w:val="00665AC2"/>
    <w:rsid w:val="00667846"/>
    <w:rsid w:val="00671FF9"/>
    <w:rsid w:val="00672453"/>
    <w:rsid w:val="006732B2"/>
    <w:rsid w:val="0067376F"/>
    <w:rsid w:val="00673908"/>
    <w:rsid w:val="0067430A"/>
    <w:rsid w:val="0067451E"/>
    <w:rsid w:val="006776E9"/>
    <w:rsid w:val="0068051A"/>
    <w:rsid w:val="00681472"/>
    <w:rsid w:val="00681948"/>
    <w:rsid w:val="00681C49"/>
    <w:rsid w:val="006852EF"/>
    <w:rsid w:val="0068583B"/>
    <w:rsid w:val="0068794A"/>
    <w:rsid w:val="006928C2"/>
    <w:rsid w:val="006937CD"/>
    <w:rsid w:val="00694B02"/>
    <w:rsid w:val="00697070"/>
    <w:rsid w:val="006A05E9"/>
    <w:rsid w:val="006A21C8"/>
    <w:rsid w:val="006A5BF0"/>
    <w:rsid w:val="006A72D0"/>
    <w:rsid w:val="006B02AF"/>
    <w:rsid w:val="006B02F8"/>
    <w:rsid w:val="006B3FE0"/>
    <w:rsid w:val="006B4541"/>
    <w:rsid w:val="006B4F51"/>
    <w:rsid w:val="006B5B33"/>
    <w:rsid w:val="006B68CE"/>
    <w:rsid w:val="006B6994"/>
    <w:rsid w:val="006B6B24"/>
    <w:rsid w:val="006B6F0D"/>
    <w:rsid w:val="006B7DF1"/>
    <w:rsid w:val="006C24DC"/>
    <w:rsid w:val="006C3CC7"/>
    <w:rsid w:val="006C622D"/>
    <w:rsid w:val="006C7288"/>
    <w:rsid w:val="006C794C"/>
    <w:rsid w:val="006C7BD1"/>
    <w:rsid w:val="006D4736"/>
    <w:rsid w:val="006E03FB"/>
    <w:rsid w:val="006E0704"/>
    <w:rsid w:val="006E0E14"/>
    <w:rsid w:val="006E0F81"/>
    <w:rsid w:val="006E3784"/>
    <w:rsid w:val="006E3D75"/>
    <w:rsid w:val="006E3F77"/>
    <w:rsid w:val="006E6B77"/>
    <w:rsid w:val="006E744E"/>
    <w:rsid w:val="006F03B3"/>
    <w:rsid w:val="006F2997"/>
    <w:rsid w:val="006F332D"/>
    <w:rsid w:val="006F342F"/>
    <w:rsid w:val="006F3560"/>
    <w:rsid w:val="006F36D3"/>
    <w:rsid w:val="006F38DB"/>
    <w:rsid w:val="006F570C"/>
    <w:rsid w:val="00703BB7"/>
    <w:rsid w:val="00704DA8"/>
    <w:rsid w:val="007101AF"/>
    <w:rsid w:val="007104AD"/>
    <w:rsid w:val="00710F7F"/>
    <w:rsid w:val="00713C20"/>
    <w:rsid w:val="007152E6"/>
    <w:rsid w:val="00716141"/>
    <w:rsid w:val="00717603"/>
    <w:rsid w:val="00717E9A"/>
    <w:rsid w:val="00720985"/>
    <w:rsid w:val="007258A1"/>
    <w:rsid w:val="00725D15"/>
    <w:rsid w:val="00727034"/>
    <w:rsid w:val="007279A1"/>
    <w:rsid w:val="00730A38"/>
    <w:rsid w:val="007342A7"/>
    <w:rsid w:val="007345D4"/>
    <w:rsid w:val="00734EF5"/>
    <w:rsid w:val="007352F9"/>
    <w:rsid w:val="00736076"/>
    <w:rsid w:val="00740382"/>
    <w:rsid w:val="007425C2"/>
    <w:rsid w:val="00743D61"/>
    <w:rsid w:val="00744B51"/>
    <w:rsid w:val="0075226F"/>
    <w:rsid w:val="00753C7C"/>
    <w:rsid w:val="00757129"/>
    <w:rsid w:val="00761BBD"/>
    <w:rsid w:val="007659BF"/>
    <w:rsid w:val="00766981"/>
    <w:rsid w:val="00766A25"/>
    <w:rsid w:val="00766C30"/>
    <w:rsid w:val="00772DBC"/>
    <w:rsid w:val="00774389"/>
    <w:rsid w:val="007744AB"/>
    <w:rsid w:val="007751FB"/>
    <w:rsid w:val="00775A0F"/>
    <w:rsid w:val="007767DC"/>
    <w:rsid w:val="0078056B"/>
    <w:rsid w:val="0078088C"/>
    <w:rsid w:val="0078281B"/>
    <w:rsid w:val="00783503"/>
    <w:rsid w:val="00786F74"/>
    <w:rsid w:val="0078727D"/>
    <w:rsid w:val="007902D4"/>
    <w:rsid w:val="00792BEC"/>
    <w:rsid w:val="0079372A"/>
    <w:rsid w:val="00793B4C"/>
    <w:rsid w:val="00794EDD"/>
    <w:rsid w:val="00796C7C"/>
    <w:rsid w:val="00797148"/>
    <w:rsid w:val="007A0851"/>
    <w:rsid w:val="007A355B"/>
    <w:rsid w:val="007A35DB"/>
    <w:rsid w:val="007A48C3"/>
    <w:rsid w:val="007A4C09"/>
    <w:rsid w:val="007A56EA"/>
    <w:rsid w:val="007A5E42"/>
    <w:rsid w:val="007A6596"/>
    <w:rsid w:val="007A71C9"/>
    <w:rsid w:val="007A762A"/>
    <w:rsid w:val="007AC946"/>
    <w:rsid w:val="007B15E2"/>
    <w:rsid w:val="007B19E0"/>
    <w:rsid w:val="007B1C17"/>
    <w:rsid w:val="007B3D3C"/>
    <w:rsid w:val="007B44CD"/>
    <w:rsid w:val="007B4B4D"/>
    <w:rsid w:val="007B4F4D"/>
    <w:rsid w:val="007B5BF4"/>
    <w:rsid w:val="007C0F3E"/>
    <w:rsid w:val="007C11BA"/>
    <w:rsid w:val="007C44F9"/>
    <w:rsid w:val="007C7194"/>
    <w:rsid w:val="007D014B"/>
    <w:rsid w:val="007D04E3"/>
    <w:rsid w:val="007D4A4F"/>
    <w:rsid w:val="007D6385"/>
    <w:rsid w:val="007E0446"/>
    <w:rsid w:val="007E0A3E"/>
    <w:rsid w:val="007E36EE"/>
    <w:rsid w:val="007E37EB"/>
    <w:rsid w:val="007E4A0F"/>
    <w:rsid w:val="007E58F0"/>
    <w:rsid w:val="007E7278"/>
    <w:rsid w:val="007F0264"/>
    <w:rsid w:val="007F0302"/>
    <w:rsid w:val="007F05D6"/>
    <w:rsid w:val="007F0A29"/>
    <w:rsid w:val="007F14C7"/>
    <w:rsid w:val="007F5D1D"/>
    <w:rsid w:val="007F7821"/>
    <w:rsid w:val="00800848"/>
    <w:rsid w:val="00800CAC"/>
    <w:rsid w:val="008070BB"/>
    <w:rsid w:val="00807B11"/>
    <w:rsid w:val="00810DED"/>
    <w:rsid w:val="00811AD7"/>
    <w:rsid w:val="00813688"/>
    <w:rsid w:val="008142A9"/>
    <w:rsid w:val="00814EE1"/>
    <w:rsid w:val="00816FB2"/>
    <w:rsid w:val="00820805"/>
    <w:rsid w:val="00820B51"/>
    <w:rsid w:val="00822320"/>
    <w:rsid w:val="00822F32"/>
    <w:rsid w:val="008230C0"/>
    <w:rsid w:val="0082349F"/>
    <w:rsid w:val="00823CCD"/>
    <w:rsid w:val="00832D38"/>
    <w:rsid w:val="00835085"/>
    <w:rsid w:val="008405D8"/>
    <w:rsid w:val="00840D22"/>
    <w:rsid w:val="00841EE8"/>
    <w:rsid w:val="008435E6"/>
    <w:rsid w:val="008438ED"/>
    <w:rsid w:val="00843B16"/>
    <w:rsid w:val="008469FD"/>
    <w:rsid w:val="0084761F"/>
    <w:rsid w:val="0085072E"/>
    <w:rsid w:val="00850CA2"/>
    <w:rsid w:val="0085137F"/>
    <w:rsid w:val="00855362"/>
    <w:rsid w:val="00855644"/>
    <w:rsid w:val="008560D5"/>
    <w:rsid w:val="008602FB"/>
    <w:rsid w:val="00860423"/>
    <w:rsid w:val="0086254D"/>
    <w:rsid w:val="00862D32"/>
    <w:rsid w:val="00867E85"/>
    <w:rsid w:val="00870736"/>
    <w:rsid w:val="00870890"/>
    <w:rsid w:val="00871769"/>
    <w:rsid w:val="008737B9"/>
    <w:rsid w:val="00873D13"/>
    <w:rsid w:val="00874F83"/>
    <w:rsid w:val="008826E9"/>
    <w:rsid w:val="00882970"/>
    <w:rsid w:val="008830FF"/>
    <w:rsid w:val="00883C67"/>
    <w:rsid w:val="00884BDE"/>
    <w:rsid w:val="008903DA"/>
    <w:rsid w:val="00893014"/>
    <w:rsid w:val="00894099"/>
    <w:rsid w:val="008940B3"/>
    <w:rsid w:val="00897725"/>
    <w:rsid w:val="008A07D4"/>
    <w:rsid w:val="008A0DFD"/>
    <w:rsid w:val="008A1518"/>
    <w:rsid w:val="008A1580"/>
    <w:rsid w:val="008A2200"/>
    <w:rsid w:val="008A30D2"/>
    <w:rsid w:val="008A5AB7"/>
    <w:rsid w:val="008B3EEE"/>
    <w:rsid w:val="008B66AF"/>
    <w:rsid w:val="008B6A2F"/>
    <w:rsid w:val="008C59E4"/>
    <w:rsid w:val="008D0A4A"/>
    <w:rsid w:val="008D1746"/>
    <w:rsid w:val="008D3584"/>
    <w:rsid w:val="008D46BF"/>
    <w:rsid w:val="008D4804"/>
    <w:rsid w:val="008D480E"/>
    <w:rsid w:val="008D543C"/>
    <w:rsid w:val="008D63D0"/>
    <w:rsid w:val="008D6C57"/>
    <w:rsid w:val="008E1BF8"/>
    <w:rsid w:val="008E3076"/>
    <w:rsid w:val="008E36D9"/>
    <w:rsid w:val="008E63C7"/>
    <w:rsid w:val="008E6C0F"/>
    <w:rsid w:val="008F10BC"/>
    <w:rsid w:val="008F1FE8"/>
    <w:rsid w:val="008F2676"/>
    <w:rsid w:val="008F3164"/>
    <w:rsid w:val="008F3AE6"/>
    <w:rsid w:val="008F4B3E"/>
    <w:rsid w:val="008F4F1A"/>
    <w:rsid w:val="008F6319"/>
    <w:rsid w:val="008F7E36"/>
    <w:rsid w:val="00900D52"/>
    <w:rsid w:val="009031D4"/>
    <w:rsid w:val="0090353C"/>
    <w:rsid w:val="00905FA5"/>
    <w:rsid w:val="0090605B"/>
    <w:rsid w:val="00911091"/>
    <w:rsid w:val="00914A15"/>
    <w:rsid w:val="00916415"/>
    <w:rsid w:val="0091719F"/>
    <w:rsid w:val="00917F1B"/>
    <w:rsid w:val="00924435"/>
    <w:rsid w:val="00926819"/>
    <w:rsid w:val="00926FAA"/>
    <w:rsid w:val="009275AC"/>
    <w:rsid w:val="00933EA7"/>
    <w:rsid w:val="0093640B"/>
    <w:rsid w:val="009404A9"/>
    <w:rsid w:val="00941137"/>
    <w:rsid w:val="009416C9"/>
    <w:rsid w:val="00943136"/>
    <w:rsid w:val="00943179"/>
    <w:rsid w:val="00944A6A"/>
    <w:rsid w:val="00945B67"/>
    <w:rsid w:val="00947267"/>
    <w:rsid w:val="00947ABE"/>
    <w:rsid w:val="009541F7"/>
    <w:rsid w:val="00954A50"/>
    <w:rsid w:val="00954F40"/>
    <w:rsid w:val="0095684A"/>
    <w:rsid w:val="00960D35"/>
    <w:rsid w:val="00962A6E"/>
    <w:rsid w:val="00962E46"/>
    <w:rsid w:val="00963F36"/>
    <w:rsid w:val="0096409F"/>
    <w:rsid w:val="009651B8"/>
    <w:rsid w:val="009652B5"/>
    <w:rsid w:val="00965960"/>
    <w:rsid w:val="00965FA1"/>
    <w:rsid w:val="00970A56"/>
    <w:rsid w:val="00971909"/>
    <w:rsid w:val="00975D79"/>
    <w:rsid w:val="0098273D"/>
    <w:rsid w:val="00983230"/>
    <w:rsid w:val="009843C0"/>
    <w:rsid w:val="00987396"/>
    <w:rsid w:val="009875C6"/>
    <w:rsid w:val="00987645"/>
    <w:rsid w:val="00990C66"/>
    <w:rsid w:val="00994550"/>
    <w:rsid w:val="00995612"/>
    <w:rsid w:val="00995D0D"/>
    <w:rsid w:val="009969CA"/>
    <w:rsid w:val="00996DD4"/>
    <w:rsid w:val="00997134"/>
    <w:rsid w:val="009A00E0"/>
    <w:rsid w:val="009A0677"/>
    <w:rsid w:val="009A4938"/>
    <w:rsid w:val="009A4A2C"/>
    <w:rsid w:val="009A577B"/>
    <w:rsid w:val="009A5E4B"/>
    <w:rsid w:val="009A62B2"/>
    <w:rsid w:val="009A67FD"/>
    <w:rsid w:val="009A6D7A"/>
    <w:rsid w:val="009B102F"/>
    <w:rsid w:val="009B1D39"/>
    <w:rsid w:val="009B3A1C"/>
    <w:rsid w:val="009B3EDE"/>
    <w:rsid w:val="009B4880"/>
    <w:rsid w:val="009B6923"/>
    <w:rsid w:val="009C14CE"/>
    <w:rsid w:val="009C1C87"/>
    <w:rsid w:val="009C1FC8"/>
    <w:rsid w:val="009C2AA5"/>
    <w:rsid w:val="009C5D07"/>
    <w:rsid w:val="009C66F7"/>
    <w:rsid w:val="009C6F92"/>
    <w:rsid w:val="009D0C05"/>
    <w:rsid w:val="009D1633"/>
    <w:rsid w:val="009D4BA5"/>
    <w:rsid w:val="009D6A43"/>
    <w:rsid w:val="009D7351"/>
    <w:rsid w:val="009E3767"/>
    <w:rsid w:val="009E392F"/>
    <w:rsid w:val="009E3D26"/>
    <w:rsid w:val="009E587F"/>
    <w:rsid w:val="009F0AF9"/>
    <w:rsid w:val="009F1716"/>
    <w:rsid w:val="009F4643"/>
    <w:rsid w:val="009F5417"/>
    <w:rsid w:val="009F7EC4"/>
    <w:rsid w:val="00A00171"/>
    <w:rsid w:val="00A006B3"/>
    <w:rsid w:val="00A00808"/>
    <w:rsid w:val="00A02602"/>
    <w:rsid w:val="00A10084"/>
    <w:rsid w:val="00A101D8"/>
    <w:rsid w:val="00A11736"/>
    <w:rsid w:val="00A229E5"/>
    <w:rsid w:val="00A24536"/>
    <w:rsid w:val="00A2470A"/>
    <w:rsid w:val="00A2498B"/>
    <w:rsid w:val="00A258FA"/>
    <w:rsid w:val="00A2642E"/>
    <w:rsid w:val="00A30857"/>
    <w:rsid w:val="00A3142F"/>
    <w:rsid w:val="00A33772"/>
    <w:rsid w:val="00A3464B"/>
    <w:rsid w:val="00A34BEB"/>
    <w:rsid w:val="00A35B38"/>
    <w:rsid w:val="00A362C4"/>
    <w:rsid w:val="00A363BD"/>
    <w:rsid w:val="00A369AF"/>
    <w:rsid w:val="00A36FDC"/>
    <w:rsid w:val="00A41A2A"/>
    <w:rsid w:val="00A445C6"/>
    <w:rsid w:val="00A45E46"/>
    <w:rsid w:val="00A462E7"/>
    <w:rsid w:val="00A4799E"/>
    <w:rsid w:val="00A52BD1"/>
    <w:rsid w:val="00A566AD"/>
    <w:rsid w:val="00A5724A"/>
    <w:rsid w:val="00A573B2"/>
    <w:rsid w:val="00A5754A"/>
    <w:rsid w:val="00A60342"/>
    <w:rsid w:val="00A62242"/>
    <w:rsid w:val="00A6402B"/>
    <w:rsid w:val="00A64988"/>
    <w:rsid w:val="00A65172"/>
    <w:rsid w:val="00A65BCC"/>
    <w:rsid w:val="00A661E9"/>
    <w:rsid w:val="00A703A0"/>
    <w:rsid w:val="00A70565"/>
    <w:rsid w:val="00A724D2"/>
    <w:rsid w:val="00A755DD"/>
    <w:rsid w:val="00A811CD"/>
    <w:rsid w:val="00A81698"/>
    <w:rsid w:val="00A838F8"/>
    <w:rsid w:val="00A85AEF"/>
    <w:rsid w:val="00A86B6E"/>
    <w:rsid w:val="00A92320"/>
    <w:rsid w:val="00A92754"/>
    <w:rsid w:val="00A934B6"/>
    <w:rsid w:val="00A939A0"/>
    <w:rsid w:val="00A95942"/>
    <w:rsid w:val="00A95DB2"/>
    <w:rsid w:val="00A96B21"/>
    <w:rsid w:val="00AA043B"/>
    <w:rsid w:val="00AA06D2"/>
    <w:rsid w:val="00AA110C"/>
    <w:rsid w:val="00AA160E"/>
    <w:rsid w:val="00AA1F99"/>
    <w:rsid w:val="00AA2867"/>
    <w:rsid w:val="00AA320B"/>
    <w:rsid w:val="00AA3B57"/>
    <w:rsid w:val="00AA5D56"/>
    <w:rsid w:val="00AA6063"/>
    <w:rsid w:val="00AA7CE9"/>
    <w:rsid w:val="00AA7F72"/>
    <w:rsid w:val="00AB0D15"/>
    <w:rsid w:val="00AB23D1"/>
    <w:rsid w:val="00AB34CC"/>
    <w:rsid w:val="00AB3894"/>
    <w:rsid w:val="00AB6899"/>
    <w:rsid w:val="00AB6ACE"/>
    <w:rsid w:val="00AB7E5D"/>
    <w:rsid w:val="00AB7E60"/>
    <w:rsid w:val="00AC0145"/>
    <w:rsid w:val="00AC0D03"/>
    <w:rsid w:val="00AC0DD7"/>
    <w:rsid w:val="00AC1D87"/>
    <w:rsid w:val="00AC2851"/>
    <w:rsid w:val="00AC35CC"/>
    <w:rsid w:val="00AC5121"/>
    <w:rsid w:val="00AC5254"/>
    <w:rsid w:val="00AC5781"/>
    <w:rsid w:val="00AC5BEE"/>
    <w:rsid w:val="00AD1ED7"/>
    <w:rsid w:val="00AD1F8B"/>
    <w:rsid w:val="00AD21C8"/>
    <w:rsid w:val="00AD30A7"/>
    <w:rsid w:val="00AD3902"/>
    <w:rsid w:val="00AD52AB"/>
    <w:rsid w:val="00AD5EEC"/>
    <w:rsid w:val="00AD7450"/>
    <w:rsid w:val="00AD827F"/>
    <w:rsid w:val="00AE1B06"/>
    <w:rsid w:val="00AE30D9"/>
    <w:rsid w:val="00AE34BA"/>
    <w:rsid w:val="00AF0B9C"/>
    <w:rsid w:val="00AF14F9"/>
    <w:rsid w:val="00AF269A"/>
    <w:rsid w:val="00AF3ED0"/>
    <w:rsid w:val="00AF5204"/>
    <w:rsid w:val="00AF6646"/>
    <w:rsid w:val="00AF68FD"/>
    <w:rsid w:val="00AF6D46"/>
    <w:rsid w:val="00AF6EDB"/>
    <w:rsid w:val="00B00646"/>
    <w:rsid w:val="00B01C5A"/>
    <w:rsid w:val="00B0696A"/>
    <w:rsid w:val="00B0A0DC"/>
    <w:rsid w:val="00B10EE0"/>
    <w:rsid w:val="00B10FA9"/>
    <w:rsid w:val="00B12768"/>
    <w:rsid w:val="00B14BB9"/>
    <w:rsid w:val="00B151C0"/>
    <w:rsid w:val="00B159B4"/>
    <w:rsid w:val="00B2063F"/>
    <w:rsid w:val="00B225F8"/>
    <w:rsid w:val="00B24E7C"/>
    <w:rsid w:val="00B25E41"/>
    <w:rsid w:val="00B2773A"/>
    <w:rsid w:val="00B27CD1"/>
    <w:rsid w:val="00B3030C"/>
    <w:rsid w:val="00B30734"/>
    <w:rsid w:val="00B328A9"/>
    <w:rsid w:val="00B3418A"/>
    <w:rsid w:val="00B34C4C"/>
    <w:rsid w:val="00B3515B"/>
    <w:rsid w:val="00B37A32"/>
    <w:rsid w:val="00B407D2"/>
    <w:rsid w:val="00B41DE0"/>
    <w:rsid w:val="00B4242E"/>
    <w:rsid w:val="00B42739"/>
    <w:rsid w:val="00B42D82"/>
    <w:rsid w:val="00B452D8"/>
    <w:rsid w:val="00B46092"/>
    <w:rsid w:val="00B47AD3"/>
    <w:rsid w:val="00B513D9"/>
    <w:rsid w:val="00B524B5"/>
    <w:rsid w:val="00B52B47"/>
    <w:rsid w:val="00B53EA3"/>
    <w:rsid w:val="00B55ADC"/>
    <w:rsid w:val="00B55C12"/>
    <w:rsid w:val="00B6068B"/>
    <w:rsid w:val="00B60A7B"/>
    <w:rsid w:val="00B61C98"/>
    <w:rsid w:val="00B6331F"/>
    <w:rsid w:val="00B6649F"/>
    <w:rsid w:val="00B70B4F"/>
    <w:rsid w:val="00B70F9E"/>
    <w:rsid w:val="00B74EC8"/>
    <w:rsid w:val="00B74FD9"/>
    <w:rsid w:val="00B76241"/>
    <w:rsid w:val="00B7687D"/>
    <w:rsid w:val="00B82A19"/>
    <w:rsid w:val="00B849AB"/>
    <w:rsid w:val="00B84F2A"/>
    <w:rsid w:val="00B877D7"/>
    <w:rsid w:val="00B90462"/>
    <w:rsid w:val="00B916C4"/>
    <w:rsid w:val="00B927E4"/>
    <w:rsid w:val="00B93976"/>
    <w:rsid w:val="00BA0BDC"/>
    <w:rsid w:val="00BA1BCD"/>
    <w:rsid w:val="00BA1CDE"/>
    <w:rsid w:val="00BA21C3"/>
    <w:rsid w:val="00BA28AF"/>
    <w:rsid w:val="00BA4A18"/>
    <w:rsid w:val="00BA6128"/>
    <w:rsid w:val="00BA669D"/>
    <w:rsid w:val="00BA7818"/>
    <w:rsid w:val="00BB1839"/>
    <w:rsid w:val="00BB2179"/>
    <w:rsid w:val="00BB55C7"/>
    <w:rsid w:val="00BB684C"/>
    <w:rsid w:val="00BB6E8E"/>
    <w:rsid w:val="00BC65D1"/>
    <w:rsid w:val="00BD0627"/>
    <w:rsid w:val="00BD3A02"/>
    <w:rsid w:val="00BD56BD"/>
    <w:rsid w:val="00BD56C6"/>
    <w:rsid w:val="00BD5A11"/>
    <w:rsid w:val="00BD5A63"/>
    <w:rsid w:val="00BD6542"/>
    <w:rsid w:val="00BE139D"/>
    <w:rsid w:val="00BE405D"/>
    <w:rsid w:val="00BE4A35"/>
    <w:rsid w:val="00BE6512"/>
    <w:rsid w:val="00BE6D6A"/>
    <w:rsid w:val="00BE6DDD"/>
    <w:rsid w:val="00BF14F8"/>
    <w:rsid w:val="00BF1C94"/>
    <w:rsid w:val="00BF287B"/>
    <w:rsid w:val="00BF2D47"/>
    <w:rsid w:val="00BF2FA3"/>
    <w:rsid w:val="00BF31CD"/>
    <w:rsid w:val="00BF40CA"/>
    <w:rsid w:val="00BF4637"/>
    <w:rsid w:val="00BF4E3D"/>
    <w:rsid w:val="00BF4F6D"/>
    <w:rsid w:val="00BF51FF"/>
    <w:rsid w:val="00BF5548"/>
    <w:rsid w:val="00BF55F2"/>
    <w:rsid w:val="00C020A1"/>
    <w:rsid w:val="00C03861"/>
    <w:rsid w:val="00C0391E"/>
    <w:rsid w:val="00C1103C"/>
    <w:rsid w:val="00C1182B"/>
    <w:rsid w:val="00C11B1C"/>
    <w:rsid w:val="00C11CBA"/>
    <w:rsid w:val="00C12A08"/>
    <w:rsid w:val="00C17FF9"/>
    <w:rsid w:val="00C1CC46"/>
    <w:rsid w:val="00C2384B"/>
    <w:rsid w:val="00C249D5"/>
    <w:rsid w:val="00C24CC4"/>
    <w:rsid w:val="00C253A4"/>
    <w:rsid w:val="00C2541A"/>
    <w:rsid w:val="00C25721"/>
    <w:rsid w:val="00C26A38"/>
    <w:rsid w:val="00C30922"/>
    <w:rsid w:val="00C30C09"/>
    <w:rsid w:val="00C3122B"/>
    <w:rsid w:val="00C31319"/>
    <w:rsid w:val="00C31BE4"/>
    <w:rsid w:val="00C31D66"/>
    <w:rsid w:val="00C33899"/>
    <w:rsid w:val="00C342FD"/>
    <w:rsid w:val="00C420D5"/>
    <w:rsid w:val="00C4271A"/>
    <w:rsid w:val="00C44342"/>
    <w:rsid w:val="00C45FEB"/>
    <w:rsid w:val="00C46354"/>
    <w:rsid w:val="00C47312"/>
    <w:rsid w:val="00C52F1D"/>
    <w:rsid w:val="00C5314B"/>
    <w:rsid w:val="00C53804"/>
    <w:rsid w:val="00C539E9"/>
    <w:rsid w:val="00C60FAE"/>
    <w:rsid w:val="00C61D3E"/>
    <w:rsid w:val="00C6257A"/>
    <w:rsid w:val="00C659F1"/>
    <w:rsid w:val="00C66DA5"/>
    <w:rsid w:val="00C678B0"/>
    <w:rsid w:val="00C67C39"/>
    <w:rsid w:val="00C7101E"/>
    <w:rsid w:val="00C71889"/>
    <w:rsid w:val="00C71AD5"/>
    <w:rsid w:val="00C7292F"/>
    <w:rsid w:val="00C72DA0"/>
    <w:rsid w:val="00C7350D"/>
    <w:rsid w:val="00C73A24"/>
    <w:rsid w:val="00C73E4C"/>
    <w:rsid w:val="00C751E2"/>
    <w:rsid w:val="00C84065"/>
    <w:rsid w:val="00C865D0"/>
    <w:rsid w:val="00C87968"/>
    <w:rsid w:val="00C907F3"/>
    <w:rsid w:val="00C9297A"/>
    <w:rsid w:val="00C932ED"/>
    <w:rsid w:val="00C943E0"/>
    <w:rsid w:val="00C94532"/>
    <w:rsid w:val="00C94A63"/>
    <w:rsid w:val="00C94D70"/>
    <w:rsid w:val="00C952EB"/>
    <w:rsid w:val="00C96E00"/>
    <w:rsid w:val="00C97BFB"/>
    <w:rsid w:val="00CA29F1"/>
    <w:rsid w:val="00CA44CA"/>
    <w:rsid w:val="00CB08C3"/>
    <w:rsid w:val="00CB0C3A"/>
    <w:rsid w:val="00CB0C54"/>
    <w:rsid w:val="00CB3D73"/>
    <w:rsid w:val="00CB3DCD"/>
    <w:rsid w:val="00CB41C2"/>
    <w:rsid w:val="00CB5085"/>
    <w:rsid w:val="00CC33DF"/>
    <w:rsid w:val="00CC4EE6"/>
    <w:rsid w:val="00CC737D"/>
    <w:rsid w:val="00CD0386"/>
    <w:rsid w:val="00CD1015"/>
    <w:rsid w:val="00CD3A84"/>
    <w:rsid w:val="00CD4923"/>
    <w:rsid w:val="00CE0C77"/>
    <w:rsid w:val="00CE0DB6"/>
    <w:rsid w:val="00CE1416"/>
    <w:rsid w:val="00CE169A"/>
    <w:rsid w:val="00CE1B9B"/>
    <w:rsid w:val="00CE431C"/>
    <w:rsid w:val="00CE546A"/>
    <w:rsid w:val="00CE5DA8"/>
    <w:rsid w:val="00CE7BBD"/>
    <w:rsid w:val="00CF09F7"/>
    <w:rsid w:val="00CF0CA7"/>
    <w:rsid w:val="00CF21B0"/>
    <w:rsid w:val="00CF341E"/>
    <w:rsid w:val="00CF3800"/>
    <w:rsid w:val="00CF57E9"/>
    <w:rsid w:val="00CF5D33"/>
    <w:rsid w:val="00CF6B10"/>
    <w:rsid w:val="00CF7B93"/>
    <w:rsid w:val="00D03016"/>
    <w:rsid w:val="00D0363C"/>
    <w:rsid w:val="00D04411"/>
    <w:rsid w:val="00D044BB"/>
    <w:rsid w:val="00D10E5F"/>
    <w:rsid w:val="00D119A6"/>
    <w:rsid w:val="00D12428"/>
    <w:rsid w:val="00D13538"/>
    <w:rsid w:val="00D153E6"/>
    <w:rsid w:val="00D16898"/>
    <w:rsid w:val="00D16A2F"/>
    <w:rsid w:val="00D2116A"/>
    <w:rsid w:val="00D259E3"/>
    <w:rsid w:val="00D25B19"/>
    <w:rsid w:val="00D26AF2"/>
    <w:rsid w:val="00D27197"/>
    <w:rsid w:val="00D339B9"/>
    <w:rsid w:val="00D34E10"/>
    <w:rsid w:val="00D353D5"/>
    <w:rsid w:val="00D357B4"/>
    <w:rsid w:val="00D35FDB"/>
    <w:rsid w:val="00D36423"/>
    <w:rsid w:val="00D36470"/>
    <w:rsid w:val="00D36CAA"/>
    <w:rsid w:val="00D3702F"/>
    <w:rsid w:val="00D377B1"/>
    <w:rsid w:val="00D37B05"/>
    <w:rsid w:val="00D4069D"/>
    <w:rsid w:val="00D40FE5"/>
    <w:rsid w:val="00D411B8"/>
    <w:rsid w:val="00D413C0"/>
    <w:rsid w:val="00D41E0B"/>
    <w:rsid w:val="00D42D42"/>
    <w:rsid w:val="00D470BF"/>
    <w:rsid w:val="00D508B1"/>
    <w:rsid w:val="00D5102A"/>
    <w:rsid w:val="00D51087"/>
    <w:rsid w:val="00D533AC"/>
    <w:rsid w:val="00D536F8"/>
    <w:rsid w:val="00D54A2C"/>
    <w:rsid w:val="00D55FDB"/>
    <w:rsid w:val="00D56666"/>
    <w:rsid w:val="00D56862"/>
    <w:rsid w:val="00D56982"/>
    <w:rsid w:val="00D62160"/>
    <w:rsid w:val="00D63679"/>
    <w:rsid w:val="00D6557E"/>
    <w:rsid w:val="00D65D44"/>
    <w:rsid w:val="00D66652"/>
    <w:rsid w:val="00D707AB"/>
    <w:rsid w:val="00D72716"/>
    <w:rsid w:val="00D740E8"/>
    <w:rsid w:val="00D75C4A"/>
    <w:rsid w:val="00D75EC8"/>
    <w:rsid w:val="00D76356"/>
    <w:rsid w:val="00D76E48"/>
    <w:rsid w:val="00D77FA1"/>
    <w:rsid w:val="00D8002E"/>
    <w:rsid w:val="00D82B7C"/>
    <w:rsid w:val="00D83171"/>
    <w:rsid w:val="00D832F6"/>
    <w:rsid w:val="00D84E01"/>
    <w:rsid w:val="00D852D9"/>
    <w:rsid w:val="00D86787"/>
    <w:rsid w:val="00D875ED"/>
    <w:rsid w:val="00D913CB"/>
    <w:rsid w:val="00D9190A"/>
    <w:rsid w:val="00D92975"/>
    <w:rsid w:val="00D95481"/>
    <w:rsid w:val="00D9690F"/>
    <w:rsid w:val="00D96C42"/>
    <w:rsid w:val="00DA0F6B"/>
    <w:rsid w:val="00DA1114"/>
    <w:rsid w:val="00DA1B81"/>
    <w:rsid w:val="00DA2AEF"/>
    <w:rsid w:val="00DA2B00"/>
    <w:rsid w:val="00DA4322"/>
    <w:rsid w:val="00DA4726"/>
    <w:rsid w:val="00DA5B25"/>
    <w:rsid w:val="00DA6750"/>
    <w:rsid w:val="00DA707A"/>
    <w:rsid w:val="00DA70D5"/>
    <w:rsid w:val="00DA728D"/>
    <w:rsid w:val="00DB10B1"/>
    <w:rsid w:val="00DB1766"/>
    <w:rsid w:val="00DB2249"/>
    <w:rsid w:val="00DB3696"/>
    <w:rsid w:val="00DB37B3"/>
    <w:rsid w:val="00DB4F87"/>
    <w:rsid w:val="00DB525E"/>
    <w:rsid w:val="00DB6498"/>
    <w:rsid w:val="00DB7091"/>
    <w:rsid w:val="00DB7C38"/>
    <w:rsid w:val="00DC33DC"/>
    <w:rsid w:val="00DC3405"/>
    <w:rsid w:val="00DC4B5A"/>
    <w:rsid w:val="00DD0377"/>
    <w:rsid w:val="00DD22E2"/>
    <w:rsid w:val="00DD309C"/>
    <w:rsid w:val="00DD31B7"/>
    <w:rsid w:val="00DD4272"/>
    <w:rsid w:val="00DD5C73"/>
    <w:rsid w:val="00DD73DF"/>
    <w:rsid w:val="00DD7CBA"/>
    <w:rsid w:val="00DE102B"/>
    <w:rsid w:val="00DE1882"/>
    <w:rsid w:val="00DE31E8"/>
    <w:rsid w:val="00DE4E35"/>
    <w:rsid w:val="00DE6D44"/>
    <w:rsid w:val="00DE7A60"/>
    <w:rsid w:val="00DF381C"/>
    <w:rsid w:val="00DF3F0E"/>
    <w:rsid w:val="00DF540F"/>
    <w:rsid w:val="00DF5CAD"/>
    <w:rsid w:val="00DF6794"/>
    <w:rsid w:val="00DF6B1C"/>
    <w:rsid w:val="00DF7CBC"/>
    <w:rsid w:val="00E01478"/>
    <w:rsid w:val="00E031A7"/>
    <w:rsid w:val="00E04CB4"/>
    <w:rsid w:val="00E05878"/>
    <w:rsid w:val="00E071AB"/>
    <w:rsid w:val="00E07BD0"/>
    <w:rsid w:val="00E11705"/>
    <w:rsid w:val="00E12D87"/>
    <w:rsid w:val="00E14042"/>
    <w:rsid w:val="00E14108"/>
    <w:rsid w:val="00E14C73"/>
    <w:rsid w:val="00E159E4"/>
    <w:rsid w:val="00E15FFE"/>
    <w:rsid w:val="00E2099B"/>
    <w:rsid w:val="00E2229D"/>
    <w:rsid w:val="00E2319C"/>
    <w:rsid w:val="00E24A7E"/>
    <w:rsid w:val="00E24E04"/>
    <w:rsid w:val="00E300B0"/>
    <w:rsid w:val="00E30218"/>
    <w:rsid w:val="00E31F0F"/>
    <w:rsid w:val="00E34495"/>
    <w:rsid w:val="00E355CE"/>
    <w:rsid w:val="00E37C84"/>
    <w:rsid w:val="00E40784"/>
    <w:rsid w:val="00E41D89"/>
    <w:rsid w:val="00E42C76"/>
    <w:rsid w:val="00E4439E"/>
    <w:rsid w:val="00E45BE0"/>
    <w:rsid w:val="00E50E06"/>
    <w:rsid w:val="00E546CC"/>
    <w:rsid w:val="00E54BBD"/>
    <w:rsid w:val="00E554EE"/>
    <w:rsid w:val="00E577C0"/>
    <w:rsid w:val="00E62BB4"/>
    <w:rsid w:val="00E63052"/>
    <w:rsid w:val="00E64032"/>
    <w:rsid w:val="00E6432A"/>
    <w:rsid w:val="00E646DE"/>
    <w:rsid w:val="00E65064"/>
    <w:rsid w:val="00E677E0"/>
    <w:rsid w:val="00E677E4"/>
    <w:rsid w:val="00E70FDB"/>
    <w:rsid w:val="00E71140"/>
    <w:rsid w:val="00E7120E"/>
    <w:rsid w:val="00E73340"/>
    <w:rsid w:val="00E740F8"/>
    <w:rsid w:val="00E7656F"/>
    <w:rsid w:val="00E77A01"/>
    <w:rsid w:val="00E804E9"/>
    <w:rsid w:val="00E83428"/>
    <w:rsid w:val="00E83B32"/>
    <w:rsid w:val="00E84E70"/>
    <w:rsid w:val="00E85AC8"/>
    <w:rsid w:val="00E91C43"/>
    <w:rsid w:val="00E91CE5"/>
    <w:rsid w:val="00E928C7"/>
    <w:rsid w:val="00E97462"/>
    <w:rsid w:val="00EA03EC"/>
    <w:rsid w:val="00EA1C89"/>
    <w:rsid w:val="00EA2735"/>
    <w:rsid w:val="00EA4121"/>
    <w:rsid w:val="00EA4AC9"/>
    <w:rsid w:val="00EA524A"/>
    <w:rsid w:val="00EA55C8"/>
    <w:rsid w:val="00EA5EF1"/>
    <w:rsid w:val="00EA690D"/>
    <w:rsid w:val="00EA6B85"/>
    <w:rsid w:val="00EB074A"/>
    <w:rsid w:val="00EB2215"/>
    <w:rsid w:val="00EB2619"/>
    <w:rsid w:val="00EB27F1"/>
    <w:rsid w:val="00EB715E"/>
    <w:rsid w:val="00EC0343"/>
    <w:rsid w:val="00EC0977"/>
    <w:rsid w:val="00EC09D6"/>
    <w:rsid w:val="00EC27FC"/>
    <w:rsid w:val="00EC301A"/>
    <w:rsid w:val="00EC3F5A"/>
    <w:rsid w:val="00EC4E10"/>
    <w:rsid w:val="00EC607B"/>
    <w:rsid w:val="00EC6405"/>
    <w:rsid w:val="00EC6938"/>
    <w:rsid w:val="00EC6F11"/>
    <w:rsid w:val="00ED0F54"/>
    <w:rsid w:val="00ED15E4"/>
    <w:rsid w:val="00ED192B"/>
    <w:rsid w:val="00ED1C06"/>
    <w:rsid w:val="00ED3426"/>
    <w:rsid w:val="00ED5EBC"/>
    <w:rsid w:val="00ED614F"/>
    <w:rsid w:val="00ED64F9"/>
    <w:rsid w:val="00ED7115"/>
    <w:rsid w:val="00EDF983"/>
    <w:rsid w:val="00EE1594"/>
    <w:rsid w:val="00EE3EC7"/>
    <w:rsid w:val="00EE483E"/>
    <w:rsid w:val="00EE6FFC"/>
    <w:rsid w:val="00EF56D6"/>
    <w:rsid w:val="00EF5911"/>
    <w:rsid w:val="00EF63FE"/>
    <w:rsid w:val="00EF99C3"/>
    <w:rsid w:val="00F0229B"/>
    <w:rsid w:val="00F02E26"/>
    <w:rsid w:val="00F046F4"/>
    <w:rsid w:val="00F04821"/>
    <w:rsid w:val="00F05AD7"/>
    <w:rsid w:val="00F06D9C"/>
    <w:rsid w:val="00F130DE"/>
    <w:rsid w:val="00F1369C"/>
    <w:rsid w:val="00F224ED"/>
    <w:rsid w:val="00F22544"/>
    <w:rsid w:val="00F2653B"/>
    <w:rsid w:val="00F325B0"/>
    <w:rsid w:val="00F33AB7"/>
    <w:rsid w:val="00F36E82"/>
    <w:rsid w:val="00F37B1E"/>
    <w:rsid w:val="00F41672"/>
    <w:rsid w:val="00F47FE8"/>
    <w:rsid w:val="00F51403"/>
    <w:rsid w:val="00F56FF6"/>
    <w:rsid w:val="00F57978"/>
    <w:rsid w:val="00F616D7"/>
    <w:rsid w:val="00F70AF7"/>
    <w:rsid w:val="00F72E4D"/>
    <w:rsid w:val="00F809CB"/>
    <w:rsid w:val="00F81E10"/>
    <w:rsid w:val="00F82080"/>
    <w:rsid w:val="00F8262C"/>
    <w:rsid w:val="00F82656"/>
    <w:rsid w:val="00F82B1E"/>
    <w:rsid w:val="00F82CDE"/>
    <w:rsid w:val="00F846E7"/>
    <w:rsid w:val="00F84AA8"/>
    <w:rsid w:val="00F87665"/>
    <w:rsid w:val="00F911DE"/>
    <w:rsid w:val="00F928DB"/>
    <w:rsid w:val="00F931B6"/>
    <w:rsid w:val="00F979B0"/>
    <w:rsid w:val="00FA10D5"/>
    <w:rsid w:val="00FA18B8"/>
    <w:rsid w:val="00FA19A8"/>
    <w:rsid w:val="00FA2133"/>
    <w:rsid w:val="00FA3DB1"/>
    <w:rsid w:val="00FA4F70"/>
    <w:rsid w:val="00FA6B76"/>
    <w:rsid w:val="00FA7664"/>
    <w:rsid w:val="00FB13F3"/>
    <w:rsid w:val="00FB20B3"/>
    <w:rsid w:val="00FB23C1"/>
    <w:rsid w:val="00FB486E"/>
    <w:rsid w:val="00FB546B"/>
    <w:rsid w:val="00FB6156"/>
    <w:rsid w:val="00FC02B3"/>
    <w:rsid w:val="00FC02FE"/>
    <w:rsid w:val="00FC4958"/>
    <w:rsid w:val="00FC4A4E"/>
    <w:rsid w:val="00FC797D"/>
    <w:rsid w:val="00FC7DD1"/>
    <w:rsid w:val="00FD2B42"/>
    <w:rsid w:val="00FD3517"/>
    <w:rsid w:val="00FD52BF"/>
    <w:rsid w:val="00FD6683"/>
    <w:rsid w:val="00FD7079"/>
    <w:rsid w:val="00FE199B"/>
    <w:rsid w:val="00FE37AF"/>
    <w:rsid w:val="00FE4215"/>
    <w:rsid w:val="00FE4BFC"/>
    <w:rsid w:val="00FEBB3D"/>
    <w:rsid w:val="00FF0AFC"/>
    <w:rsid w:val="00FF14DE"/>
    <w:rsid w:val="00FF1F38"/>
    <w:rsid w:val="00FF3D7E"/>
    <w:rsid w:val="00FF6150"/>
    <w:rsid w:val="00FF65D9"/>
    <w:rsid w:val="00FF6F95"/>
    <w:rsid w:val="00FF7630"/>
    <w:rsid w:val="00FF7AAA"/>
    <w:rsid w:val="0107FCD6"/>
    <w:rsid w:val="0114E9EB"/>
    <w:rsid w:val="01151642"/>
    <w:rsid w:val="012A3FCC"/>
    <w:rsid w:val="0140ACCC"/>
    <w:rsid w:val="014340D2"/>
    <w:rsid w:val="014D1895"/>
    <w:rsid w:val="0150773B"/>
    <w:rsid w:val="01630D40"/>
    <w:rsid w:val="017F5150"/>
    <w:rsid w:val="01800F30"/>
    <w:rsid w:val="0188D81C"/>
    <w:rsid w:val="018E61D3"/>
    <w:rsid w:val="0191EBAF"/>
    <w:rsid w:val="01964E3C"/>
    <w:rsid w:val="01965CC0"/>
    <w:rsid w:val="01990876"/>
    <w:rsid w:val="019EFB9B"/>
    <w:rsid w:val="01A024B9"/>
    <w:rsid w:val="01B62AF2"/>
    <w:rsid w:val="01C5D94B"/>
    <w:rsid w:val="01C77E2E"/>
    <w:rsid w:val="01CD0D8D"/>
    <w:rsid w:val="01D74FFB"/>
    <w:rsid w:val="01E3683B"/>
    <w:rsid w:val="01E590D3"/>
    <w:rsid w:val="01F08893"/>
    <w:rsid w:val="0208BC7E"/>
    <w:rsid w:val="0215BA13"/>
    <w:rsid w:val="02182504"/>
    <w:rsid w:val="022669FE"/>
    <w:rsid w:val="02324E0A"/>
    <w:rsid w:val="023FB861"/>
    <w:rsid w:val="0242C329"/>
    <w:rsid w:val="0244E872"/>
    <w:rsid w:val="024B0944"/>
    <w:rsid w:val="0254A51D"/>
    <w:rsid w:val="025D696B"/>
    <w:rsid w:val="0265BB3A"/>
    <w:rsid w:val="02754EF3"/>
    <w:rsid w:val="02769A0C"/>
    <w:rsid w:val="029203A8"/>
    <w:rsid w:val="0299DB1C"/>
    <w:rsid w:val="02A7E831"/>
    <w:rsid w:val="02A80A2D"/>
    <w:rsid w:val="02B5AB00"/>
    <w:rsid w:val="02BC9049"/>
    <w:rsid w:val="02C79AA6"/>
    <w:rsid w:val="02CB2329"/>
    <w:rsid w:val="02CE8FCB"/>
    <w:rsid w:val="02D0D2C2"/>
    <w:rsid w:val="02D1BA6D"/>
    <w:rsid w:val="02D5D4DC"/>
    <w:rsid w:val="02D778BD"/>
    <w:rsid w:val="02DAC64A"/>
    <w:rsid w:val="02DAEBCB"/>
    <w:rsid w:val="02DCA38F"/>
    <w:rsid w:val="02E36301"/>
    <w:rsid w:val="02EBB14B"/>
    <w:rsid w:val="03018CFE"/>
    <w:rsid w:val="0302E6D7"/>
    <w:rsid w:val="03036CBB"/>
    <w:rsid w:val="03039D07"/>
    <w:rsid w:val="0304BD13"/>
    <w:rsid w:val="0308F75F"/>
    <w:rsid w:val="0322EC32"/>
    <w:rsid w:val="0342D2DE"/>
    <w:rsid w:val="0349FE4A"/>
    <w:rsid w:val="034AB748"/>
    <w:rsid w:val="034F358D"/>
    <w:rsid w:val="035901C6"/>
    <w:rsid w:val="035DA243"/>
    <w:rsid w:val="038229CA"/>
    <w:rsid w:val="0382AA05"/>
    <w:rsid w:val="038EC36B"/>
    <w:rsid w:val="03967885"/>
    <w:rsid w:val="0397291E"/>
    <w:rsid w:val="039894CE"/>
    <w:rsid w:val="03AC385B"/>
    <w:rsid w:val="03AE917C"/>
    <w:rsid w:val="03B09269"/>
    <w:rsid w:val="03B6F896"/>
    <w:rsid w:val="03C3ECFF"/>
    <w:rsid w:val="03C4A1AD"/>
    <w:rsid w:val="03C6C138"/>
    <w:rsid w:val="03C844E6"/>
    <w:rsid w:val="03C8CE8C"/>
    <w:rsid w:val="03CAD075"/>
    <w:rsid w:val="03D335C6"/>
    <w:rsid w:val="03E3DBA6"/>
    <w:rsid w:val="03E8AEDC"/>
    <w:rsid w:val="03EF8E47"/>
    <w:rsid w:val="03F310EB"/>
    <w:rsid w:val="03FD6715"/>
    <w:rsid w:val="0403E997"/>
    <w:rsid w:val="040D9D37"/>
    <w:rsid w:val="04308E7A"/>
    <w:rsid w:val="0442AE8B"/>
    <w:rsid w:val="0443B892"/>
    <w:rsid w:val="0445CEF7"/>
    <w:rsid w:val="044CDC60"/>
    <w:rsid w:val="0453FC8C"/>
    <w:rsid w:val="04703E6A"/>
    <w:rsid w:val="0478C07E"/>
    <w:rsid w:val="0487870C"/>
    <w:rsid w:val="049A93F0"/>
    <w:rsid w:val="049CECAA"/>
    <w:rsid w:val="049EEE62"/>
    <w:rsid w:val="04A092CC"/>
    <w:rsid w:val="04A9905F"/>
    <w:rsid w:val="04C0083E"/>
    <w:rsid w:val="04C00F58"/>
    <w:rsid w:val="04C85485"/>
    <w:rsid w:val="04D3F208"/>
    <w:rsid w:val="04F018E5"/>
    <w:rsid w:val="04F13027"/>
    <w:rsid w:val="04F46666"/>
    <w:rsid w:val="04F54E8E"/>
    <w:rsid w:val="04FACF0A"/>
    <w:rsid w:val="04FB8246"/>
    <w:rsid w:val="050D8EC3"/>
    <w:rsid w:val="0514AAA3"/>
    <w:rsid w:val="05157B12"/>
    <w:rsid w:val="051CE30A"/>
    <w:rsid w:val="051F2C1B"/>
    <w:rsid w:val="052524A9"/>
    <w:rsid w:val="052A21D6"/>
    <w:rsid w:val="052B7305"/>
    <w:rsid w:val="0532077F"/>
    <w:rsid w:val="053C2E4E"/>
    <w:rsid w:val="0564430F"/>
    <w:rsid w:val="05644B01"/>
    <w:rsid w:val="056C4D2F"/>
    <w:rsid w:val="05813700"/>
    <w:rsid w:val="0583D05B"/>
    <w:rsid w:val="05853F81"/>
    <w:rsid w:val="0591A1A1"/>
    <w:rsid w:val="05A68BAA"/>
    <w:rsid w:val="05AB7D3A"/>
    <w:rsid w:val="05B902E3"/>
    <w:rsid w:val="05BA8940"/>
    <w:rsid w:val="05BB9299"/>
    <w:rsid w:val="05CFF7FA"/>
    <w:rsid w:val="05D13E6C"/>
    <w:rsid w:val="05EFC854"/>
    <w:rsid w:val="05F3196D"/>
    <w:rsid w:val="05FA1695"/>
    <w:rsid w:val="060560F3"/>
    <w:rsid w:val="0608A6F7"/>
    <w:rsid w:val="0610DF70"/>
    <w:rsid w:val="06173069"/>
    <w:rsid w:val="061AF290"/>
    <w:rsid w:val="061BB85A"/>
    <w:rsid w:val="062C51C5"/>
    <w:rsid w:val="0633784C"/>
    <w:rsid w:val="063ED9CB"/>
    <w:rsid w:val="063FE0B1"/>
    <w:rsid w:val="064927BE"/>
    <w:rsid w:val="064D56F0"/>
    <w:rsid w:val="065E1061"/>
    <w:rsid w:val="06683212"/>
    <w:rsid w:val="0670780D"/>
    <w:rsid w:val="06731530"/>
    <w:rsid w:val="067CD33F"/>
    <w:rsid w:val="0681C6F4"/>
    <w:rsid w:val="0682A1CA"/>
    <w:rsid w:val="068CA8D7"/>
    <w:rsid w:val="0696E64C"/>
    <w:rsid w:val="069BA89B"/>
    <w:rsid w:val="06A22143"/>
    <w:rsid w:val="06AD68C1"/>
    <w:rsid w:val="06C61BD3"/>
    <w:rsid w:val="06D44FC7"/>
    <w:rsid w:val="06ECE042"/>
    <w:rsid w:val="06F8DF4A"/>
    <w:rsid w:val="06FF3BE2"/>
    <w:rsid w:val="07038CB6"/>
    <w:rsid w:val="070BD393"/>
    <w:rsid w:val="071C68ED"/>
    <w:rsid w:val="071EF526"/>
    <w:rsid w:val="072BFB2A"/>
    <w:rsid w:val="072C159C"/>
    <w:rsid w:val="073C46F5"/>
    <w:rsid w:val="073CFB7C"/>
    <w:rsid w:val="073DC7CD"/>
    <w:rsid w:val="07474D9B"/>
    <w:rsid w:val="0759F12B"/>
    <w:rsid w:val="075E15FD"/>
    <w:rsid w:val="076B8AF6"/>
    <w:rsid w:val="076BDFA5"/>
    <w:rsid w:val="076FB65D"/>
    <w:rsid w:val="077CD413"/>
    <w:rsid w:val="07A582B7"/>
    <w:rsid w:val="07A88EDF"/>
    <w:rsid w:val="07B26339"/>
    <w:rsid w:val="07B4712F"/>
    <w:rsid w:val="07B61D04"/>
    <w:rsid w:val="07BB9B8B"/>
    <w:rsid w:val="07C6C974"/>
    <w:rsid w:val="07D539A9"/>
    <w:rsid w:val="07D82ACD"/>
    <w:rsid w:val="07DB3AB7"/>
    <w:rsid w:val="07DBABA3"/>
    <w:rsid w:val="07F02BB6"/>
    <w:rsid w:val="07F138A3"/>
    <w:rsid w:val="07F28C68"/>
    <w:rsid w:val="081C1FB0"/>
    <w:rsid w:val="082B4C2C"/>
    <w:rsid w:val="08410017"/>
    <w:rsid w:val="084D7821"/>
    <w:rsid w:val="0856C0A7"/>
    <w:rsid w:val="085F0F81"/>
    <w:rsid w:val="0877E7C5"/>
    <w:rsid w:val="087D9CEA"/>
    <w:rsid w:val="08859DC8"/>
    <w:rsid w:val="088A69B9"/>
    <w:rsid w:val="089815AB"/>
    <w:rsid w:val="0898E46E"/>
    <w:rsid w:val="089B3095"/>
    <w:rsid w:val="08A0192C"/>
    <w:rsid w:val="08A2FFAF"/>
    <w:rsid w:val="08A64EC5"/>
    <w:rsid w:val="08AEA32E"/>
    <w:rsid w:val="08AF64C8"/>
    <w:rsid w:val="08CCDE2B"/>
    <w:rsid w:val="08DD154F"/>
    <w:rsid w:val="08E78DA6"/>
    <w:rsid w:val="08E96D98"/>
    <w:rsid w:val="08FA71EB"/>
    <w:rsid w:val="08FD1F0A"/>
    <w:rsid w:val="091CD3A3"/>
    <w:rsid w:val="09313E1B"/>
    <w:rsid w:val="093EF26F"/>
    <w:rsid w:val="0944AB2D"/>
    <w:rsid w:val="09565137"/>
    <w:rsid w:val="0957DA36"/>
    <w:rsid w:val="0971F8B8"/>
    <w:rsid w:val="0973AE6F"/>
    <w:rsid w:val="0974B4AF"/>
    <w:rsid w:val="0980F4C0"/>
    <w:rsid w:val="098B2115"/>
    <w:rsid w:val="09A37D19"/>
    <w:rsid w:val="09A42A12"/>
    <w:rsid w:val="09B3A356"/>
    <w:rsid w:val="09B55EB1"/>
    <w:rsid w:val="09CB18BC"/>
    <w:rsid w:val="09EAE9F0"/>
    <w:rsid w:val="09EBED6D"/>
    <w:rsid w:val="09EEE739"/>
    <w:rsid w:val="09F257A6"/>
    <w:rsid w:val="09F4A593"/>
    <w:rsid w:val="0A03F9CA"/>
    <w:rsid w:val="0A0EEECE"/>
    <w:rsid w:val="0A1DAB49"/>
    <w:rsid w:val="0A25D721"/>
    <w:rsid w:val="0A30EBCD"/>
    <w:rsid w:val="0A321BF5"/>
    <w:rsid w:val="0A3D86E9"/>
    <w:rsid w:val="0A4B3529"/>
    <w:rsid w:val="0A4C3577"/>
    <w:rsid w:val="0A51E9C1"/>
    <w:rsid w:val="0A53CD12"/>
    <w:rsid w:val="0A5C5C45"/>
    <w:rsid w:val="0A673259"/>
    <w:rsid w:val="0A709C12"/>
    <w:rsid w:val="0A7CCD09"/>
    <w:rsid w:val="0A7FF474"/>
    <w:rsid w:val="0A840A8C"/>
    <w:rsid w:val="0A8B5337"/>
    <w:rsid w:val="0A92EB3B"/>
    <w:rsid w:val="0AA57F3C"/>
    <w:rsid w:val="0AB3F2A3"/>
    <w:rsid w:val="0AB73768"/>
    <w:rsid w:val="0AE28D66"/>
    <w:rsid w:val="0AED347C"/>
    <w:rsid w:val="0AF0E56F"/>
    <w:rsid w:val="0B0542B8"/>
    <w:rsid w:val="0B06C6C2"/>
    <w:rsid w:val="0B0A626B"/>
    <w:rsid w:val="0B1BCC0B"/>
    <w:rsid w:val="0B1C51FB"/>
    <w:rsid w:val="0B280162"/>
    <w:rsid w:val="0B3846CE"/>
    <w:rsid w:val="0B4E206D"/>
    <w:rsid w:val="0B4F0741"/>
    <w:rsid w:val="0B5DCFC0"/>
    <w:rsid w:val="0B6D38F4"/>
    <w:rsid w:val="0B890991"/>
    <w:rsid w:val="0B8E36AF"/>
    <w:rsid w:val="0B94F711"/>
    <w:rsid w:val="0B99F792"/>
    <w:rsid w:val="0B9DA3BA"/>
    <w:rsid w:val="0BAC7C27"/>
    <w:rsid w:val="0BACE6A1"/>
    <w:rsid w:val="0BB86068"/>
    <w:rsid w:val="0BC3263D"/>
    <w:rsid w:val="0BC571B3"/>
    <w:rsid w:val="0BD7B9EE"/>
    <w:rsid w:val="0BE7F9C2"/>
    <w:rsid w:val="0BE91AA4"/>
    <w:rsid w:val="0BF2DBC6"/>
    <w:rsid w:val="0BF3B196"/>
    <w:rsid w:val="0BF93C80"/>
    <w:rsid w:val="0C047EED"/>
    <w:rsid w:val="0C0F7048"/>
    <w:rsid w:val="0C159B1C"/>
    <w:rsid w:val="0C294DAF"/>
    <w:rsid w:val="0C456F32"/>
    <w:rsid w:val="0C5754D2"/>
    <w:rsid w:val="0C5A3D89"/>
    <w:rsid w:val="0C65ACDE"/>
    <w:rsid w:val="0C68A5B4"/>
    <w:rsid w:val="0C6A17E9"/>
    <w:rsid w:val="0C775B9A"/>
    <w:rsid w:val="0C81A3C9"/>
    <w:rsid w:val="0C81DAC4"/>
    <w:rsid w:val="0C85DD4E"/>
    <w:rsid w:val="0C8A6DF5"/>
    <w:rsid w:val="0C9D943B"/>
    <w:rsid w:val="0CAA2562"/>
    <w:rsid w:val="0CAF7001"/>
    <w:rsid w:val="0CB215E8"/>
    <w:rsid w:val="0CB6C6DE"/>
    <w:rsid w:val="0CBDA4E7"/>
    <w:rsid w:val="0CCF2B11"/>
    <w:rsid w:val="0CD9948E"/>
    <w:rsid w:val="0CE5A389"/>
    <w:rsid w:val="0CE5A548"/>
    <w:rsid w:val="0CE7EB89"/>
    <w:rsid w:val="0CEC1949"/>
    <w:rsid w:val="0CF55954"/>
    <w:rsid w:val="0D033B8F"/>
    <w:rsid w:val="0D0C11BE"/>
    <w:rsid w:val="0D20E944"/>
    <w:rsid w:val="0D23D228"/>
    <w:rsid w:val="0D28E95B"/>
    <w:rsid w:val="0D3DD536"/>
    <w:rsid w:val="0D3DF785"/>
    <w:rsid w:val="0D500EB4"/>
    <w:rsid w:val="0D50BE88"/>
    <w:rsid w:val="0D5EF69E"/>
    <w:rsid w:val="0D7FDC00"/>
    <w:rsid w:val="0D816265"/>
    <w:rsid w:val="0D95529D"/>
    <w:rsid w:val="0DAD5EA3"/>
    <w:rsid w:val="0DB024FF"/>
    <w:rsid w:val="0DC19F41"/>
    <w:rsid w:val="0DC414C8"/>
    <w:rsid w:val="0DD23606"/>
    <w:rsid w:val="0DDB9E35"/>
    <w:rsid w:val="0DECA11C"/>
    <w:rsid w:val="0DFB1B72"/>
    <w:rsid w:val="0DFB420D"/>
    <w:rsid w:val="0E05E84A"/>
    <w:rsid w:val="0E091B9D"/>
    <w:rsid w:val="0E0B16F6"/>
    <w:rsid w:val="0E169B47"/>
    <w:rsid w:val="0E1D4A82"/>
    <w:rsid w:val="0E21ADAF"/>
    <w:rsid w:val="0E4655E7"/>
    <w:rsid w:val="0E51D936"/>
    <w:rsid w:val="0E523C37"/>
    <w:rsid w:val="0E5538E4"/>
    <w:rsid w:val="0E572D5C"/>
    <w:rsid w:val="0E6875D6"/>
    <w:rsid w:val="0E6E7D45"/>
    <w:rsid w:val="0E76BEE7"/>
    <w:rsid w:val="0E8BE8CC"/>
    <w:rsid w:val="0E8CD8D9"/>
    <w:rsid w:val="0E9664E5"/>
    <w:rsid w:val="0E9F1F1F"/>
    <w:rsid w:val="0E9F33B3"/>
    <w:rsid w:val="0EAF53C6"/>
    <w:rsid w:val="0EB4C161"/>
    <w:rsid w:val="0EBEEF65"/>
    <w:rsid w:val="0ED3159B"/>
    <w:rsid w:val="0ED4D891"/>
    <w:rsid w:val="0ED87A90"/>
    <w:rsid w:val="0EDE5DCB"/>
    <w:rsid w:val="0EEAC3DD"/>
    <w:rsid w:val="0EEF2DCD"/>
    <w:rsid w:val="0EFB744E"/>
    <w:rsid w:val="0F03A809"/>
    <w:rsid w:val="0F0D60C4"/>
    <w:rsid w:val="0F0F50BD"/>
    <w:rsid w:val="0F30D0AA"/>
    <w:rsid w:val="0F37149F"/>
    <w:rsid w:val="0F430B9D"/>
    <w:rsid w:val="0F494C82"/>
    <w:rsid w:val="0F525228"/>
    <w:rsid w:val="0F5593E7"/>
    <w:rsid w:val="0F56992E"/>
    <w:rsid w:val="0F67AC78"/>
    <w:rsid w:val="0F6AB179"/>
    <w:rsid w:val="0F75BCCB"/>
    <w:rsid w:val="0F7A4727"/>
    <w:rsid w:val="0F80C5A7"/>
    <w:rsid w:val="0F8EACF3"/>
    <w:rsid w:val="0F8FE80C"/>
    <w:rsid w:val="0FA153C1"/>
    <w:rsid w:val="0FA2D46D"/>
    <w:rsid w:val="0FA98621"/>
    <w:rsid w:val="0FBB1576"/>
    <w:rsid w:val="0FBC46CA"/>
    <w:rsid w:val="0FBD751E"/>
    <w:rsid w:val="0FBEEA6D"/>
    <w:rsid w:val="0FC06797"/>
    <w:rsid w:val="0FD8B3DB"/>
    <w:rsid w:val="0FDF9605"/>
    <w:rsid w:val="0FF08AC6"/>
    <w:rsid w:val="1009CC7F"/>
    <w:rsid w:val="101D460A"/>
    <w:rsid w:val="10368829"/>
    <w:rsid w:val="1037CACD"/>
    <w:rsid w:val="10383DA8"/>
    <w:rsid w:val="10489EC2"/>
    <w:rsid w:val="104BD45A"/>
    <w:rsid w:val="104D4894"/>
    <w:rsid w:val="10571E42"/>
    <w:rsid w:val="1067DFA8"/>
    <w:rsid w:val="106A2524"/>
    <w:rsid w:val="106AC49E"/>
    <w:rsid w:val="106F8672"/>
    <w:rsid w:val="107ABDEB"/>
    <w:rsid w:val="109496C3"/>
    <w:rsid w:val="1094A63D"/>
    <w:rsid w:val="109656E5"/>
    <w:rsid w:val="1096AA4B"/>
    <w:rsid w:val="10C136D8"/>
    <w:rsid w:val="10C55C77"/>
    <w:rsid w:val="10CCD0E4"/>
    <w:rsid w:val="10D10162"/>
    <w:rsid w:val="10D39616"/>
    <w:rsid w:val="10D59C11"/>
    <w:rsid w:val="10DBFF80"/>
    <w:rsid w:val="10DCD163"/>
    <w:rsid w:val="10E3F49F"/>
    <w:rsid w:val="10EEF310"/>
    <w:rsid w:val="10FBB58A"/>
    <w:rsid w:val="1105CB31"/>
    <w:rsid w:val="11183AA0"/>
    <w:rsid w:val="1125933B"/>
    <w:rsid w:val="1126BFEC"/>
    <w:rsid w:val="112E1D33"/>
    <w:rsid w:val="11317E4D"/>
    <w:rsid w:val="11400296"/>
    <w:rsid w:val="1142BB65"/>
    <w:rsid w:val="114AB3B4"/>
    <w:rsid w:val="115134B3"/>
    <w:rsid w:val="11526884"/>
    <w:rsid w:val="1159F18C"/>
    <w:rsid w:val="1180FFA4"/>
    <w:rsid w:val="118622B5"/>
    <w:rsid w:val="1188FC6C"/>
    <w:rsid w:val="1191FB97"/>
    <w:rsid w:val="11A02D70"/>
    <w:rsid w:val="11CF52E6"/>
    <w:rsid w:val="11F904E8"/>
    <w:rsid w:val="11FDF4FF"/>
    <w:rsid w:val="120B0C3F"/>
    <w:rsid w:val="1212E24F"/>
    <w:rsid w:val="12175F18"/>
    <w:rsid w:val="1237965F"/>
    <w:rsid w:val="12393985"/>
    <w:rsid w:val="12462DEE"/>
    <w:rsid w:val="124AE974"/>
    <w:rsid w:val="124C8B18"/>
    <w:rsid w:val="1252E173"/>
    <w:rsid w:val="126A5CEC"/>
    <w:rsid w:val="126B8FF0"/>
    <w:rsid w:val="12713DA0"/>
    <w:rsid w:val="1282E462"/>
    <w:rsid w:val="1290CD4C"/>
    <w:rsid w:val="129485FB"/>
    <w:rsid w:val="1297EF91"/>
    <w:rsid w:val="129D9D9C"/>
    <w:rsid w:val="12B55FAD"/>
    <w:rsid w:val="12B5F079"/>
    <w:rsid w:val="12C8FAF3"/>
    <w:rsid w:val="12CDF479"/>
    <w:rsid w:val="12EB43BF"/>
    <w:rsid w:val="12F0DB7A"/>
    <w:rsid w:val="130022AD"/>
    <w:rsid w:val="1301B0B2"/>
    <w:rsid w:val="1305DD1B"/>
    <w:rsid w:val="130FC49B"/>
    <w:rsid w:val="13208DDD"/>
    <w:rsid w:val="132329F2"/>
    <w:rsid w:val="1324D0A1"/>
    <w:rsid w:val="13310DE9"/>
    <w:rsid w:val="134F2C45"/>
    <w:rsid w:val="13544EB1"/>
    <w:rsid w:val="135CCA84"/>
    <w:rsid w:val="1369B7A7"/>
    <w:rsid w:val="1371CA5F"/>
    <w:rsid w:val="1375CB5A"/>
    <w:rsid w:val="1382C208"/>
    <w:rsid w:val="138E6FF3"/>
    <w:rsid w:val="13960378"/>
    <w:rsid w:val="13B681B7"/>
    <w:rsid w:val="13B9770F"/>
    <w:rsid w:val="13B9E98E"/>
    <w:rsid w:val="13CBAA2B"/>
    <w:rsid w:val="13CE8FD4"/>
    <w:rsid w:val="13CEE2B3"/>
    <w:rsid w:val="13CEFE82"/>
    <w:rsid w:val="13D0E680"/>
    <w:rsid w:val="13D7CE13"/>
    <w:rsid w:val="13E15F7A"/>
    <w:rsid w:val="13ED244C"/>
    <w:rsid w:val="13FC3521"/>
    <w:rsid w:val="1401CB7D"/>
    <w:rsid w:val="1407A30D"/>
    <w:rsid w:val="140BF50A"/>
    <w:rsid w:val="1412130C"/>
    <w:rsid w:val="141B9612"/>
    <w:rsid w:val="141C0CCC"/>
    <w:rsid w:val="141C8A07"/>
    <w:rsid w:val="142230B5"/>
    <w:rsid w:val="142564AD"/>
    <w:rsid w:val="142F60AE"/>
    <w:rsid w:val="1448C6C2"/>
    <w:rsid w:val="144FBD09"/>
    <w:rsid w:val="1461EBDE"/>
    <w:rsid w:val="14685CFF"/>
    <w:rsid w:val="146AAA83"/>
    <w:rsid w:val="1473B799"/>
    <w:rsid w:val="1477B701"/>
    <w:rsid w:val="1477C6D6"/>
    <w:rsid w:val="14784FDE"/>
    <w:rsid w:val="147FB1A2"/>
    <w:rsid w:val="14871420"/>
    <w:rsid w:val="149205D4"/>
    <w:rsid w:val="149A9F51"/>
    <w:rsid w:val="14A23CF8"/>
    <w:rsid w:val="14AC24FE"/>
    <w:rsid w:val="14B41284"/>
    <w:rsid w:val="14DA67DE"/>
    <w:rsid w:val="14ED9E03"/>
    <w:rsid w:val="14F31A54"/>
    <w:rsid w:val="14F81158"/>
    <w:rsid w:val="15043627"/>
    <w:rsid w:val="1504D0F9"/>
    <w:rsid w:val="15068DE7"/>
    <w:rsid w:val="150A8A30"/>
    <w:rsid w:val="1511A610"/>
    <w:rsid w:val="151359FB"/>
    <w:rsid w:val="1515B8E9"/>
    <w:rsid w:val="15209289"/>
    <w:rsid w:val="1527193F"/>
    <w:rsid w:val="15425B57"/>
    <w:rsid w:val="1546E781"/>
    <w:rsid w:val="15485346"/>
    <w:rsid w:val="155F8D06"/>
    <w:rsid w:val="156362EC"/>
    <w:rsid w:val="15677A8C"/>
    <w:rsid w:val="1568ECC1"/>
    <w:rsid w:val="156C2153"/>
    <w:rsid w:val="157DCEB0"/>
    <w:rsid w:val="1583E484"/>
    <w:rsid w:val="15842BDA"/>
    <w:rsid w:val="1590053C"/>
    <w:rsid w:val="1592BB93"/>
    <w:rsid w:val="1592D067"/>
    <w:rsid w:val="15A0BB56"/>
    <w:rsid w:val="15AC2722"/>
    <w:rsid w:val="15B6739A"/>
    <w:rsid w:val="15B71F9C"/>
    <w:rsid w:val="15B9104E"/>
    <w:rsid w:val="15B97D8B"/>
    <w:rsid w:val="15BB6D4C"/>
    <w:rsid w:val="15BC5B99"/>
    <w:rsid w:val="15BFC6A3"/>
    <w:rsid w:val="15C95E29"/>
    <w:rsid w:val="15D9DA7B"/>
    <w:rsid w:val="15DA7ACC"/>
    <w:rsid w:val="15FDBC3F"/>
    <w:rsid w:val="1607E78D"/>
    <w:rsid w:val="160905AD"/>
    <w:rsid w:val="161773D2"/>
    <w:rsid w:val="1624391A"/>
    <w:rsid w:val="162F55C0"/>
    <w:rsid w:val="163CEF29"/>
    <w:rsid w:val="163D555E"/>
    <w:rsid w:val="163FA500"/>
    <w:rsid w:val="16493A3C"/>
    <w:rsid w:val="165FCC4A"/>
    <w:rsid w:val="166681CD"/>
    <w:rsid w:val="166A5F0E"/>
    <w:rsid w:val="166B9680"/>
    <w:rsid w:val="168164CB"/>
    <w:rsid w:val="16942775"/>
    <w:rsid w:val="169ACE58"/>
    <w:rsid w:val="16ACAFE4"/>
    <w:rsid w:val="16AD407E"/>
    <w:rsid w:val="16D04753"/>
    <w:rsid w:val="16D55526"/>
    <w:rsid w:val="170076B4"/>
    <w:rsid w:val="17073559"/>
    <w:rsid w:val="170A99B5"/>
    <w:rsid w:val="171FFC3B"/>
    <w:rsid w:val="17207995"/>
    <w:rsid w:val="172E5CF3"/>
    <w:rsid w:val="173C987B"/>
    <w:rsid w:val="174D4C3B"/>
    <w:rsid w:val="1767FF7C"/>
    <w:rsid w:val="1769465F"/>
    <w:rsid w:val="176C8EFC"/>
    <w:rsid w:val="1781059B"/>
    <w:rsid w:val="17A10EC5"/>
    <w:rsid w:val="17BA6BC4"/>
    <w:rsid w:val="17CC9698"/>
    <w:rsid w:val="17F600E6"/>
    <w:rsid w:val="180797B2"/>
    <w:rsid w:val="1815BA50"/>
    <w:rsid w:val="18186EB3"/>
    <w:rsid w:val="181D6297"/>
    <w:rsid w:val="181E589B"/>
    <w:rsid w:val="182BA598"/>
    <w:rsid w:val="182D778D"/>
    <w:rsid w:val="1835EAA7"/>
    <w:rsid w:val="184490E0"/>
    <w:rsid w:val="18465178"/>
    <w:rsid w:val="1846876C"/>
    <w:rsid w:val="184CC12E"/>
    <w:rsid w:val="18513458"/>
    <w:rsid w:val="18534EB9"/>
    <w:rsid w:val="18623CDB"/>
    <w:rsid w:val="187486A6"/>
    <w:rsid w:val="18762BE9"/>
    <w:rsid w:val="187978B3"/>
    <w:rsid w:val="188B9561"/>
    <w:rsid w:val="1893C0B4"/>
    <w:rsid w:val="189E6515"/>
    <w:rsid w:val="18B32CBC"/>
    <w:rsid w:val="18BD052D"/>
    <w:rsid w:val="18C4301F"/>
    <w:rsid w:val="18E2EA67"/>
    <w:rsid w:val="18E45254"/>
    <w:rsid w:val="18E6781C"/>
    <w:rsid w:val="18EF4F24"/>
    <w:rsid w:val="18F1886A"/>
    <w:rsid w:val="18F941C6"/>
    <w:rsid w:val="190B92B6"/>
    <w:rsid w:val="1912C20A"/>
    <w:rsid w:val="1920A23E"/>
    <w:rsid w:val="19308E56"/>
    <w:rsid w:val="19355D01"/>
    <w:rsid w:val="193802F6"/>
    <w:rsid w:val="1938DEF2"/>
    <w:rsid w:val="193B2CB9"/>
    <w:rsid w:val="193CF1D1"/>
    <w:rsid w:val="194CFE43"/>
    <w:rsid w:val="1951B724"/>
    <w:rsid w:val="19548939"/>
    <w:rsid w:val="19575EDE"/>
    <w:rsid w:val="19613E5A"/>
    <w:rsid w:val="19645764"/>
    <w:rsid w:val="19747EB3"/>
    <w:rsid w:val="198B2659"/>
    <w:rsid w:val="19900A08"/>
    <w:rsid w:val="19A41918"/>
    <w:rsid w:val="19A4E9CC"/>
    <w:rsid w:val="19A7FEE7"/>
    <w:rsid w:val="19B5B502"/>
    <w:rsid w:val="19BC15AA"/>
    <w:rsid w:val="19BE4BB1"/>
    <w:rsid w:val="19C3C1F3"/>
    <w:rsid w:val="19C65451"/>
    <w:rsid w:val="19CE0723"/>
    <w:rsid w:val="19D00CEB"/>
    <w:rsid w:val="19D45ECE"/>
    <w:rsid w:val="19FA8A62"/>
    <w:rsid w:val="19FB5234"/>
    <w:rsid w:val="1A0C6EA6"/>
    <w:rsid w:val="1A26FFA7"/>
    <w:rsid w:val="1A2F11AD"/>
    <w:rsid w:val="1A2F22BF"/>
    <w:rsid w:val="1A32B6C6"/>
    <w:rsid w:val="1A3BF8FA"/>
    <w:rsid w:val="1A404E3A"/>
    <w:rsid w:val="1A43A108"/>
    <w:rsid w:val="1A4E8182"/>
    <w:rsid w:val="1A54AF5F"/>
    <w:rsid w:val="1A61ABC1"/>
    <w:rsid w:val="1A6B2C95"/>
    <w:rsid w:val="1A75682E"/>
    <w:rsid w:val="1A80CA6D"/>
    <w:rsid w:val="1A899612"/>
    <w:rsid w:val="1AB26A4B"/>
    <w:rsid w:val="1AB4C33B"/>
    <w:rsid w:val="1AB901AA"/>
    <w:rsid w:val="1AC51D15"/>
    <w:rsid w:val="1ACC7581"/>
    <w:rsid w:val="1AE2F91D"/>
    <w:rsid w:val="1B074D79"/>
    <w:rsid w:val="1B0F8561"/>
    <w:rsid w:val="1B125AF8"/>
    <w:rsid w:val="1B1382AF"/>
    <w:rsid w:val="1B1D48CD"/>
    <w:rsid w:val="1B25E3AB"/>
    <w:rsid w:val="1B2831E5"/>
    <w:rsid w:val="1B361068"/>
    <w:rsid w:val="1B3F6174"/>
    <w:rsid w:val="1B51E554"/>
    <w:rsid w:val="1B6A26BD"/>
    <w:rsid w:val="1B80FBAE"/>
    <w:rsid w:val="1B89CF1E"/>
    <w:rsid w:val="1B8CA659"/>
    <w:rsid w:val="1B9D7F75"/>
    <w:rsid w:val="1BAF401F"/>
    <w:rsid w:val="1BB13DDC"/>
    <w:rsid w:val="1BC98122"/>
    <w:rsid w:val="1BD3A356"/>
    <w:rsid w:val="1BE2DFF8"/>
    <w:rsid w:val="1BF3EAB8"/>
    <w:rsid w:val="1C024A6B"/>
    <w:rsid w:val="1C0DB7F3"/>
    <w:rsid w:val="1C118673"/>
    <w:rsid w:val="1C1497A4"/>
    <w:rsid w:val="1C2B5785"/>
    <w:rsid w:val="1C3CB778"/>
    <w:rsid w:val="1C4C3C56"/>
    <w:rsid w:val="1C53B9E5"/>
    <w:rsid w:val="1C595714"/>
    <w:rsid w:val="1C5DC23E"/>
    <w:rsid w:val="1C631924"/>
    <w:rsid w:val="1C6CFB65"/>
    <w:rsid w:val="1C6EA51C"/>
    <w:rsid w:val="1C7C252A"/>
    <w:rsid w:val="1C7D329A"/>
    <w:rsid w:val="1C8B5E9C"/>
    <w:rsid w:val="1C9C8E62"/>
    <w:rsid w:val="1CA31864"/>
    <w:rsid w:val="1CAC96E2"/>
    <w:rsid w:val="1CAD5840"/>
    <w:rsid w:val="1CB565E3"/>
    <w:rsid w:val="1CC442F3"/>
    <w:rsid w:val="1CDFC025"/>
    <w:rsid w:val="1CE48E13"/>
    <w:rsid w:val="1CE69D86"/>
    <w:rsid w:val="1CEB8464"/>
    <w:rsid w:val="1CEE622A"/>
    <w:rsid w:val="1CF89BC5"/>
    <w:rsid w:val="1D199026"/>
    <w:rsid w:val="1D24A57B"/>
    <w:rsid w:val="1D24BEB5"/>
    <w:rsid w:val="1D29C892"/>
    <w:rsid w:val="1D2B1CEE"/>
    <w:rsid w:val="1D2D22A6"/>
    <w:rsid w:val="1D2EE96B"/>
    <w:rsid w:val="1D3A48A6"/>
    <w:rsid w:val="1D3AF2F2"/>
    <w:rsid w:val="1D47B474"/>
    <w:rsid w:val="1D5A5CB5"/>
    <w:rsid w:val="1D5DAB88"/>
    <w:rsid w:val="1D5EA069"/>
    <w:rsid w:val="1D622C50"/>
    <w:rsid w:val="1D657211"/>
    <w:rsid w:val="1D7D7430"/>
    <w:rsid w:val="1D93D24D"/>
    <w:rsid w:val="1DB5C4B7"/>
    <w:rsid w:val="1DC20919"/>
    <w:rsid w:val="1DC23991"/>
    <w:rsid w:val="1DC43565"/>
    <w:rsid w:val="1DCC6454"/>
    <w:rsid w:val="1DCCB2E9"/>
    <w:rsid w:val="1DD8C24A"/>
    <w:rsid w:val="1DE349A6"/>
    <w:rsid w:val="1DFC5A22"/>
    <w:rsid w:val="1E029AF7"/>
    <w:rsid w:val="1E3603CD"/>
    <w:rsid w:val="1E379522"/>
    <w:rsid w:val="1E3CD2B4"/>
    <w:rsid w:val="1E3F4414"/>
    <w:rsid w:val="1E439817"/>
    <w:rsid w:val="1E484C32"/>
    <w:rsid w:val="1E4875AB"/>
    <w:rsid w:val="1E4DE410"/>
    <w:rsid w:val="1E596BC7"/>
    <w:rsid w:val="1E5A4B28"/>
    <w:rsid w:val="1E7C5F48"/>
    <w:rsid w:val="1E83A912"/>
    <w:rsid w:val="1E95EFDD"/>
    <w:rsid w:val="1EA396D5"/>
    <w:rsid w:val="1EAD2A53"/>
    <w:rsid w:val="1EBE15E1"/>
    <w:rsid w:val="1ECA496C"/>
    <w:rsid w:val="1ED8619B"/>
    <w:rsid w:val="1ED8FB02"/>
    <w:rsid w:val="1EDA1ECE"/>
    <w:rsid w:val="1EDFC740"/>
    <w:rsid w:val="1EEB157E"/>
    <w:rsid w:val="1EF784E4"/>
    <w:rsid w:val="1EF8B663"/>
    <w:rsid w:val="1EF8EBAB"/>
    <w:rsid w:val="1F0121E4"/>
    <w:rsid w:val="1F1B4334"/>
    <w:rsid w:val="1F1EB7ED"/>
    <w:rsid w:val="1F2BC186"/>
    <w:rsid w:val="1F302D2D"/>
    <w:rsid w:val="1F3D2C25"/>
    <w:rsid w:val="1F40DEDC"/>
    <w:rsid w:val="1F46B765"/>
    <w:rsid w:val="1F473774"/>
    <w:rsid w:val="1F57A8E4"/>
    <w:rsid w:val="1F62F847"/>
    <w:rsid w:val="1F718D56"/>
    <w:rsid w:val="1F7FE9C1"/>
    <w:rsid w:val="1F82DB80"/>
    <w:rsid w:val="1F8B5AA7"/>
    <w:rsid w:val="1F8E8139"/>
    <w:rsid w:val="1F941FAA"/>
    <w:rsid w:val="1F969CA2"/>
    <w:rsid w:val="1FA6BF97"/>
    <w:rsid w:val="1FB9A345"/>
    <w:rsid w:val="1FBA5DF7"/>
    <w:rsid w:val="1FC0F8A8"/>
    <w:rsid w:val="1FC448A1"/>
    <w:rsid w:val="1FD03ACC"/>
    <w:rsid w:val="1FD363FE"/>
    <w:rsid w:val="1FD5CBEB"/>
    <w:rsid w:val="1FDFEFED"/>
    <w:rsid w:val="1FE26611"/>
    <w:rsid w:val="1FE437A4"/>
    <w:rsid w:val="1FEF0E6A"/>
    <w:rsid w:val="1FF03790"/>
    <w:rsid w:val="20001910"/>
    <w:rsid w:val="200F692B"/>
    <w:rsid w:val="2014078D"/>
    <w:rsid w:val="20182FA9"/>
    <w:rsid w:val="203B575A"/>
    <w:rsid w:val="20500224"/>
    <w:rsid w:val="2050195E"/>
    <w:rsid w:val="2088763B"/>
    <w:rsid w:val="2089B407"/>
    <w:rsid w:val="208B4629"/>
    <w:rsid w:val="208D97C2"/>
    <w:rsid w:val="20934825"/>
    <w:rsid w:val="2093CCE2"/>
    <w:rsid w:val="209A7E96"/>
    <w:rsid w:val="209C6E02"/>
    <w:rsid w:val="209CF245"/>
    <w:rsid w:val="20A45D65"/>
    <w:rsid w:val="20A51644"/>
    <w:rsid w:val="20AFBFD8"/>
    <w:rsid w:val="20B0DD52"/>
    <w:rsid w:val="20BBB7D3"/>
    <w:rsid w:val="20C6F0A2"/>
    <w:rsid w:val="20CAE605"/>
    <w:rsid w:val="20D0BC9A"/>
    <w:rsid w:val="20DEA968"/>
    <w:rsid w:val="20E6368A"/>
    <w:rsid w:val="20E9FC11"/>
    <w:rsid w:val="20FC0DD7"/>
    <w:rsid w:val="2110DD78"/>
    <w:rsid w:val="211FF98E"/>
    <w:rsid w:val="21211895"/>
    <w:rsid w:val="21225A18"/>
    <w:rsid w:val="2124497D"/>
    <w:rsid w:val="212D1D87"/>
    <w:rsid w:val="212E934B"/>
    <w:rsid w:val="212FF00B"/>
    <w:rsid w:val="2132E446"/>
    <w:rsid w:val="21397CEA"/>
    <w:rsid w:val="213B1CEC"/>
    <w:rsid w:val="213C78F6"/>
    <w:rsid w:val="2143E969"/>
    <w:rsid w:val="215895B0"/>
    <w:rsid w:val="21599852"/>
    <w:rsid w:val="2160A13B"/>
    <w:rsid w:val="2162FA4D"/>
    <w:rsid w:val="2180D552"/>
    <w:rsid w:val="21A37B53"/>
    <w:rsid w:val="21B3CCF6"/>
    <w:rsid w:val="21C9D027"/>
    <w:rsid w:val="21D7CD33"/>
    <w:rsid w:val="21EE9448"/>
    <w:rsid w:val="21FE6973"/>
    <w:rsid w:val="22076743"/>
    <w:rsid w:val="2211F164"/>
    <w:rsid w:val="2215ED7D"/>
    <w:rsid w:val="221D539B"/>
    <w:rsid w:val="22462F6A"/>
    <w:rsid w:val="224A896B"/>
    <w:rsid w:val="22536F2D"/>
    <w:rsid w:val="2255B62A"/>
    <w:rsid w:val="225D8B1A"/>
    <w:rsid w:val="225F4F31"/>
    <w:rsid w:val="22724AD2"/>
    <w:rsid w:val="22772104"/>
    <w:rsid w:val="227A2B06"/>
    <w:rsid w:val="228BA7E9"/>
    <w:rsid w:val="229CB893"/>
    <w:rsid w:val="22B5DE90"/>
    <w:rsid w:val="22C019DE"/>
    <w:rsid w:val="22DF5E22"/>
    <w:rsid w:val="22EBA170"/>
    <w:rsid w:val="22F05090"/>
    <w:rsid w:val="22F539EC"/>
    <w:rsid w:val="22FA07C5"/>
    <w:rsid w:val="2317A504"/>
    <w:rsid w:val="231830E6"/>
    <w:rsid w:val="2321A8AC"/>
    <w:rsid w:val="23230848"/>
    <w:rsid w:val="23288E5D"/>
    <w:rsid w:val="232CC800"/>
    <w:rsid w:val="234B6F1D"/>
    <w:rsid w:val="234F569E"/>
    <w:rsid w:val="23508578"/>
    <w:rsid w:val="235B9BAF"/>
    <w:rsid w:val="236D8147"/>
    <w:rsid w:val="239C93C9"/>
    <w:rsid w:val="23ADAEB0"/>
    <w:rsid w:val="23C2234B"/>
    <w:rsid w:val="23C3A977"/>
    <w:rsid w:val="23C9B2E3"/>
    <w:rsid w:val="23D1332C"/>
    <w:rsid w:val="23DC5A99"/>
    <w:rsid w:val="23E87E14"/>
    <w:rsid w:val="23EA0443"/>
    <w:rsid w:val="23EB2DB0"/>
    <w:rsid w:val="2400743D"/>
    <w:rsid w:val="24090083"/>
    <w:rsid w:val="2418E5C4"/>
    <w:rsid w:val="2419958D"/>
    <w:rsid w:val="24206777"/>
    <w:rsid w:val="242F55DD"/>
    <w:rsid w:val="243C50D2"/>
    <w:rsid w:val="247B2E83"/>
    <w:rsid w:val="248E16A7"/>
    <w:rsid w:val="248EDECC"/>
    <w:rsid w:val="24969FBB"/>
    <w:rsid w:val="249BD49C"/>
    <w:rsid w:val="24A6415A"/>
    <w:rsid w:val="24A8DD78"/>
    <w:rsid w:val="24AB231C"/>
    <w:rsid w:val="24B012B4"/>
    <w:rsid w:val="24BC6ECB"/>
    <w:rsid w:val="24CB27BC"/>
    <w:rsid w:val="24CBB102"/>
    <w:rsid w:val="24CD2B67"/>
    <w:rsid w:val="24CF1E57"/>
    <w:rsid w:val="24D6AA63"/>
    <w:rsid w:val="24D9B650"/>
    <w:rsid w:val="24DDDAC1"/>
    <w:rsid w:val="24E2D5CF"/>
    <w:rsid w:val="24F18E9E"/>
    <w:rsid w:val="251E8EFA"/>
    <w:rsid w:val="2520ADFA"/>
    <w:rsid w:val="2528549F"/>
    <w:rsid w:val="25319552"/>
    <w:rsid w:val="253EF7C5"/>
    <w:rsid w:val="254A76E3"/>
    <w:rsid w:val="254DF25D"/>
    <w:rsid w:val="255F2B75"/>
    <w:rsid w:val="256BA7BB"/>
    <w:rsid w:val="259B030A"/>
    <w:rsid w:val="25A37B65"/>
    <w:rsid w:val="25A3E083"/>
    <w:rsid w:val="25AB2149"/>
    <w:rsid w:val="25BEEAAF"/>
    <w:rsid w:val="25C47A55"/>
    <w:rsid w:val="25CE3B94"/>
    <w:rsid w:val="25EBAE96"/>
    <w:rsid w:val="25FBFA50"/>
    <w:rsid w:val="2604AB43"/>
    <w:rsid w:val="2614A655"/>
    <w:rsid w:val="261FC8E6"/>
    <w:rsid w:val="262F08ED"/>
    <w:rsid w:val="263758F2"/>
    <w:rsid w:val="2639AFD5"/>
    <w:rsid w:val="263E6C24"/>
    <w:rsid w:val="26495D62"/>
    <w:rsid w:val="26581588"/>
    <w:rsid w:val="2671931F"/>
    <w:rsid w:val="2686F143"/>
    <w:rsid w:val="26A84BD7"/>
    <w:rsid w:val="26B6C0B9"/>
    <w:rsid w:val="26C927C6"/>
    <w:rsid w:val="26C9CBF9"/>
    <w:rsid w:val="26D26A98"/>
    <w:rsid w:val="26D8D405"/>
    <w:rsid w:val="26DD5913"/>
    <w:rsid w:val="26E1FB6E"/>
    <w:rsid w:val="26E33824"/>
    <w:rsid w:val="26EB0919"/>
    <w:rsid w:val="27046BC2"/>
    <w:rsid w:val="2711C010"/>
    <w:rsid w:val="272FE35B"/>
    <w:rsid w:val="274323A9"/>
    <w:rsid w:val="27464845"/>
    <w:rsid w:val="27474826"/>
    <w:rsid w:val="274BF171"/>
    <w:rsid w:val="275321CF"/>
    <w:rsid w:val="27608B91"/>
    <w:rsid w:val="27636720"/>
    <w:rsid w:val="2763E1A2"/>
    <w:rsid w:val="27711812"/>
    <w:rsid w:val="277E3315"/>
    <w:rsid w:val="27808188"/>
    <w:rsid w:val="2784A019"/>
    <w:rsid w:val="2787B44B"/>
    <w:rsid w:val="278CE0D7"/>
    <w:rsid w:val="27970C8B"/>
    <w:rsid w:val="27997AAA"/>
    <w:rsid w:val="27A40103"/>
    <w:rsid w:val="27A7257C"/>
    <w:rsid w:val="27ACB35E"/>
    <w:rsid w:val="27C07DA8"/>
    <w:rsid w:val="27D80ED2"/>
    <w:rsid w:val="27DFC9BF"/>
    <w:rsid w:val="27E0A919"/>
    <w:rsid w:val="27E440AB"/>
    <w:rsid w:val="27F13514"/>
    <w:rsid w:val="27F9A0DB"/>
    <w:rsid w:val="27F9FEDE"/>
    <w:rsid w:val="27FC103D"/>
    <w:rsid w:val="27FEED42"/>
    <w:rsid w:val="28002D35"/>
    <w:rsid w:val="2810BA9B"/>
    <w:rsid w:val="2817B89C"/>
    <w:rsid w:val="281883A0"/>
    <w:rsid w:val="282ABBDD"/>
    <w:rsid w:val="283BA584"/>
    <w:rsid w:val="283FDD7A"/>
    <w:rsid w:val="284713E5"/>
    <w:rsid w:val="2847FC0D"/>
    <w:rsid w:val="284ACBD8"/>
    <w:rsid w:val="285093EF"/>
    <w:rsid w:val="28528D12"/>
    <w:rsid w:val="28593E3F"/>
    <w:rsid w:val="2860B5A4"/>
    <w:rsid w:val="286604A4"/>
    <w:rsid w:val="286ABA9E"/>
    <w:rsid w:val="286B9A3F"/>
    <w:rsid w:val="286D9DB9"/>
    <w:rsid w:val="286FEB13"/>
    <w:rsid w:val="28788233"/>
    <w:rsid w:val="287BE663"/>
    <w:rsid w:val="287F8E9C"/>
    <w:rsid w:val="28811CC8"/>
    <w:rsid w:val="28870B2A"/>
    <w:rsid w:val="288A69EB"/>
    <w:rsid w:val="288CD71F"/>
    <w:rsid w:val="289B6DBD"/>
    <w:rsid w:val="28A3E120"/>
    <w:rsid w:val="28B14AEB"/>
    <w:rsid w:val="28B5EAA0"/>
    <w:rsid w:val="28BAE73D"/>
    <w:rsid w:val="28C89B9F"/>
    <w:rsid w:val="28CF7E4E"/>
    <w:rsid w:val="28D2D249"/>
    <w:rsid w:val="28E12C3A"/>
    <w:rsid w:val="28ED5053"/>
    <w:rsid w:val="28FAB88D"/>
    <w:rsid w:val="2912F4EF"/>
    <w:rsid w:val="291443B9"/>
    <w:rsid w:val="291C6E8B"/>
    <w:rsid w:val="2926A047"/>
    <w:rsid w:val="292DE634"/>
    <w:rsid w:val="2937426D"/>
    <w:rsid w:val="293F5384"/>
    <w:rsid w:val="2946AEDB"/>
    <w:rsid w:val="294A0E21"/>
    <w:rsid w:val="295C0608"/>
    <w:rsid w:val="2964E41A"/>
    <w:rsid w:val="296F48F2"/>
    <w:rsid w:val="29713727"/>
    <w:rsid w:val="2979FD4C"/>
    <w:rsid w:val="2985B001"/>
    <w:rsid w:val="2989D637"/>
    <w:rsid w:val="298FB64A"/>
    <w:rsid w:val="29AEA53C"/>
    <w:rsid w:val="29B1A87C"/>
    <w:rsid w:val="29BAFE86"/>
    <w:rsid w:val="29C0F08C"/>
    <w:rsid w:val="29E0E13F"/>
    <w:rsid w:val="29EC7EB0"/>
    <w:rsid w:val="29ED62A2"/>
    <w:rsid w:val="2A1548B2"/>
    <w:rsid w:val="2A20F34C"/>
    <w:rsid w:val="2A28DF93"/>
    <w:rsid w:val="2A2B9DA1"/>
    <w:rsid w:val="2A2FDF7C"/>
    <w:rsid w:val="2A320DCE"/>
    <w:rsid w:val="2A323C43"/>
    <w:rsid w:val="2A341694"/>
    <w:rsid w:val="2A37D4F1"/>
    <w:rsid w:val="2A38F467"/>
    <w:rsid w:val="2A46C621"/>
    <w:rsid w:val="2A4B43A3"/>
    <w:rsid w:val="2A4CD13C"/>
    <w:rsid w:val="2A4FD384"/>
    <w:rsid w:val="2A51BB01"/>
    <w:rsid w:val="2A5CFBED"/>
    <w:rsid w:val="2A5EB5DF"/>
    <w:rsid w:val="2A6520E7"/>
    <w:rsid w:val="2A801F81"/>
    <w:rsid w:val="2A8F9469"/>
    <w:rsid w:val="2A9B2E0E"/>
    <w:rsid w:val="2A9E9761"/>
    <w:rsid w:val="2AA170B9"/>
    <w:rsid w:val="2AA39CE1"/>
    <w:rsid w:val="2AA8D484"/>
    <w:rsid w:val="2AAC6148"/>
    <w:rsid w:val="2AB2230C"/>
    <w:rsid w:val="2ABEB99C"/>
    <w:rsid w:val="2AC28B1A"/>
    <w:rsid w:val="2AC9810B"/>
    <w:rsid w:val="2AD6D251"/>
    <w:rsid w:val="2AE4DB9D"/>
    <w:rsid w:val="2AE6C571"/>
    <w:rsid w:val="2AF21D04"/>
    <w:rsid w:val="2AFA4DF2"/>
    <w:rsid w:val="2B26DF90"/>
    <w:rsid w:val="2B29660E"/>
    <w:rsid w:val="2B2B86AB"/>
    <w:rsid w:val="2B2BC845"/>
    <w:rsid w:val="2B36C867"/>
    <w:rsid w:val="2B43174F"/>
    <w:rsid w:val="2B4810E5"/>
    <w:rsid w:val="2B50A843"/>
    <w:rsid w:val="2B5F2C98"/>
    <w:rsid w:val="2B6E7CD5"/>
    <w:rsid w:val="2B7495B0"/>
    <w:rsid w:val="2B75E480"/>
    <w:rsid w:val="2B8A024B"/>
    <w:rsid w:val="2B8D2F93"/>
    <w:rsid w:val="2B964F06"/>
    <w:rsid w:val="2BA802F0"/>
    <w:rsid w:val="2BDB663F"/>
    <w:rsid w:val="2BE3E04A"/>
    <w:rsid w:val="2BE7F583"/>
    <w:rsid w:val="2BF63F95"/>
    <w:rsid w:val="2BF64F72"/>
    <w:rsid w:val="2BFB6BD3"/>
    <w:rsid w:val="2C04BC36"/>
    <w:rsid w:val="2C1AAD3E"/>
    <w:rsid w:val="2C1E6569"/>
    <w:rsid w:val="2C258AA8"/>
    <w:rsid w:val="2C2B3087"/>
    <w:rsid w:val="2C303B93"/>
    <w:rsid w:val="2C3178F8"/>
    <w:rsid w:val="2C32CBD9"/>
    <w:rsid w:val="2C376347"/>
    <w:rsid w:val="2C3999D1"/>
    <w:rsid w:val="2C3B111E"/>
    <w:rsid w:val="2C3BBB4F"/>
    <w:rsid w:val="2C4105C0"/>
    <w:rsid w:val="2C44B947"/>
    <w:rsid w:val="2C471C7D"/>
    <w:rsid w:val="2C4EA608"/>
    <w:rsid w:val="2C54AC8A"/>
    <w:rsid w:val="2C55CAED"/>
    <w:rsid w:val="2C6039E0"/>
    <w:rsid w:val="2C64E29D"/>
    <w:rsid w:val="2C65CBB3"/>
    <w:rsid w:val="2C66539A"/>
    <w:rsid w:val="2C7352FD"/>
    <w:rsid w:val="2C864068"/>
    <w:rsid w:val="2C9FDA06"/>
    <w:rsid w:val="2CA6F95C"/>
    <w:rsid w:val="2CAB15B5"/>
    <w:rsid w:val="2CB0E5FF"/>
    <w:rsid w:val="2CBB6202"/>
    <w:rsid w:val="2CC40D5C"/>
    <w:rsid w:val="2CC4E314"/>
    <w:rsid w:val="2CC71AE6"/>
    <w:rsid w:val="2CCAA832"/>
    <w:rsid w:val="2CD5D5C8"/>
    <w:rsid w:val="2CE13AAF"/>
    <w:rsid w:val="2CE39584"/>
    <w:rsid w:val="2CE4A918"/>
    <w:rsid w:val="2CE626E0"/>
    <w:rsid w:val="2CED261A"/>
    <w:rsid w:val="2CF68A35"/>
    <w:rsid w:val="2CFAE9A1"/>
    <w:rsid w:val="2D003D35"/>
    <w:rsid w:val="2D04FD8B"/>
    <w:rsid w:val="2D0AB0C1"/>
    <w:rsid w:val="2D10C027"/>
    <w:rsid w:val="2D1127CC"/>
    <w:rsid w:val="2D13EC01"/>
    <w:rsid w:val="2D256906"/>
    <w:rsid w:val="2D2744F0"/>
    <w:rsid w:val="2D2C464D"/>
    <w:rsid w:val="2D3A2715"/>
    <w:rsid w:val="2D4512EF"/>
    <w:rsid w:val="2D48ACF9"/>
    <w:rsid w:val="2D4C235D"/>
    <w:rsid w:val="2D5AD8E5"/>
    <w:rsid w:val="2D606006"/>
    <w:rsid w:val="2D62F4ED"/>
    <w:rsid w:val="2D6C1ACA"/>
    <w:rsid w:val="2D6EF327"/>
    <w:rsid w:val="2D7B754D"/>
    <w:rsid w:val="2D88B03B"/>
    <w:rsid w:val="2DAD038D"/>
    <w:rsid w:val="2DBFCC2E"/>
    <w:rsid w:val="2DC7614B"/>
    <w:rsid w:val="2DC97863"/>
    <w:rsid w:val="2DCEBBD1"/>
    <w:rsid w:val="2DD70051"/>
    <w:rsid w:val="2DF810EC"/>
    <w:rsid w:val="2DFE0EDC"/>
    <w:rsid w:val="2E018C9B"/>
    <w:rsid w:val="2E047A06"/>
    <w:rsid w:val="2E071198"/>
    <w:rsid w:val="2E144F76"/>
    <w:rsid w:val="2E1B9F99"/>
    <w:rsid w:val="2E1CCC31"/>
    <w:rsid w:val="2E361851"/>
    <w:rsid w:val="2E66AF50"/>
    <w:rsid w:val="2E77A886"/>
    <w:rsid w:val="2EBE6E07"/>
    <w:rsid w:val="2ECB7ED3"/>
    <w:rsid w:val="2EDA242F"/>
    <w:rsid w:val="2EE00593"/>
    <w:rsid w:val="2EE27CC7"/>
    <w:rsid w:val="2EE86280"/>
    <w:rsid w:val="2EEE673A"/>
    <w:rsid w:val="2EF0EB05"/>
    <w:rsid w:val="2F189532"/>
    <w:rsid w:val="2F481614"/>
    <w:rsid w:val="2F5AD4E7"/>
    <w:rsid w:val="2F606D7F"/>
    <w:rsid w:val="2F7258BB"/>
    <w:rsid w:val="2F7FF4A2"/>
    <w:rsid w:val="2F97306C"/>
    <w:rsid w:val="2FA1ACBB"/>
    <w:rsid w:val="2FA76B5E"/>
    <w:rsid w:val="2FB31856"/>
    <w:rsid w:val="2FBC2321"/>
    <w:rsid w:val="2FC362A3"/>
    <w:rsid w:val="2FC4B507"/>
    <w:rsid w:val="2FC82EEE"/>
    <w:rsid w:val="2FDC57BE"/>
    <w:rsid w:val="2FDF3863"/>
    <w:rsid w:val="2FE06804"/>
    <w:rsid w:val="2FE09F78"/>
    <w:rsid w:val="2FEDB9A8"/>
    <w:rsid w:val="2FEF1C0E"/>
    <w:rsid w:val="2FF1AA38"/>
    <w:rsid w:val="2FF64CD0"/>
    <w:rsid w:val="300248F4"/>
    <w:rsid w:val="30026651"/>
    <w:rsid w:val="3016068E"/>
    <w:rsid w:val="304780E0"/>
    <w:rsid w:val="3056F505"/>
    <w:rsid w:val="305BC034"/>
    <w:rsid w:val="305F947F"/>
    <w:rsid w:val="3060BDBD"/>
    <w:rsid w:val="306F3BE5"/>
    <w:rsid w:val="3077F792"/>
    <w:rsid w:val="307B6128"/>
    <w:rsid w:val="307B6CC7"/>
    <w:rsid w:val="308600ED"/>
    <w:rsid w:val="308BB5AF"/>
    <w:rsid w:val="30963F7C"/>
    <w:rsid w:val="3096DB89"/>
    <w:rsid w:val="30A2C068"/>
    <w:rsid w:val="30AB67FC"/>
    <w:rsid w:val="30BA3EB9"/>
    <w:rsid w:val="30C54C43"/>
    <w:rsid w:val="30C73FDF"/>
    <w:rsid w:val="30DFC221"/>
    <w:rsid w:val="30E7838B"/>
    <w:rsid w:val="30F009EC"/>
    <w:rsid w:val="310D7DA4"/>
    <w:rsid w:val="310E5675"/>
    <w:rsid w:val="311209CF"/>
    <w:rsid w:val="3112F7AC"/>
    <w:rsid w:val="312D02E1"/>
    <w:rsid w:val="3136C4CC"/>
    <w:rsid w:val="31373AE7"/>
    <w:rsid w:val="31572394"/>
    <w:rsid w:val="316D01E7"/>
    <w:rsid w:val="3171CB78"/>
    <w:rsid w:val="31766C2D"/>
    <w:rsid w:val="317C1B7B"/>
    <w:rsid w:val="318D2551"/>
    <w:rsid w:val="318DB0A5"/>
    <w:rsid w:val="318FAFAF"/>
    <w:rsid w:val="31918206"/>
    <w:rsid w:val="3197CBF1"/>
    <w:rsid w:val="319D6B8E"/>
    <w:rsid w:val="31A87CC4"/>
    <w:rsid w:val="31B0FB77"/>
    <w:rsid w:val="31B4E4AC"/>
    <w:rsid w:val="31B88772"/>
    <w:rsid w:val="31B9DD54"/>
    <w:rsid w:val="31BB4A89"/>
    <w:rsid w:val="31C847B9"/>
    <w:rsid w:val="31C95627"/>
    <w:rsid w:val="31D6EC48"/>
    <w:rsid w:val="31D8E1A4"/>
    <w:rsid w:val="31DBCA4D"/>
    <w:rsid w:val="31DD8D28"/>
    <w:rsid w:val="31EAA101"/>
    <w:rsid w:val="31EDF62B"/>
    <w:rsid w:val="31FCEFA0"/>
    <w:rsid w:val="320180A8"/>
    <w:rsid w:val="3201FE64"/>
    <w:rsid w:val="320927F2"/>
    <w:rsid w:val="320CFBAF"/>
    <w:rsid w:val="320DBF09"/>
    <w:rsid w:val="320E5141"/>
    <w:rsid w:val="3213459D"/>
    <w:rsid w:val="32136496"/>
    <w:rsid w:val="32153139"/>
    <w:rsid w:val="3215568B"/>
    <w:rsid w:val="32159F55"/>
    <w:rsid w:val="32354375"/>
    <w:rsid w:val="323B1DE5"/>
    <w:rsid w:val="323C04A8"/>
    <w:rsid w:val="3242F901"/>
    <w:rsid w:val="32465FB3"/>
    <w:rsid w:val="32479B6D"/>
    <w:rsid w:val="32489465"/>
    <w:rsid w:val="324AE687"/>
    <w:rsid w:val="326358AB"/>
    <w:rsid w:val="3268152F"/>
    <w:rsid w:val="326B91C0"/>
    <w:rsid w:val="327813F6"/>
    <w:rsid w:val="328A0FCB"/>
    <w:rsid w:val="32905C22"/>
    <w:rsid w:val="3293E628"/>
    <w:rsid w:val="329B185C"/>
    <w:rsid w:val="32A82AD8"/>
    <w:rsid w:val="32B3FACB"/>
    <w:rsid w:val="3325E648"/>
    <w:rsid w:val="33339C6A"/>
    <w:rsid w:val="333F9A93"/>
    <w:rsid w:val="33420791"/>
    <w:rsid w:val="33526082"/>
    <w:rsid w:val="33550B85"/>
    <w:rsid w:val="33589847"/>
    <w:rsid w:val="336340D8"/>
    <w:rsid w:val="3370D476"/>
    <w:rsid w:val="33777D72"/>
    <w:rsid w:val="33795ECF"/>
    <w:rsid w:val="3391DF2A"/>
    <w:rsid w:val="339B25A4"/>
    <w:rsid w:val="33AD4B15"/>
    <w:rsid w:val="33C05681"/>
    <w:rsid w:val="33D64CA2"/>
    <w:rsid w:val="33DB5C4E"/>
    <w:rsid w:val="33DE6B4F"/>
    <w:rsid w:val="33E7CBF8"/>
    <w:rsid w:val="33E957CA"/>
    <w:rsid w:val="33EE18AE"/>
    <w:rsid w:val="33EFA12E"/>
    <w:rsid w:val="33F99308"/>
    <w:rsid w:val="33F9ED4E"/>
    <w:rsid w:val="33FA7740"/>
    <w:rsid w:val="33FF8953"/>
    <w:rsid w:val="3405FBF0"/>
    <w:rsid w:val="340AC704"/>
    <w:rsid w:val="340C032D"/>
    <w:rsid w:val="3410A3AA"/>
    <w:rsid w:val="341497BD"/>
    <w:rsid w:val="34290040"/>
    <w:rsid w:val="3436835F"/>
    <w:rsid w:val="344048DE"/>
    <w:rsid w:val="3452065F"/>
    <w:rsid w:val="3461C46B"/>
    <w:rsid w:val="34719C44"/>
    <w:rsid w:val="3473CAF9"/>
    <w:rsid w:val="34747F5A"/>
    <w:rsid w:val="3478ED4D"/>
    <w:rsid w:val="34870C9E"/>
    <w:rsid w:val="3492A902"/>
    <w:rsid w:val="349B4BF4"/>
    <w:rsid w:val="349EFA78"/>
    <w:rsid w:val="349F9CC7"/>
    <w:rsid w:val="34B410FD"/>
    <w:rsid w:val="34BD1F20"/>
    <w:rsid w:val="34C2DDB8"/>
    <w:rsid w:val="34C95484"/>
    <w:rsid w:val="34CBE9C5"/>
    <w:rsid w:val="34D53375"/>
    <w:rsid w:val="34DE8918"/>
    <w:rsid w:val="34E94465"/>
    <w:rsid w:val="34EBE688"/>
    <w:rsid w:val="34F113A2"/>
    <w:rsid w:val="34F93385"/>
    <w:rsid w:val="34F9A78F"/>
    <w:rsid w:val="34FCA6EB"/>
    <w:rsid w:val="34FF1139"/>
    <w:rsid w:val="35039854"/>
    <w:rsid w:val="351363D1"/>
    <w:rsid w:val="35149007"/>
    <w:rsid w:val="3518A4B0"/>
    <w:rsid w:val="3529BE3B"/>
    <w:rsid w:val="352DB864"/>
    <w:rsid w:val="352E9AEA"/>
    <w:rsid w:val="3535BCD9"/>
    <w:rsid w:val="3538FEBA"/>
    <w:rsid w:val="353DB55A"/>
    <w:rsid w:val="35411192"/>
    <w:rsid w:val="3565B46F"/>
    <w:rsid w:val="3570970F"/>
    <w:rsid w:val="3574131A"/>
    <w:rsid w:val="35805D56"/>
    <w:rsid w:val="358DF64A"/>
    <w:rsid w:val="3592FC5D"/>
    <w:rsid w:val="3595CDAD"/>
    <w:rsid w:val="3597CFE1"/>
    <w:rsid w:val="35A47CB6"/>
    <w:rsid w:val="35B9145A"/>
    <w:rsid w:val="35C56B16"/>
    <w:rsid w:val="35CB9096"/>
    <w:rsid w:val="35CF36AF"/>
    <w:rsid w:val="35D90D98"/>
    <w:rsid w:val="35DB8914"/>
    <w:rsid w:val="35EA336A"/>
    <w:rsid w:val="35F04B1B"/>
    <w:rsid w:val="35FCEE24"/>
    <w:rsid w:val="36133361"/>
    <w:rsid w:val="361C9B13"/>
    <w:rsid w:val="362825FA"/>
    <w:rsid w:val="362A3EC5"/>
    <w:rsid w:val="362CDDCC"/>
    <w:rsid w:val="36399E1D"/>
    <w:rsid w:val="36405C4C"/>
    <w:rsid w:val="36531A35"/>
    <w:rsid w:val="36574C5B"/>
    <w:rsid w:val="3676EB90"/>
    <w:rsid w:val="367DAC02"/>
    <w:rsid w:val="3696FF2A"/>
    <w:rsid w:val="36A8A86D"/>
    <w:rsid w:val="36A9093A"/>
    <w:rsid w:val="36A9A421"/>
    <w:rsid w:val="36B70121"/>
    <w:rsid w:val="36B74857"/>
    <w:rsid w:val="36C8AFEB"/>
    <w:rsid w:val="36CCBF47"/>
    <w:rsid w:val="36D4ED86"/>
    <w:rsid w:val="36D7E18D"/>
    <w:rsid w:val="36DDCAB4"/>
    <w:rsid w:val="36E38565"/>
    <w:rsid w:val="36FD5474"/>
    <w:rsid w:val="370BA423"/>
    <w:rsid w:val="370E69C2"/>
    <w:rsid w:val="3710F14C"/>
    <w:rsid w:val="371E57AA"/>
    <w:rsid w:val="371EA94A"/>
    <w:rsid w:val="372E7D96"/>
    <w:rsid w:val="373B7EF5"/>
    <w:rsid w:val="373E3026"/>
    <w:rsid w:val="3749A90C"/>
    <w:rsid w:val="374E33A1"/>
    <w:rsid w:val="375B0991"/>
    <w:rsid w:val="376391DE"/>
    <w:rsid w:val="376DD452"/>
    <w:rsid w:val="3779B58F"/>
    <w:rsid w:val="377F60F9"/>
    <w:rsid w:val="37951E97"/>
    <w:rsid w:val="379625AB"/>
    <w:rsid w:val="37984156"/>
    <w:rsid w:val="37A48608"/>
    <w:rsid w:val="37B6FA84"/>
    <w:rsid w:val="37C824F6"/>
    <w:rsid w:val="37E2818F"/>
    <w:rsid w:val="37EE770F"/>
    <w:rsid w:val="37F2E79D"/>
    <w:rsid w:val="38028723"/>
    <w:rsid w:val="3803EC18"/>
    <w:rsid w:val="38051628"/>
    <w:rsid w:val="3806171F"/>
    <w:rsid w:val="381D0838"/>
    <w:rsid w:val="381DD13D"/>
    <w:rsid w:val="381EA8A9"/>
    <w:rsid w:val="38203CFB"/>
    <w:rsid w:val="384E4D5C"/>
    <w:rsid w:val="38579038"/>
    <w:rsid w:val="385A234F"/>
    <w:rsid w:val="385B66AF"/>
    <w:rsid w:val="385E44FA"/>
    <w:rsid w:val="385EAAC6"/>
    <w:rsid w:val="3865F3CD"/>
    <w:rsid w:val="386808D6"/>
    <w:rsid w:val="386AA664"/>
    <w:rsid w:val="3874DDCE"/>
    <w:rsid w:val="388B0007"/>
    <w:rsid w:val="3892D19D"/>
    <w:rsid w:val="38A039B1"/>
    <w:rsid w:val="38A2D3F8"/>
    <w:rsid w:val="38B06108"/>
    <w:rsid w:val="38BA280B"/>
    <w:rsid w:val="38C6568B"/>
    <w:rsid w:val="38CDC120"/>
    <w:rsid w:val="38D25035"/>
    <w:rsid w:val="38E7A47C"/>
    <w:rsid w:val="38EA0402"/>
    <w:rsid w:val="38F0B51C"/>
    <w:rsid w:val="38FEF831"/>
    <w:rsid w:val="3911AF53"/>
    <w:rsid w:val="39246BD3"/>
    <w:rsid w:val="39268EC6"/>
    <w:rsid w:val="3937752B"/>
    <w:rsid w:val="3938723C"/>
    <w:rsid w:val="3945B7F2"/>
    <w:rsid w:val="3951C37D"/>
    <w:rsid w:val="39534C42"/>
    <w:rsid w:val="39543246"/>
    <w:rsid w:val="3958035D"/>
    <w:rsid w:val="396E21ED"/>
    <w:rsid w:val="3972F9DE"/>
    <w:rsid w:val="397805D9"/>
    <w:rsid w:val="3989DC45"/>
    <w:rsid w:val="3991FDAA"/>
    <w:rsid w:val="399470AE"/>
    <w:rsid w:val="3994A97E"/>
    <w:rsid w:val="3998D1DE"/>
    <w:rsid w:val="399D1EB7"/>
    <w:rsid w:val="39A381D2"/>
    <w:rsid w:val="39AADBD0"/>
    <w:rsid w:val="39AED2F2"/>
    <w:rsid w:val="39BF6F46"/>
    <w:rsid w:val="39D3B11A"/>
    <w:rsid w:val="39D3CADC"/>
    <w:rsid w:val="39D3D3D1"/>
    <w:rsid w:val="39DCCBF3"/>
    <w:rsid w:val="39E081CB"/>
    <w:rsid w:val="39F05572"/>
    <w:rsid w:val="3A0D1049"/>
    <w:rsid w:val="3A186842"/>
    <w:rsid w:val="3A1E1AAA"/>
    <w:rsid w:val="3A29924E"/>
    <w:rsid w:val="3A3AF06C"/>
    <w:rsid w:val="3A3BA874"/>
    <w:rsid w:val="3A4428AD"/>
    <w:rsid w:val="3A451002"/>
    <w:rsid w:val="3A487F76"/>
    <w:rsid w:val="3A4E168D"/>
    <w:rsid w:val="3A614F21"/>
    <w:rsid w:val="3A63ED6D"/>
    <w:rsid w:val="3A6FDC26"/>
    <w:rsid w:val="3A72AFE6"/>
    <w:rsid w:val="3A785816"/>
    <w:rsid w:val="3A8C26CA"/>
    <w:rsid w:val="3A9D271D"/>
    <w:rsid w:val="3A9DCFA8"/>
    <w:rsid w:val="3AB2328F"/>
    <w:rsid w:val="3ADFA837"/>
    <w:rsid w:val="3AE5B469"/>
    <w:rsid w:val="3AEE511E"/>
    <w:rsid w:val="3AF69E07"/>
    <w:rsid w:val="3AFFCEE9"/>
    <w:rsid w:val="3B23547D"/>
    <w:rsid w:val="3B23BDDB"/>
    <w:rsid w:val="3B3357CB"/>
    <w:rsid w:val="3B345DEB"/>
    <w:rsid w:val="3B3E813D"/>
    <w:rsid w:val="3B42B02D"/>
    <w:rsid w:val="3B4A16AA"/>
    <w:rsid w:val="3B6F4DB0"/>
    <w:rsid w:val="3B6F817B"/>
    <w:rsid w:val="3B71A248"/>
    <w:rsid w:val="3B7D5F31"/>
    <w:rsid w:val="3B8651F4"/>
    <w:rsid w:val="3B98F9FF"/>
    <w:rsid w:val="3B990D97"/>
    <w:rsid w:val="3B9BA5BC"/>
    <w:rsid w:val="3BA47D13"/>
    <w:rsid w:val="3BC1CF91"/>
    <w:rsid w:val="3BCA309D"/>
    <w:rsid w:val="3BD4F261"/>
    <w:rsid w:val="3BE9C60B"/>
    <w:rsid w:val="3BF11294"/>
    <w:rsid w:val="3BFB6245"/>
    <w:rsid w:val="3C1410EB"/>
    <w:rsid w:val="3C20C831"/>
    <w:rsid w:val="3C29D90F"/>
    <w:rsid w:val="3C2C8606"/>
    <w:rsid w:val="3C3024A0"/>
    <w:rsid w:val="3C32BC93"/>
    <w:rsid w:val="3C34D7CC"/>
    <w:rsid w:val="3C3BE6B2"/>
    <w:rsid w:val="3C417E8D"/>
    <w:rsid w:val="3C6079C7"/>
    <w:rsid w:val="3C71E799"/>
    <w:rsid w:val="3C75E940"/>
    <w:rsid w:val="3C850D74"/>
    <w:rsid w:val="3C894D24"/>
    <w:rsid w:val="3C9A417D"/>
    <w:rsid w:val="3C9AC7C7"/>
    <w:rsid w:val="3CAD31CD"/>
    <w:rsid w:val="3CAF28BE"/>
    <w:rsid w:val="3CB37800"/>
    <w:rsid w:val="3CBAF995"/>
    <w:rsid w:val="3CBB34E2"/>
    <w:rsid w:val="3CBBE742"/>
    <w:rsid w:val="3CC108C9"/>
    <w:rsid w:val="3CD030F3"/>
    <w:rsid w:val="3CD16272"/>
    <w:rsid w:val="3CD187C9"/>
    <w:rsid w:val="3CE544DF"/>
    <w:rsid w:val="3CE99AFD"/>
    <w:rsid w:val="3CF00E2D"/>
    <w:rsid w:val="3CF412DE"/>
    <w:rsid w:val="3D018EA8"/>
    <w:rsid w:val="3D104A0A"/>
    <w:rsid w:val="3D186899"/>
    <w:rsid w:val="3D1FC48E"/>
    <w:rsid w:val="3D20A864"/>
    <w:rsid w:val="3D275B0D"/>
    <w:rsid w:val="3D5918CA"/>
    <w:rsid w:val="3D60225F"/>
    <w:rsid w:val="3D76CA7A"/>
    <w:rsid w:val="3D78800E"/>
    <w:rsid w:val="3D7E906C"/>
    <w:rsid w:val="3D8D433C"/>
    <w:rsid w:val="3D8D992E"/>
    <w:rsid w:val="3D9652A7"/>
    <w:rsid w:val="3D9DDA01"/>
    <w:rsid w:val="3DBA9A8B"/>
    <w:rsid w:val="3DBB159F"/>
    <w:rsid w:val="3DD094FB"/>
    <w:rsid w:val="3DD4DD8C"/>
    <w:rsid w:val="3DDAA034"/>
    <w:rsid w:val="3DE378EB"/>
    <w:rsid w:val="3DFEDD9E"/>
    <w:rsid w:val="3E1A4CCE"/>
    <w:rsid w:val="3E1F9147"/>
    <w:rsid w:val="3E1FB59D"/>
    <w:rsid w:val="3E3F37EA"/>
    <w:rsid w:val="3E44AAA7"/>
    <w:rsid w:val="3E4FC720"/>
    <w:rsid w:val="3E528D59"/>
    <w:rsid w:val="3E5CDC77"/>
    <w:rsid w:val="3E643561"/>
    <w:rsid w:val="3E66467A"/>
    <w:rsid w:val="3E6F4FA4"/>
    <w:rsid w:val="3E7CE717"/>
    <w:rsid w:val="3E852125"/>
    <w:rsid w:val="3E856B5E"/>
    <w:rsid w:val="3E88264C"/>
    <w:rsid w:val="3E8F7E7F"/>
    <w:rsid w:val="3E9F00B3"/>
    <w:rsid w:val="3EA0CCDF"/>
    <w:rsid w:val="3EA59407"/>
    <w:rsid w:val="3EB5600D"/>
    <w:rsid w:val="3EC05675"/>
    <w:rsid w:val="3EC9B2EB"/>
    <w:rsid w:val="3EDAF1C1"/>
    <w:rsid w:val="3EDF1082"/>
    <w:rsid w:val="3EECA352"/>
    <w:rsid w:val="3EFDC85A"/>
    <w:rsid w:val="3F066BC5"/>
    <w:rsid w:val="3F08C3FC"/>
    <w:rsid w:val="3F09015E"/>
    <w:rsid w:val="3F10EA5C"/>
    <w:rsid w:val="3F11B608"/>
    <w:rsid w:val="3F34A2E3"/>
    <w:rsid w:val="3F469837"/>
    <w:rsid w:val="3F681A9F"/>
    <w:rsid w:val="3F6E528B"/>
    <w:rsid w:val="3F6F13E4"/>
    <w:rsid w:val="3F713C6B"/>
    <w:rsid w:val="3F7F6364"/>
    <w:rsid w:val="3F92B411"/>
    <w:rsid w:val="3F9444B4"/>
    <w:rsid w:val="3F9BE7A0"/>
    <w:rsid w:val="3FA5692B"/>
    <w:rsid w:val="3FA5EC56"/>
    <w:rsid w:val="3FA790BC"/>
    <w:rsid w:val="3FB61D2F"/>
    <w:rsid w:val="3FB684BA"/>
    <w:rsid w:val="3FBB5726"/>
    <w:rsid w:val="3FC67022"/>
    <w:rsid w:val="3FCC607C"/>
    <w:rsid w:val="3FCCA3BE"/>
    <w:rsid w:val="3FDCE6CD"/>
    <w:rsid w:val="3FDF8E80"/>
    <w:rsid w:val="3FE7D9BC"/>
    <w:rsid w:val="4006D5C2"/>
    <w:rsid w:val="4017E9B3"/>
    <w:rsid w:val="4023F31B"/>
    <w:rsid w:val="40248E48"/>
    <w:rsid w:val="402B4EE0"/>
    <w:rsid w:val="402D6669"/>
    <w:rsid w:val="40368B8D"/>
    <w:rsid w:val="405D7761"/>
    <w:rsid w:val="4061121B"/>
    <w:rsid w:val="407752FA"/>
    <w:rsid w:val="40847561"/>
    <w:rsid w:val="40852536"/>
    <w:rsid w:val="40925852"/>
    <w:rsid w:val="4092C5C3"/>
    <w:rsid w:val="40AD8669"/>
    <w:rsid w:val="40B7CE50"/>
    <w:rsid w:val="40BA8DC2"/>
    <w:rsid w:val="40C175EF"/>
    <w:rsid w:val="40C6BA03"/>
    <w:rsid w:val="40CF2A36"/>
    <w:rsid w:val="40DD1F2F"/>
    <w:rsid w:val="40F2BD2E"/>
    <w:rsid w:val="410E12CE"/>
    <w:rsid w:val="4121BA56"/>
    <w:rsid w:val="413929EF"/>
    <w:rsid w:val="413EFBAB"/>
    <w:rsid w:val="4141A187"/>
    <w:rsid w:val="414FDDEE"/>
    <w:rsid w:val="4151ED90"/>
    <w:rsid w:val="41531F64"/>
    <w:rsid w:val="4156F99F"/>
    <w:rsid w:val="415EFDA2"/>
    <w:rsid w:val="418C0B6C"/>
    <w:rsid w:val="418F969D"/>
    <w:rsid w:val="419CFEAA"/>
    <w:rsid w:val="41A38514"/>
    <w:rsid w:val="41B83420"/>
    <w:rsid w:val="41C69C04"/>
    <w:rsid w:val="41CBC001"/>
    <w:rsid w:val="41D5E414"/>
    <w:rsid w:val="41E50EBA"/>
    <w:rsid w:val="41E5D49B"/>
    <w:rsid w:val="41E892F4"/>
    <w:rsid w:val="41F25BB6"/>
    <w:rsid w:val="41F7D9AA"/>
    <w:rsid w:val="4203F22A"/>
    <w:rsid w:val="421EC41E"/>
    <w:rsid w:val="4223337E"/>
    <w:rsid w:val="4227A01C"/>
    <w:rsid w:val="4234A2E4"/>
    <w:rsid w:val="423F5359"/>
    <w:rsid w:val="42463F6D"/>
    <w:rsid w:val="424FAC59"/>
    <w:rsid w:val="4253832C"/>
    <w:rsid w:val="4263A530"/>
    <w:rsid w:val="426448CA"/>
    <w:rsid w:val="42651BAE"/>
    <w:rsid w:val="4265235B"/>
    <w:rsid w:val="426ED719"/>
    <w:rsid w:val="4273E572"/>
    <w:rsid w:val="427B88AD"/>
    <w:rsid w:val="42931C6A"/>
    <w:rsid w:val="429EC17A"/>
    <w:rsid w:val="42A30E03"/>
    <w:rsid w:val="42A5A50E"/>
    <w:rsid w:val="42A7ACA7"/>
    <w:rsid w:val="42A810C9"/>
    <w:rsid w:val="42A8DD2D"/>
    <w:rsid w:val="42B5A1A0"/>
    <w:rsid w:val="42B96D69"/>
    <w:rsid w:val="42C6BE30"/>
    <w:rsid w:val="42C7A7D1"/>
    <w:rsid w:val="42D044B8"/>
    <w:rsid w:val="42D13BE4"/>
    <w:rsid w:val="42D9E1B2"/>
    <w:rsid w:val="42DE61FD"/>
    <w:rsid w:val="42FFE02E"/>
    <w:rsid w:val="430334E1"/>
    <w:rsid w:val="431005C7"/>
    <w:rsid w:val="4315D5B0"/>
    <w:rsid w:val="43176FD0"/>
    <w:rsid w:val="4324AE6B"/>
    <w:rsid w:val="4340E13C"/>
    <w:rsid w:val="434972AA"/>
    <w:rsid w:val="43550F07"/>
    <w:rsid w:val="436E2777"/>
    <w:rsid w:val="4396E2E1"/>
    <w:rsid w:val="43AEF3BC"/>
    <w:rsid w:val="43AFBFEB"/>
    <w:rsid w:val="43D1E69A"/>
    <w:rsid w:val="43DAE3F3"/>
    <w:rsid w:val="43DC7BEA"/>
    <w:rsid w:val="43E5272B"/>
    <w:rsid w:val="43E71907"/>
    <w:rsid w:val="43ED38DE"/>
    <w:rsid w:val="43F9B2F4"/>
    <w:rsid w:val="44048467"/>
    <w:rsid w:val="44092916"/>
    <w:rsid w:val="440AA77A"/>
    <w:rsid w:val="4413A0B6"/>
    <w:rsid w:val="44173262"/>
    <w:rsid w:val="4417D4F3"/>
    <w:rsid w:val="441B247D"/>
    <w:rsid w:val="4427D842"/>
    <w:rsid w:val="4430DAF7"/>
    <w:rsid w:val="44332088"/>
    <w:rsid w:val="443C7BAF"/>
    <w:rsid w:val="4445CC3A"/>
    <w:rsid w:val="445815FC"/>
    <w:rsid w:val="4463ED83"/>
    <w:rsid w:val="44668384"/>
    <w:rsid w:val="44695676"/>
    <w:rsid w:val="4478C875"/>
    <w:rsid w:val="449ABED4"/>
    <w:rsid w:val="449BC5E7"/>
    <w:rsid w:val="44A5670F"/>
    <w:rsid w:val="44B4FB82"/>
    <w:rsid w:val="44C01A38"/>
    <w:rsid w:val="44C54708"/>
    <w:rsid w:val="44C66589"/>
    <w:rsid w:val="44CC1AAE"/>
    <w:rsid w:val="44D8E77D"/>
    <w:rsid w:val="44DCB19D"/>
    <w:rsid w:val="44ECBF5C"/>
    <w:rsid w:val="44EF3236"/>
    <w:rsid w:val="4500825A"/>
    <w:rsid w:val="451663C1"/>
    <w:rsid w:val="453B4010"/>
    <w:rsid w:val="45428EBC"/>
    <w:rsid w:val="4568E850"/>
    <w:rsid w:val="456B5167"/>
    <w:rsid w:val="457E4968"/>
    <w:rsid w:val="457EE940"/>
    <w:rsid w:val="457F921E"/>
    <w:rsid w:val="45832A42"/>
    <w:rsid w:val="4589E750"/>
    <w:rsid w:val="4595B4AA"/>
    <w:rsid w:val="45B0DDA9"/>
    <w:rsid w:val="45B1FDBB"/>
    <w:rsid w:val="45B4E5F7"/>
    <w:rsid w:val="45C70FEB"/>
    <w:rsid w:val="45C83AAC"/>
    <w:rsid w:val="45D84CC9"/>
    <w:rsid w:val="45D8BAAA"/>
    <w:rsid w:val="45E632FB"/>
    <w:rsid w:val="45F1ED80"/>
    <w:rsid w:val="45FBB915"/>
    <w:rsid w:val="4603DC75"/>
    <w:rsid w:val="460C1D33"/>
    <w:rsid w:val="46155869"/>
    <w:rsid w:val="461CD9D0"/>
    <w:rsid w:val="461D38E6"/>
    <w:rsid w:val="46509609"/>
    <w:rsid w:val="46531605"/>
    <w:rsid w:val="465335B9"/>
    <w:rsid w:val="4654C272"/>
    <w:rsid w:val="46554F72"/>
    <w:rsid w:val="46717EB4"/>
    <w:rsid w:val="467CA564"/>
    <w:rsid w:val="4681CCC7"/>
    <w:rsid w:val="46824F0F"/>
    <w:rsid w:val="46859939"/>
    <w:rsid w:val="4691DEEB"/>
    <w:rsid w:val="46A177F7"/>
    <w:rsid w:val="46A32C77"/>
    <w:rsid w:val="46A87C8C"/>
    <w:rsid w:val="46B23422"/>
    <w:rsid w:val="46BC1177"/>
    <w:rsid w:val="46C68432"/>
    <w:rsid w:val="46C73869"/>
    <w:rsid w:val="46D43D01"/>
    <w:rsid w:val="46D7DA99"/>
    <w:rsid w:val="46D92D24"/>
    <w:rsid w:val="46EE511C"/>
    <w:rsid w:val="46F08542"/>
    <w:rsid w:val="46F18107"/>
    <w:rsid w:val="46F57656"/>
    <w:rsid w:val="46FFE624"/>
    <w:rsid w:val="4710C7C5"/>
    <w:rsid w:val="4718CA9F"/>
    <w:rsid w:val="47231202"/>
    <w:rsid w:val="47231D7C"/>
    <w:rsid w:val="472C23CF"/>
    <w:rsid w:val="472E4984"/>
    <w:rsid w:val="473579AE"/>
    <w:rsid w:val="474EA255"/>
    <w:rsid w:val="4761A70C"/>
    <w:rsid w:val="4783DE98"/>
    <w:rsid w:val="4789BF5D"/>
    <w:rsid w:val="478B0F7B"/>
    <w:rsid w:val="4792DB23"/>
    <w:rsid w:val="47947E90"/>
    <w:rsid w:val="4797F877"/>
    <w:rsid w:val="47A1B00B"/>
    <w:rsid w:val="47A8794F"/>
    <w:rsid w:val="47AC6FFB"/>
    <w:rsid w:val="47ADED17"/>
    <w:rsid w:val="47AFDD2F"/>
    <w:rsid w:val="47B93739"/>
    <w:rsid w:val="47BDEDC8"/>
    <w:rsid w:val="47BF684F"/>
    <w:rsid w:val="47DD30AA"/>
    <w:rsid w:val="47DD75DA"/>
    <w:rsid w:val="47EFA469"/>
    <w:rsid w:val="47F12A8A"/>
    <w:rsid w:val="47F90F20"/>
    <w:rsid w:val="47F97ED8"/>
    <w:rsid w:val="47FAE839"/>
    <w:rsid w:val="4805061D"/>
    <w:rsid w:val="480A045E"/>
    <w:rsid w:val="480A2490"/>
    <w:rsid w:val="481C2182"/>
    <w:rsid w:val="482C4DA4"/>
    <w:rsid w:val="4834588E"/>
    <w:rsid w:val="4834C1B4"/>
    <w:rsid w:val="483FF03F"/>
    <w:rsid w:val="4840C737"/>
    <w:rsid w:val="4855BAD8"/>
    <w:rsid w:val="48669538"/>
    <w:rsid w:val="48718A79"/>
    <w:rsid w:val="48774A7E"/>
    <w:rsid w:val="487CAFCD"/>
    <w:rsid w:val="48878173"/>
    <w:rsid w:val="488A6229"/>
    <w:rsid w:val="48908ED0"/>
    <w:rsid w:val="489FACF0"/>
    <w:rsid w:val="48A0BD51"/>
    <w:rsid w:val="48AC88A5"/>
    <w:rsid w:val="48ACF72F"/>
    <w:rsid w:val="48B00A3E"/>
    <w:rsid w:val="48BFF3EF"/>
    <w:rsid w:val="48D4BFB9"/>
    <w:rsid w:val="48DBCDAD"/>
    <w:rsid w:val="48E1F604"/>
    <w:rsid w:val="48E442B5"/>
    <w:rsid w:val="48EDFFA4"/>
    <w:rsid w:val="48F560A6"/>
    <w:rsid w:val="48F9ABFA"/>
    <w:rsid w:val="490027CC"/>
    <w:rsid w:val="490E814A"/>
    <w:rsid w:val="4917B1FA"/>
    <w:rsid w:val="491B85D0"/>
    <w:rsid w:val="491BBFB9"/>
    <w:rsid w:val="492637D5"/>
    <w:rsid w:val="492F4A07"/>
    <w:rsid w:val="49395FD6"/>
    <w:rsid w:val="49493019"/>
    <w:rsid w:val="494DF0FF"/>
    <w:rsid w:val="49694F3F"/>
    <w:rsid w:val="496A8D21"/>
    <w:rsid w:val="49725198"/>
    <w:rsid w:val="4978A65C"/>
    <w:rsid w:val="497D3771"/>
    <w:rsid w:val="49843C13"/>
    <w:rsid w:val="4987488B"/>
    <w:rsid w:val="49B06A7E"/>
    <w:rsid w:val="49B0A269"/>
    <w:rsid w:val="49BCBD65"/>
    <w:rsid w:val="49BE5FC2"/>
    <w:rsid w:val="49C51C13"/>
    <w:rsid w:val="49C9FBF2"/>
    <w:rsid w:val="49CB4C7E"/>
    <w:rsid w:val="49CEF687"/>
    <w:rsid w:val="49D5DC5A"/>
    <w:rsid w:val="49DA063F"/>
    <w:rsid w:val="49DCFE27"/>
    <w:rsid w:val="49DF6D9D"/>
    <w:rsid w:val="49E8309A"/>
    <w:rsid w:val="49E91F3D"/>
    <w:rsid w:val="49E9C332"/>
    <w:rsid w:val="49EA6969"/>
    <w:rsid w:val="49F2758D"/>
    <w:rsid w:val="49F2AE53"/>
    <w:rsid w:val="49F862F9"/>
    <w:rsid w:val="49FD7FCE"/>
    <w:rsid w:val="4A1BD545"/>
    <w:rsid w:val="4A1CB3F2"/>
    <w:rsid w:val="4A256A03"/>
    <w:rsid w:val="4A29267E"/>
    <w:rsid w:val="4A313CE1"/>
    <w:rsid w:val="4A369244"/>
    <w:rsid w:val="4A410ACA"/>
    <w:rsid w:val="4A4140A0"/>
    <w:rsid w:val="4A49D1A0"/>
    <w:rsid w:val="4A4C348F"/>
    <w:rsid w:val="4A503B74"/>
    <w:rsid w:val="4A507EEE"/>
    <w:rsid w:val="4A532B7D"/>
    <w:rsid w:val="4A5787A3"/>
    <w:rsid w:val="4A5864BE"/>
    <w:rsid w:val="4A5C5394"/>
    <w:rsid w:val="4A652155"/>
    <w:rsid w:val="4A683ECF"/>
    <w:rsid w:val="4A6C4576"/>
    <w:rsid w:val="4A743B92"/>
    <w:rsid w:val="4A80B090"/>
    <w:rsid w:val="4A9470A5"/>
    <w:rsid w:val="4AAE1FE8"/>
    <w:rsid w:val="4AB5C184"/>
    <w:rsid w:val="4AC0CE90"/>
    <w:rsid w:val="4AC2A3C3"/>
    <w:rsid w:val="4ADB569D"/>
    <w:rsid w:val="4ADF8E56"/>
    <w:rsid w:val="4AE5DCBC"/>
    <w:rsid w:val="4AE6CB93"/>
    <w:rsid w:val="4AEAAE98"/>
    <w:rsid w:val="4AF2C27A"/>
    <w:rsid w:val="4B0AA93F"/>
    <w:rsid w:val="4B0F9838"/>
    <w:rsid w:val="4B13B9AD"/>
    <w:rsid w:val="4B28C095"/>
    <w:rsid w:val="4B2BE70A"/>
    <w:rsid w:val="4B31E78A"/>
    <w:rsid w:val="4B551C38"/>
    <w:rsid w:val="4B5A3023"/>
    <w:rsid w:val="4B5BAC0F"/>
    <w:rsid w:val="4B6153FF"/>
    <w:rsid w:val="4B6338F4"/>
    <w:rsid w:val="4B65500E"/>
    <w:rsid w:val="4B67AE91"/>
    <w:rsid w:val="4B69B05F"/>
    <w:rsid w:val="4B6C0311"/>
    <w:rsid w:val="4B6EF44D"/>
    <w:rsid w:val="4B753DE8"/>
    <w:rsid w:val="4B7CF253"/>
    <w:rsid w:val="4B803A3D"/>
    <w:rsid w:val="4B8D2033"/>
    <w:rsid w:val="4B9B202F"/>
    <w:rsid w:val="4BA35BCE"/>
    <w:rsid w:val="4BB7A5A6"/>
    <w:rsid w:val="4BC6895E"/>
    <w:rsid w:val="4BD829D4"/>
    <w:rsid w:val="4BDE0E20"/>
    <w:rsid w:val="4BE2FA61"/>
    <w:rsid w:val="4BE3E295"/>
    <w:rsid w:val="4BEF3E70"/>
    <w:rsid w:val="4BEFFF09"/>
    <w:rsid w:val="4BF15231"/>
    <w:rsid w:val="4BF9700A"/>
    <w:rsid w:val="4BFAB86C"/>
    <w:rsid w:val="4C184838"/>
    <w:rsid w:val="4C18B0FC"/>
    <w:rsid w:val="4C28A94C"/>
    <w:rsid w:val="4C369716"/>
    <w:rsid w:val="4C57693F"/>
    <w:rsid w:val="4C5A15EA"/>
    <w:rsid w:val="4C756988"/>
    <w:rsid w:val="4C763A96"/>
    <w:rsid w:val="4C8421FB"/>
    <w:rsid w:val="4C843D2E"/>
    <w:rsid w:val="4C883130"/>
    <w:rsid w:val="4C8C6FC5"/>
    <w:rsid w:val="4C9A946E"/>
    <w:rsid w:val="4CB8262E"/>
    <w:rsid w:val="4CC8ABF0"/>
    <w:rsid w:val="4CC8CDEC"/>
    <w:rsid w:val="4CCDB7EB"/>
    <w:rsid w:val="4CD2A433"/>
    <w:rsid w:val="4CE0DDC7"/>
    <w:rsid w:val="4CE9A30D"/>
    <w:rsid w:val="4CEFCEE3"/>
    <w:rsid w:val="4CFBE160"/>
    <w:rsid w:val="4CFF43DC"/>
    <w:rsid w:val="4CFFBEC7"/>
    <w:rsid w:val="4D035945"/>
    <w:rsid w:val="4D0AFED6"/>
    <w:rsid w:val="4D1A2B73"/>
    <w:rsid w:val="4D25BE48"/>
    <w:rsid w:val="4D3203D5"/>
    <w:rsid w:val="4D3BECBF"/>
    <w:rsid w:val="4D4B4942"/>
    <w:rsid w:val="4D56D82B"/>
    <w:rsid w:val="4D6FA5B0"/>
    <w:rsid w:val="4D73FA35"/>
    <w:rsid w:val="4D7959C4"/>
    <w:rsid w:val="4D8706AB"/>
    <w:rsid w:val="4D89188B"/>
    <w:rsid w:val="4D93F456"/>
    <w:rsid w:val="4D9DB589"/>
    <w:rsid w:val="4DB19A24"/>
    <w:rsid w:val="4DB7197F"/>
    <w:rsid w:val="4DC948F9"/>
    <w:rsid w:val="4DD1A792"/>
    <w:rsid w:val="4DD668C8"/>
    <w:rsid w:val="4DD87A1A"/>
    <w:rsid w:val="4DE65711"/>
    <w:rsid w:val="4DF2182F"/>
    <w:rsid w:val="4DF50309"/>
    <w:rsid w:val="4E07E56E"/>
    <w:rsid w:val="4E1124B9"/>
    <w:rsid w:val="4E1526E7"/>
    <w:rsid w:val="4E1938CA"/>
    <w:rsid w:val="4E1FF25C"/>
    <w:rsid w:val="4E221080"/>
    <w:rsid w:val="4E292D1E"/>
    <w:rsid w:val="4E297FD0"/>
    <w:rsid w:val="4E3634B5"/>
    <w:rsid w:val="4E441BDB"/>
    <w:rsid w:val="4E4695DF"/>
    <w:rsid w:val="4E57F727"/>
    <w:rsid w:val="4E5BBB07"/>
    <w:rsid w:val="4E711CA0"/>
    <w:rsid w:val="4E7BF960"/>
    <w:rsid w:val="4E7D2052"/>
    <w:rsid w:val="4E841BDB"/>
    <w:rsid w:val="4E99340C"/>
    <w:rsid w:val="4E9A982E"/>
    <w:rsid w:val="4EB839C9"/>
    <w:rsid w:val="4EC0BBBC"/>
    <w:rsid w:val="4EC3CD29"/>
    <w:rsid w:val="4ED91D25"/>
    <w:rsid w:val="4EE368B2"/>
    <w:rsid w:val="4EE5AFA1"/>
    <w:rsid w:val="4EE65395"/>
    <w:rsid w:val="4EED00CD"/>
    <w:rsid w:val="4EEF4668"/>
    <w:rsid w:val="4EFA6086"/>
    <w:rsid w:val="4F0438C2"/>
    <w:rsid w:val="4F15DBE5"/>
    <w:rsid w:val="4F2CB61F"/>
    <w:rsid w:val="4F2EAC33"/>
    <w:rsid w:val="4F3FB699"/>
    <w:rsid w:val="4F52E9E0"/>
    <w:rsid w:val="4F5BAB65"/>
    <w:rsid w:val="4F777618"/>
    <w:rsid w:val="4F7C05CA"/>
    <w:rsid w:val="4F7EE4DB"/>
    <w:rsid w:val="4F803CDF"/>
    <w:rsid w:val="4F81A4E3"/>
    <w:rsid w:val="4F822CD5"/>
    <w:rsid w:val="4F9D5CD5"/>
    <w:rsid w:val="4FAABEBB"/>
    <w:rsid w:val="4FAB1933"/>
    <w:rsid w:val="4FBF423B"/>
    <w:rsid w:val="4FC1D1DF"/>
    <w:rsid w:val="4FD6637E"/>
    <w:rsid w:val="4FE1F1F2"/>
    <w:rsid w:val="4FF345C5"/>
    <w:rsid w:val="4FF99587"/>
    <w:rsid w:val="50052A56"/>
    <w:rsid w:val="500A5F4D"/>
    <w:rsid w:val="501B353A"/>
    <w:rsid w:val="501CC8D1"/>
    <w:rsid w:val="50207D65"/>
    <w:rsid w:val="503D41F6"/>
    <w:rsid w:val="504865B7"/>
    <w:rsid w:val="504920AC"/>
    <w:rsid w:val="50632C43"/>
    <w:rsid w:val="5066379C"/>
    <w:rsid w:val="506E342E"/>
    <w:rsid w:val="5072B8D6"/>
    <w:rsid w:val="5076D2E4"/>
    <w:rsid w:val="50793F5B"/>
    <w:rsid w:val="50825BF1"/>
    <w:rsid w:val="508A39B1"/>
    <w:rsid w:val="509FA445"/>
    <w:rsid w:val="50ABB1C1"/>
    <w:rsid w:val="50B1003E"/>
    <w:rsid w:val="50B38534"/>
    <w:rsid w:val="50C15610"/>
    <w:rsid w:val="50C51DCF"/>
    <w:rsid w:val="50C92FD5"/>
    <w:rsid w:val="50CA5F9B"/>
    <w:rsid w:val="50D739F1"/>
    <w:rsid w:val="50F2623C"/>
    <w:rsid w:val="50F6CEC0"/>
    <w:rsid w:val="51060259"/>
    <w:rsid w:val="510F858A"/>
    <w:rsid w:val="510F987E"/>
    <w:rsid w:val="511EF2C1"/>
    <w:rsid w:val="512161FA"/>
    <w:rsid w:val="51277DC2"/>
    <w:rsid w:val="512B49A1"/>
    <w:rsid w:val="512ECF14"/>
    <w:rsid w:val="51350D26"/>
    <w:rsid w:val="513740FE"/>
    <w:rsid w:val="5152F340"/>
    <w:rsid w:val="51547C5F"/>
    <w:rsid w:val="5155B93B"/>
    <w:rsid w:val="5161A73A"/>
    <w:rsid w:val="516881EE"/>
    <w:rsid w:val="5179D6F6"/>
    <w:rsid w:val="517F7BCC"/>
    <w:rsid w:val="51907A1C"/>
    <w:rsid w:val="5190E4E5"/>
    <w:rsid w:val="519C8932"/>
    <w:rsid w:val="519CC967"/>
    <w:rsid w:val="51AAC24C"/>
    <w:rsid w:val="51B2A5AB"/>
    <w:rsid w:val="51BB2D82"/>
    <w:rsid w:val="51C21C38"/>
    <w:rsid w:val="51D9E27B"/>
    <w:rsid w:val="51E185A8"/>
    <w:rsid w:val="51EBDBCC"/>
    <w:rsid w:val="51F4E6C9"/>
    <w:rsid w:val="5205FC0A"/>
    <w:rsid w:val="520CDA07"/>
    <w:rsid w:val="52135B5F"/>
    <w:rsid w:val="5213F61D"/>
    <w:rsid w:val="521ADF97"/>
    <w:rsid w:val="522C76A6"/>
    <w:rsid w:val="522CAD19"/>
    <w:rsid w:val="522F7FCD"/>
    <w:rsid w:val="52402E8B"/>
    <w:rsid w:val="5243488E"/>
    <w:rsid w:val="5243B28B"/>
    <w:rsid w:val="524BE03C"/>
    <w:rsid w:val="524D7CA7"/>
    <w:rsid w:val="52676579"/>
    <w:rsid w:val="5267BFD3"/>
    <w:rsid w:val="5277575B"/>
    <w:rsid w:val="5277925B"/>
    <w:rsid w:val="527FE52F"/>
    <w:rsid w:val="52828B80"/>
    <w:rsid w:val="5295EA1E"/>
    <w:rsid w:val="529F97DF"/>
    <w:rsid w:val="52BBA1A2"/>
    <w:rsid w:val="52C01F03"/>
    <w:rsid w:val="52C0F1FD"/>
    <w:rsid w:val="52C21E8C"/>
    <w:rsid w:val="52C98B7A"/>
    <w:rsid w:val="52CA4566"/>
    <w:rsid w:val="52CE52A1"/>
    <w:rsid w:val="52CFDD2D"/>
    <w:rsid w:val="52E0B608"/>
    <w:rsid w:val="52E6C7F3"/>
    <w:rsid w:val="52F2120D"/>
    <w:rsid w:val="52F3EACC"/>
    <w:rsid w:val="52F44A55"/>
    <w:rsid w:val="52F7847D"/>
    <w:rsid w:val="52FCF9CC"/>
    <w:rsid w:val="52FD779B"/>
    <w:rsid w:val="52FDA588"/>
    <w:rsid w:val="530879E1"/>
    <w:rsid w:val="53123499"/>
    <w:rsid w:val="531EA328"/>
    <w:rsid w:val="53206C94"/>
    <w:rsid w:val="534AF0D9"/>
    <w:rsid w:val="53541FB6"/>
    <w:rsid w:val="536BE02D"/>
    <w:rsid w:val="536E58B7"/>
    <w:rsid w:val="536EF759"/>
    <w:rsid w:val="53844138"/>
    <w:rsid w:val="538442AB"/>
    <w:rsid w:val="538480F1"/>
    <w:rsid w:val="538AA353"/>
    <w:rsid w:val="538B2784"/>
    <w:rsid w:val="53921390"/>
    <w:rsid w:val="53972821"/>
    <w:rsid w:val="5397DEBF"/>
    <w:rsid w:val="53981A66"/>
    <w:rsid w:val="539D9CDE"/>
    <w:rsid w:val="539EE77B"/>
    <w:rsid w:val="53A91B58"/>
    <w:rsid w:val="53ABA094"/>
    <w:rsid w:val="53ACF4C0"/>
    <w:rsid w:val="53B3ECC9"/>
    <w:rsid w:val="53BFC483"/>
    <w:rsid w:val="53C2E38D"/>
    <w:rsid w:val="53D46715"/>
    <w:rsid w:val="53E2B58B"/>
    <w:rsid w:val="53F235B2"/>
    <w:rsid w:val="53FB764C"/>
    <w:rsid w:val="5408481D"/>
    <w:rsid w:val="5414E083"/>
    <w:rsid w:val="5441798E"/>
    <w:rsid w:val="544AC7F9"/>
    <w:rsid w:val="544BF648"/>
    <w:rsid w:val="546007EB"/>
    <w:rsid w:val="54643595"/>
    <w:rsid w:val="546ED497"/>
    <w:rsid w:val="54706F16"/>
    <w:rsid w:val="5484686B"/>
    <w:rsid w:val="548689BF"/>
    <w:rsid w:val="549A2276"/>
    <w:rsid w:val="54A9AFF4"/>
    <w:rsid w:val="54AAEE3C"/>
    <w:rsid w:val="54B34AD4"/>
    <w:rsid w:val="54C5CCF4"/>
    <w:rsid w:val="54C894CE"/>
    <w:rsid w:val="54DC596F"/>
    <w:rsid w:val="54F2ED51"/>
    <w:rsid w:val="5501C157"/>
    <w:rsid w:val="550B3553"/>
    <w:rsid w:val="550B66FE"/>
    <w:rsid w:val="550C2CA1"/>
    <w:rsid w:val="55102CC1"/>
    <w:rsid w:val="551B1583"/>
    <w:rsid w:val="5525B22E"/>
    <w:rsid w:val="5526CD6F"/>
    <w:rsid w:val="5526F7E5"/>
    <w:rsid w:val="55306893"/>
    <w:rsid w:val="55314922"/>
    <w:rsid w:val="55352834"/>
    <w:rsid w:val="5535C38E"/>
    <w:rsid w:val="5536D1E4"/>
    <w:rsid w:val="5536EC3E"/>
    <w:rsid w:val="5537DF0B"/>
    <w:rsid w:val="553B8E2A"/>
    <w:rsid w:val="553D867B"/>
    <w:rsid w:val="554770F5"/>
    <w:rsid w:val="554DC7E7"/>
    <w:rsid w:val="5551CB53"/>
    <w:rsid w:val="5557DEF3"/>
    <w:rsid w:val="55594ED7"/>
    <w:rsid w:val="5563DB0B"/>
    <w:rsid w:val="556A98A6"/>
    <w:rsid w:val="5570C20D"/>
    <w:rsid w:val="557F0C1A"/>
    <w:rsid w:val="55841C70"/>
    <w:rsid w:val="55846BA9"/>
    <w:rsid w:val="55A32D96"/>
    <w:rsid w:val="55A54013"/>
    <w:rsid w:val="55B1B9C6"/>
    <w:rsid w:val="55C05BF0"/>
    <w:rsid w:val="55C51A66"/>
    <w:rsid w:val="55C81087"/>
    <w:rsid w:val="55C8945D"/>
    <w:rsid w:val="55D5E08A"/>
    <w:rsid w:val="55DB81DC"/>
    <w:rsid w:val="55E2B8F1"/>
    <w:rsid w:val="55F15B94"/>
    <w:rsid w:val="55F4AB21"/>
    <w:rsid w:val="55FAB638"/>
    <w:rsid w:val="55FCE5DF"/>
    <w:rsid w:val="56000875"/>
    <w:rsid w:val="56056C21"/>
    <w:rsid w:val="5611CE2C"/>
    <w:rsid w:val="56147555"/>
    <w:rsid w:val="561A45FB"/>
    <w:rsid w:val="561F6A48"/>
    <w:rsid w:val="562038CC"/>
    <w:rsid w:val="562A6059"/>
    <w:rsid w:val="56310CE1"/>
    <w:rsid w:val="563B1257"/>
    <w:rsid w:val="56401EC4"/>
    <w:rsid w:val="56412A6E"/>
    <w:rsid w:val="56428022"/>
    <w:rsid w:val="5643159E"/>
    <w:rsid w:val="56457752"/>
    <w:rsid w:val="564A03A8"/>
    <w:rsid w:val="5656F433"/>
    <w:rsid w:val="56582097"/>
    <w:rsid w:val="566428A8"/>
    <w:rsid w:val="566E4FBA"/>
    <w:rsid w:val="56779DB8"/>
    <w:rsid w:val="568ADBA8"/>
    <w:rsid w:val="568D78B0"/>
    <w:rsid w:val="56987B56"/>
    <w:rsid w:val="569D5AFD"/>
    <w:rsid w:val="56A372CF"/>
    <w:rsid w:val="56ACAB7F"/>
    <w:rsid w:val="56C24415"/>
    <w:rsid w:val="56CD671C"/>
    <w:rsid w:val="56D033C0"/>
    <w:rsid w:val="56D28CA3"/>
    <w:rsid w:val="56E398F9"/>
    <w:rsid w:val="56E64B07"/>
    <w:rsid w:val="56EBB8BF"/>
    <w:rsid w:val="56F1418E"/>
    <w:rsid w:val="56F368C5"/>
    <w:rsid w:val="56F8E294"/>
    <w:rsid w:val="56FBD43D"/>
    <w:rsid w:val="5700FAB2"/>
    <w:rsid w:val="570682C9"/>
    <w:rsid w:val="570B00F9"/>
    <w:rsid w:val="570DC332"/>
    <w:rsid w:val="57168FAB"/>
    <w:rsid w:val="5716AE96"/>
    <w:rsid w:val="57196BD7"/>
    <w:rsid w:val="571A5B0F"/>
    <w:rsid w:val="571C918D"/>
    <w:rsid w:val="57204AB6"/>
    <w:rsid w:val="572BA955"/>
    <w:rsid w:val="5734253A"/>
    <w:rsid w:val="574704D2"/>
    <w:rsid w:val="5751802C"/>
    <w:rsid w:val="575A3C8A"/>
    <w:rsid w:val="5767CB1B"/>
    <w:rsid w:val="5770B778"/>
    <w:rsid w:val="5775D881"/>
    <w:rsid w:val="5776BECE"/>
    <w:rsid w:val="577B25B1"/>
    <w:rsid w:val="5787BC13"/>
    <w:rsid w:val="578D268E"/>
    <w:rsid w:val="578EEC06"/>
    <w:rsid w:val="57968699"/>
    <w:rsid w:val="57A09D96"/>
    <w:rsid w:val="57B1A3C3"/>
    <w:rsid w:val="57B264DF"/>
    <w:rsid w:val="57B3E99A"/>
    <w:rsid w:val="57B4D7D2"/>
    <w:rsid w:val="57B6165C"/>
    <w:rsid w:val="57BD7745"/>
    <w:rsid w:val="57C79948"/>
    <w:rsid w:val="57D84F9C"/>
    <w:rsid w:val="57E3DBAF"/>
    <w:rsid w:val="57ED05AE"/>
    <w:rsid w:val="57F3DDB7"/>
    <w:rsid w:val="57FAB67C"/>
    <w:rsid w:val="5801EBDA"/>
    <w:rsid w:val="580E9F6E"/>
    <w:rsid w:val="58138D04"/>
    <w:rsid w:val="5814ACF2"/>
    <w:rsid w:val="581596E2"/>
    <w:rsid w:val="584706BE"/>
    <w:rsid w:val="584DC810"/>
    <w:rsid w:val="58530738"/>
    <w:rsid w:val="5858DA11"/>
    <w:rsid w:val="586ED545"/>
    <w:rsid w:val="587A39C6"/>
    <w:rsid w:val="587FB558"/>
    <w:rsid w:val="588F2236"/>
    <w:rsid w:val="5891B7AE"/>
    <w:rsid w:val="58AC2D3C"/>
    <w:rsid w:val="58D6A6FD"/>
    <w:rsid w:val="58E74010"/>
    <w:rsid w:val="58FD6E63"/>
    <w:rsid w:val="58FDE720"/>
    <w:rsid w:val="58FEEB04"/>
    <w:rsid w:val="590B19C8"/>
    <w:rsid w:val="59110798"/>
    <w:rsid w:val="5916288E"/>
    <w:rsid w:val="59210357"/>
    <w:rsid w:val="592520AF"/>
    <w:rsid w:val="5926DE61"/>
    <w:rsid w:val="592C321F"/>
    <w:rsid w:val="5937A937"/>
    <w:rsid w:val="59401C0E"/>
    <w:rsid w:val="594BEA1D"/>
    <w:rsid w:val="594C8EE7"/>
    <w:rsid w:val="5957D98E"/>
    <w:rsid w:val="5957EB40"/>
    <w:rsid w:val="59587566"/>
    <w:rsid w:val="597C5579"/>
    <w:rsid w:val="597FB167"/>
    <w:rsid w:val="597FFD73"/>
    <w:rsid w:val="599A9F50"/>
    <w:rsid w:val="59A88B02"/>
    <w:rsid w:val="59BAFDA0"/>
    <w:rsid w:val="59C6498A"/>
    <w:rsid w:val="59C8892B"/>
    <w:rsid w:val="59CD2E1D"/>
    <w:rsid w:val="59D51BA3"/>
    <w:rsid w:val="59D77ED9"/>
    <w:rsid w:val="59E61F06"/>
    <w:rsid w:val="59EC7268"/>
    <w:rsid w:val="59F4C181"/>
    <w:rsid w:val="5A00B59B"/>
    <w:rsid w:val="5A09429A"/>
    <w:rsid w:val="5A181FFB"/>
    <w:rsid w:val="5A1B2658"/>
    <w:rsid w:val="5A1BEF7D"/>
    <w:rsid w:val="5A203480"/>
    <w:rsid w:val="5A28E250"/>
    <w:rsid w:val="5A318B8A"/>
    <w:rsid w:val="5A395067"/>
    <w:rsid w:val="5A39CB86"/>
    <w:rsid w:val="5A4F9133"/>
    <w:rsid w:val="5A74997B"/>
    <w:rsid w:val="5A92CD9D"/>
    <w:rsid w:val="5AA07E38"/>
    <w:rsid w:val="5AA9402E"/>
    <w:rsid w:val="5AC2780F"/>
    <w:rsid w:val="5AC2EF86"/>
    <w:rsid w:val="5B02269B"/>
    <w:rsid w:val="5B0674FE"/>
    <w:rsid w:val="5B0A515A"/>
    <w:rsid w:val="5B0EF3A0"/>
    <w:rsid w:val="5B226DE2"/>
    <w:rsid w:val="5B27391A"/>
    <w:rsid w:val="5B29D6FC"/>
    <w:rsid w:val="5B2B7E79"/>
    <w:rsid w:val="5B3AFF9B"/>
    <w:rsid w:val="5B4718EB"/>
    <w:rsid w:val="5B495EB0"/>
    <w:rsid w:val="5B6287BF"/>
    <w:rsid w:val="5B6FCEDD"/>
    <w:rsid w:val="5B76C2C9"/>
    <w:rsid w:val="5B7A1230"/>
    <w:rsid w:val="5B8AA7FA"/>
    <w:rsid w:val="5BAF9AFB"/>
    <w:rsid w:val="5BE54CA1"/>
    <w:rsid w:val="5BE7284A"/>
    <w:rsid w:val="5BE8DAFA"/>
    <w:rsid w:val="5BEB0AAA"/>
    <w:rsid w:val="5BFA6010"/>
    <w:rsid w:val="5BFD8209"/>
    <w:rsid w:val="5C06AF98"/>
    <w:rsid w:val="5C090E13"/>
    <w:rsid w:val="5C0FDE09"/>
    <w:rsid w:val="5C1F7A01"/>
    <w:rsid w:val="5C2F2AC1"/>
    <w:rsid w:val="5C37A8FC"/>
    <w:rsid w:val="5C3D712F"/>
    <w:rsid w:val="5C3F6096"/>
    <w:rsid w:val="5C54083F"/>
    <w:rsid w:val="5C57E45A"/>
    <w:rsid w:val="5C609CD9"/>
    <w:rsid w:val="5C6416E0"/>
    <w:rsid w:val="5C6A7C8B"/>
    <w:rsid w:val="5C6C76E5"/>
    <w:rsid w:val="5C734EF5"/>
    <w:rsid w:val="5C827FC8"/>
    <w:rsid w:val="5C874985"/>
    <w:rsid w:val="5C94100D"/>
    <w:rsid w:val="5CA9AF9C"/>
    <w:rsid w:val="5CCB514B"/>
    <w:rsid w:val="5CCCF66A"/>
    <w:rsid w:val="5CD30A32"/>
    <w:rsid w:val="5CDD5129"/>
    <w:rsid w:val="5CEDD018"/>
    <w:rsid w:val="5D0EBADB"/>
    <w:rsid w:val="5D225FE9"/>
    <w:rsid w:val="5D23324A"/>
    <w:rsid w:val="5D44199B"/>
    <w:rsid w:val="5D4AE8D4"/>
    <w:rsid w:val="5D593E96"/>
    <w:rsid w:val="5D691A9F"/>
    <w:rsid w:val="5D6A4523"/>
    <w:rsid w:val="5D6C1D17"/>
    <w:rsid w:val="5D773D59"/>
    <w:rsid w:val="5D80023B"/>
    <w:rsid w:val="5D810DBB"/>
    <w:rsid w:val="5D928E76"/>
    <w:rsid w:val="5DA3233B"/>
    <w:rsid w:val="5DA6EABA"/>
    <w:rsid w:val="5DA7E575"/>
    <w:rsid w:val="5DB5988D"/>
    <w:rsid w:val="5DB828CE"/>
    <w:rsid w:val="5DC1F788"/>
    <w:rsid w:val="5DC31B48"/>
    <w:rsid w:val="5DC3C1B0"/>
    <w:rsid w:val="5DEC9FC0"/>
    <w:rsid w:val="5DF0D3E5"/>
    <w:rsid w:val="5E0022EB"/>
    <w:rsid w:val="5E031330"/>
    <w:rsid w:val="5E1087A3"/>
    <w:rsid w:val="5E14878A"/>
    <w:rsid w:val="5E2832FF"/>
    <w:rsid w:val="5E287495"/>
    <w:rsid w:val="5E2FD344"/>
    <w:rsid w:val="5E3E70E9"/>
    <w:rsid w:val="5E428FAF"/>
    <w:rsid w:val="5E60D191"/>
    <w:rsid w:val="5E6666E4"/>
    <w:rsid w:val="5E69806A"/>
    <w:rsid w:val="5E7E220A"/>
    <w:rsid w:val="5E8DC812"/>
    <w:rsid w:val="5E904A87"/>
    <w:rsid w:val="5EA34800"/>
    <w:rsid w:val="5EB8410B"/>
    <w:rsid w:val="5EBC808C"/>
    <w:rsid w:val="5EBEA13D"/>
    <w:rsid w:val="5EDBCC48"/>
    <w:rsid w:val="5EDC1894"/>
    <w:rsid w:val="5EE6AE3B"/>
    <w:rsid w:val="5EEA14F8"/>
    <w:rsid w:val="5F33668D"/>
    <w:rsid w:val="5F450EEE"/>
    <w:rsid w:val="5F4C05FE"/>
    <w:rsid w:val="5F64EFD2"/>
    <w:rsid w:val="5F66339B"/>
    <w:rsid w:val="5F674AA0"/>
    <w:rsid w:val="5F823713"/>
    <w:rsid w:val="5F856A12"/>
    <w:rsid w:val="5F92C53D"/>
    <w:rsid w:val="5F9F2684"/>
    <w:rsid w:val="5FA3C21C"/>
    <w:rsid w:val="5FA70C2D"/>
    <w:rsid w:val="5FA88122"/>
    <w:rsid w:val="5FAF9DEA"/>
    <w:rsid w:val="5FB205B6"/>
    <w:rsid w:val="5FB56EB2"/>
    <w:rsid w:val="5FB90E72"/>
    <w:rsid w:val="5FBE022F"/>
    <w:rsid w:val="5FCCF967"/>
    <w:rsid w:val="5FD52CA0"/>
    <w:rsid w:val="5FD8F21C"/>
    <w:rsid w:val="5FEF77D4"/>
    <w:rsid w:val="600ADCAF"/>
    <w:rsid w:val="600E1AF1"/>
    <w:rsid w:val="600F4C5D"/>
    <w:rsid w:val="60129367"/>
    <w:rsid w:val="6013EFCC"/>
    <w:rsid w:val="6024233E"/>
    <w:rsid w:val="6032DF2D"/>
    <w:rsid w:val="6038FC22"/>
    <w:rsid w:val="603C6FA1"/>
    <w:rsid w:val="6042422F"/>
    <w:rsid w:val="6044C821"/>
    <w:rsid w:val="604C6830"/>
    <w:rsid w:val="6055B6C8"/>
    <w:rsid w:val="6057A585"/>
    <w:rsid w:val="6062F789"/>
    <w:rsid w:val="60674904"/>
    <w:rsid w:val="606C1145"/>
    <w:rsid w:val="606E4C2D"/>
    <w:rsid w:val="608087DD"/>
    <w:rsid w:val="60885FD5"/>
    <w:rsid w:val="6092D1C3"/>
    <w:rsid w:val="609F141B"/>
    <w:rsid w:val="60A61B1A"/>
    <w:rsid w:val="60AEE248"/>
    <w:rsid w:val="60BAFB72"/>
    <w:rsid w:val="60C0FBF6"/>
    <w:rsid w:val="60CC62B3"/>
    <w:rsid w:val="60E217CA"/>
    <w:rsid w:val="60E55CDF"/>
    <w:rsid w:val="60E6D386"/>
    <w:rsid w:val="60F6170D"/>
    <w:rsid w:val="60FF8BB5"/>
    <w:rsid w:val="610EE638"/>
    <w:rsid w:val="6114460A"/>
    <w:rsid w:val="6114A08F"/>
    <w:rsid w:val="611EF7BD"/>
    <w:rsid w:val="61247983"/>
    <w:rsid w:val="6127EE57"/>
    <w:rsid w:val="612AC53C"/>
    <w:rsid w:val="612BC2DB"/>
    <w:rsid w:val="6134196C"/>
    <w:rsid w:val="613D68DF"/>
    <w:rsid w:val="61427539"/>
    <w:rsid w:val="61488E6C"/>
    <w:rsid w:val="6169E42D"/>
    <w:rsid w:val="6170CE0A"/>
    <w:rsid w:val="6177F537"/>
    <w:rsid w:val="618B4835"/>
    <w:rsid w:val="61917B30"/>
    <w:rsid w:val="619A75E3"/>
    <w:rsid w:val="619B1C87"/>
    <w:rsid w:val="61A10606"/>
    <w:rsid w:val="61AEA6FA"/>
    <w:rsid w:val="61AFDC03"/>
    <w:rsid w:val="61B9C795"/>
    <w:rsid w:val="61C00D1C"/>
    <w:rsid w:val="61C02240"/>
    <w:rsid w:val="61E6B9A5"/>
    <w:rsid w:val="61FFC208"/>
    <w:rsid w:val="620056DE"/>
    <w:rsid w:val="6205B15D"/>
    <w:rsid w:val="6212F819"/>
    <w:rsid w:val="621B5C6A"/>
    <w:rsid w:val="622025F2"/>
    <w:rsid w:val="62233090"/>
    <w:rsid w:val="62243036"/>
    <w:rsid w:val="6225F3FD"/>
    <w:rsid w:val="62332EEB"/>
    <w:rsid w:val="623842CB"/>
    <w:rsid w:val="62386781"/>
    <w:rsid w:val="62386CB0"/>
    <w:rsid w:val="62407F5C"/>
    <w:rsid w:val="6244F87A"/>
    <w:rsid w:val="6246A5CA"/>
    <w:rsid w:val="625181CF"/>
    <w:rsid w:val="625995CA"/>
    <w:rsid w:val="628525C5"/>
    <w:rsid w:val="6287450F"/>
    <w:rsid w:val="628A71F0"/>
    <w:rsid w:val="6296EE0E"/>
    <w:rsid w:val="62997BC2"/>
    <w:rsid w:val="629B5C16"/>
    <w:rsid w:val="62CAFB44"/>
    <w:rsid w:val="62EE81CA"/>
    <w:rsid w:val="62F3DE6A"/>
    <w:rsid w:val="62F48EBD"/>
    <w:rsid w:val="62FEAAF3"/>
    <w:rsid w:val="631A4979"/>
    <w:rsid w:val="632A3326"/>
    <w:rsid w:val="632C8C13"/>
    <w:rsid w:val="632D4368"/>
    <w:rsid w:val="634A7B4B"/>
    <w:rsid w:val="63520FA2"/>
    <w:rsid w:val="635216B4"/>
    <w:rsid w:val="635D6CE8"/>
    <w:rsid w:val="636E00C0"/>
    <w:rsid w:val="63728B03"/>
    <w:rsid w:val="63736E53"/>
    <w:rsid w:val="63753538"/>
    <w:rsid w:val="637C5D4E"/>
    <w:rsid w:val="638056D9"/>
    <w:rsid w:val="63858F50"/>
    <w:rsid w:val="638C96B0"/>
    <w:rsid w:val="638C999E"/>
    <w:rsid w:val="639DF276"/>
    <w:rsid w:val="639E798C"/>
    <w:rsid w:val="63A938D4"/>
    <w:rsid w:val="63AC4EAB"/>
    <w:rsid w:val="63B76923"/>
    <w:rsid w:val="63B9347F"/>
    <w:rsid w:val="63CE44DF"/>
    <w:rsid w:val="63D2D46A"/>
    <w:rsid w:val="63D8F8DD"/>
    <w:rsid w:val="63DB84AC"/>
    <w:rsid w:val="63E8D8E3"/>
    <w:rsid w:val="64047BDE"/>
    <w:rsid w:val="64070FD4"/>
    <w:rsid w:val="640A5551"/>
    <w:rsid w:val="6413E206"/>
    <w:rsid w:val="641856BC"/>
    <w:rsid w:val="6418D05B"/>
    <w:rsid w:val="6428AC3D"/>
    <w:rsid w:val="642D19DC"/>
    <w:rsid w:val="642DE202"/>
    <w:rsid w:val="6439D473"/>
    <w:rsid w:val="64416E20"/>
    <w:rsid w:val="644417EC"/>
    <w:rsid w:val="6447EDD3"/>
    <w:rsid w:val="64492F59"/>
    <w:rsid w:val="644F7776"/>
    <w:rsid w:val="64568032"/>
    <w:rsid w:val="6456987F"/>
    <w:rsid w:val="64583C60"/>
    <w:rsid w:val="645A392A"/>
    <w:rsid w:val="645CCB4C"/>
    <w:rsid w:val="645EE142"/>
    <w:rsid w:val="6462FF90"/>
    <w:rsid w:val="646C7175"/>
    <w:rsid w:val="646DA352"/>
    <w:rsid w:val="64711AA6"/>
    <w:rsid w:val="64713D9D"/>
    <w:rsid w:val="6475B214"/>
    <w:rsid w:val="648BC56E"/>
    <w:rsid w:val="648DF4B9"/>
    <w:rsid w:val="648E5B3E"/>
    <w:rsid w:val="649203B9"/>
    <w:rsid w:val="649DB320"/>
    <w:rsid w:val="64AD3CF4"/>
    <w:rsid w:val="64B93862"/>
    <w:rsid w:val="64D410E3"/>
    <w:rsid w:val="64D8A8EF"/>
    <w:rsid w:val="64D8FE4A"/>
    <w:rsid w:val="6503D5C7"/>
    <w:rsid w:val="650DAA79"/>
    <w:rsid w:val="65182DAF"/>
    <w:rsid w:val="651D6768"/>
    <w:rsid w:val="65215FB1"/>
    <w:rsid w:val="6525C5D6"/>
    <w:rsid w:val="652CB56C"/>
    <w:rsid w:val="65344B5E"/>
    <w:rsid w:val="6537F7A0"/>
    <w:rsid w:val="65390EA6"/>
    <w:rsid w:val="653B148A"/>
    <w:rsid w:val="65426DEC"/>
    <w:rsid w:val="65488315"/>
    <w:rsid w:val="654A8729"/>
    <w:rsid w:val="654CA926"/>
    <w:rsid w:val="654CE3CB"/>
    <w:rsid w:val="65525757"/>
    <w:rsid w:val="655B5B3E"/>
    <w:rsid w:val="65635208"/>
    <w:rsid w:val="65811727"/>
    <w:rsid w:val="659FEE63"/>
    <w:rsid w:val="65B10F83"/>
    <w:rsid w:val="65E29757"/>
    <w:rsid w:val="65FA980F"/>
    <w:rsid w:val="6604F168"/>
    <w:rsid w:val="662617F6"/>
    <w:rsid w:val="662A2B9F"/>
    <w:rsid w:val="662E51D3"/>
    <w:rsid w:val="664192F0"/>
    <w:rsid w:val="6645BB7F"/>
    <w:rsid w:val="66646314"/>
    <w:rsid w:val="6675E042"/>
    <w:rsid w:val="6683354A"/>
    <w:rsid w:val="669261A3"/>
    <w:rsid w:val="669F6345"/>
    <w:rsid w:val="66A594DF"/>
    <w:rsid w:val="66AB8A00"/>
    <w:rsid w:val="66DA2693"/>
    <w:rsid w:val="66DB764F"/>
    <w:rsid w:val="66DEF4D1"/>
    <w:rsid w:val="66E7C5A2"/>
    <w:rsid w:val="66F1DE5F"/>
    <w:rsid w:val="66FCC257"/>
    <w:rsid w:val="6702434E"/>
    <w:rsid w:val="67028B1B"/>
    <w:rsid w:val="671122A0"/>
    <w:rsid w:val="6725D6BD"/>
    <w:rsid w:val="6748CBB6"/>
    <w:rsid w:val="674BF343"/>
    <w:rsid w:val="674E648F"/>
    <w:rsid w:val="675B0A09"/>
    <w:rsid w:val="675D3518"/>
    <w:rsid w:val="6760AC0F"/>
    <w:rsid w:val="6761E4EB"/>
    <w:rsid w:val="6762D7D3"/>
    <w:rsid w:val="6763AC11"/>
    <w:rsid w:val="676515E6"/>
    <w:rsid w:val="677510E4"/>
    <w:rsid w:val="677E3710"/>
    <w:rsid w:val="67807D49"/>
    <w:rsid w:val="6783878E"/>
    <w:rsid w:val="678508D7"/>
    <w:rsid w:val="6785568C"/>
    <w:rsid w:val="678B9B08"/>
    <w:rsid w:val="67909B78"/>
    <w:rsid w:val="6792FA3E"/>
    <w:rsid w:val="67940F23"/>
    <w:rsid w:val="6794B75C"/>
    <w:rsid w:val="67A29F7C"/>
    <w:rsid w:val="67A3C8F3"/>
    <w:rsid w:val="67BFBB33"/>
    <w:rsid w:val="67C31374"/>
    <w:rsid w:val="67C7C525"/>
    <w:rsid w:val="67C85F92"/>
    <w:rsid w:val="67D28FDE"/>
    <w:rsid w:val="67D427AC"/>
    <w:rsid w:val="67E4D92B"/>
    <w:rsid w:val="67E6970A"/>
    <w:rsid w:val="67EB940C"/>
    <w:rsid w:val="67F91C26"/>
    <w:rsid w:val="6803BBE5"/>
    <w:rsid w:val="680A9703"/>
    <w:rsid w:val="680BB1A5"/>
    <w:rsid w:val="680C07D1"/>
    <w:rsid w:val="681BFD15"/>
    <w:rsid w:val="681EA751"/>
    <w:rsid w:val="682AE5F8"/>
    <w:rsid w:val="682EAB7F"/>
    <w:rsid w:val="682FE228"/>
    <w:rsid w:val="68418B33"/>
    <w:rsid w:val="684294EB"/>
    <w:rsid w:val="68474A12"/>
    <w:rsid w:val="6847516F"/>
    <w:rsid w:val="6850C12D"/>
    <w:rsid w:val="68695B45"/>
    <w:rsid w:val="686F9862"/>
    <w:rsid w:val="6871FA03"/>
    <w:rsid w:val="68773E9F"/>
    <w:rsid w:val="687A0EAE"/>
    <w:rsid w:val="688ECEF8"/>
    <w:rsid w:val="6894C7BE"/>
    <w:rsid w:val="6895AC8B"/>
    <w:rsid w:val="689CA31D"/>
    <w:rsid w:val="68AE35A5"/>
    <w:rsid w:val="68B550EB"/>
    <w:rsid w:val="68B8CB6A"/>
    <w:rsid w:val="68D335D3"/>
    <w:rsid w:val="68D5E5D5"/>
    <w:rsid w:val="68D60337"/>
    <w:rsid w:val="68ECA17E"/>
    <w:rsid w:val="690388BB"/>
    <w:rsid w:val="69039B10"/>
    <w:rsid w:val="69084153"/>
    <w:rsid w:val="6908BD46"/>
    <w:rsid w:val="6910E145"/>
    <w:rsid w:val="6925BA19"/>
    <w:rsid w:val="692B3D25"/>
    <w:rsid w:val="69464A37"/>
    <w:rsid w:val="6947CC67"/>
    <w:rsid w:val="6948A404"/>
    <w:rsid w:val="694E4AB8"/>
    <w:rsid w:val="695C29AA"/>
    <w:rsid w:val="695F6270"/>
    <w:rsid w:val="69781AEF"/>
    <w:rsid w:val="697E32D9"/>
    <w:rsid w:val="697FB8ED"/>
    <w:rsid w:val="6982D453"/>
    <w:rsid w:val="698416EA"/>
    <w:rsid w:val="699D53DE"/>
    <w:rsid w:val="699EEA3A"/>
    <w:rsid w:val="69A6FD46"/>
    <w:rsid w:val="69ACCACB"/>
    <w:rsid w:val="69B3336F"/>
    <w:rsid w:val="69C04133"/>
    <w:rsid w:val="69C3041D"/>
    <w:rsid w:val="69CBB289"/>
    <w:rsid w:val="69D9FCD3"/>
    <w:rsid w:val="69DB3D3C"/>
    <w:rsid w:val="69DCA76B"/>
    <w:rsid w:val="69E2AFD7"/>
    <w:rsid w:val="69E31A73"/>
    <w:rsid w:val="69E6ED3D"/>
    <w:rsid w:val="69EFDFEA"/>
    <w:rsid w:val="69F8775C"/>
    <w:rsid w:val="6A09D2D4"/>
    <w:rsid w:val="6A1D9DFA"/>
    <w:rsid w:val="6A1FAC1E"/>
    <w:rsid w:val="6A281FD9"/>
    <w:rsid w:val="6A2C6FC3"/>
    <w:rsid w:val="6A335845"/>
    <w:rsid w:val="6A4A4CE7"/>
    <w:rsid w:val="6A531C82"/>
    <w:rsid w:val="6A581C3E"/>
    <w:rsid w:val="6A5F3F94"/>
    <w:rsid w:val="6A632E63"/>
    <w:rsid w:val="6A778959"/>
    <w:rsid w:val="6A8178EE"/>
    <w:rsid w:val="6A83A059"/>
    <w:rsid w:val="6A97ED58"/>
    <w:rsid w:val="6A9B0EC8"/>
    <w:rsid w:val="6AAECFBF"/>
    <w:rsid w:val="6AB704EA"/>
    <w:rsid w:val="6AD83517"/>
    <w:rsid w:val="6ADA403E"/>
    <w:rsid w:val="6ADA5007"/>
    <w:rsid w:val="6AE71FF8"/>
    <w:rsid w:val="6AED7942"/>
    <w:rsid w:val="6AEE7932"/>
    <w:rsid w:val="6AF4DDB4"/>
    <w:rsid w:val="6B1E6AB8"/>
    <w:rsid w:val="6B2921B3"/>
    <w:rsid w:val="6B3B6322"/>
    <w:rsid w:val="6B3C3753"/>
    <w:rsid w:val="6B3CEA29"/>
    <w:rsid w:val="6B4523AB"/>
    <w:rsid w:val="6B459238"/>
    <w:rsid w:val="6B49D179"/>
    <w:rsid w:val="6B516B52"/>
    <w:rsid w:val="6B55810A"/>
    <w:rsid w:val="6B5664D4"/>
    <w:rsid w:val="6B5C41EC"/>
    <w:rsid w:val="6B5C4B0B"/>
    <w:rsid w:val="6B5D821A"/>
    <w:rsid w:val="6B7793DE"/>
    <w:rsid w:val="6B7E2614"/>
    <w:rsid w:val="6B82BC52"/>
    <w:rsid w:val="6B8587CE"/>
    <w:rsid w:val="6B91919E"/>
    <w:rsid w:val="6BAB0F9B"/>
    <w:rsid w:val="6BAF06A4"/>
    <w:rsid w:val="6BBCE405"/>
    <w:rsid w:val="6BC2D778"/>
    <w:rsid w:val="6BC8AAF1"/>
    <w:rsid w:val="6BCC64A7"/>
    <w:rsid w:val="6BCED5B7"/>
    <w:rsid w:val="6BD41661"/>
    <w:rsid w:val="6BD443DF"/>
    <w:rsid w:val="6BEB579B"/>
    <w:rsid w:val="6BEDFFF2"/>
    <w:rsid w:val="6BF8C138"/>
    <w:rsid w:val="6C0CF426"/>
    <w:rsid w:val="6C2E156B"/>
    <w:rsid w:val="6C2E7B2C"/>
    <w:rsid w:val="6C360E04"/>
    <w:rsid w:val="6C3927E0"/>
    <w:rsid w:val="6C3CF28B"/>
    <w:rsid w:val="6C441CAE"/>
    <w:rsid w:val="6C5039D8"/>
    <w:rsid w:val="6C56F8B1"/>
    <w:rsid w:val="6C598665"/>
    <w:rsid w:val="6C5F1784"/>
    <w:rsid w:val="6C66705B"/>
    <w:rsid w:val="6C6B90E7"/>
    <w:rsid w:val="6C6FC070"/>
    <w:rsid w:val="6C76F775"/>
    <w:rsid w:val="6CA521A7"/>
    <w:rsid w:val="6CB31B33"/>
    <w:rsid w:val="6CBE1D90"/>
    <w:rsid w:val="6CCDD424"/>
    <w:rsid w:val="6CDE2249"/>
    <w:rsid w:val="6CE8E5AA"/>
    <w:rsid w:val="6CF1B2D7"/>
    <w:rsid w:val="6CF99591"/>
    <w:rsid w:val="6D070DAA"/>
    <w:rsid w:val="6D58BFF9"/>
    <w:rsid w:val="6D77AB91"/>
    <w:rsid w:val="6D7DCF18"/>
    <w:rsid w:val="6D7F0BF2"/>
    <w:rsid w:val="6D8636DA"/>
    <w:rsid w:val="6D904876"/>
    <w:rsid w:val="6D98C87F"/>
    <w:rsid w:val="6D9EB6C8"/>
    <w:rsid w:val="6DC76113"/>
    <w:rsid w:val="6DD7BC87"/>
    <w:rsid w:val="6DE67081"/>
    <w:rsid w:val="6DEADE2D"/>
    <w:rsid w:val="6DF556C6"/>
    <w:rsid w:val="6DF80697"/>
    <w:rsid w:val="6DFCFF2A"/>
    <w:rsid w:val="6E085DF4"/>
    <w:rsid w:val="6E161100"/>
    <w:rsid w:val="6E18187D"/>
    <w:rsid w:val="6E1833D5"/>
    <w:rsid w:val="6E272062"/>
    <w:rsid w:val="6E38E5FF"/>
    <w:rsid w:val="6E3D988A"/>
    <w:rsid w:val="6E408913"/>
    <w:rsid w:val="6E42536D"/>
    <w:rsid w:val="6E4A2D92"/>
    <w:rsid w:val="6E507C28"/>
    <w:rsid w:val="6E516FF6"/>
    <w:rsid w:val="6E61B757"/>
    <w:rsid w:val="6E6C619C"/>
    <w:rsid w:val="6E7140FE"/>
    <w:rsid w:val="6E7C6DBA"/>
    <w:rsid w:val="6E8C627C"/>
    <w:rsid w:val="6E934DAF"/>
    <w:rsid w:val="6E93C259"/>
    <w:rsid w:val="6E9A7196"/>
    <w:rsid w:val="6EADFB20"/>
    <w:rsid w:val="6EB1509C"/>
    <w:rsid w:val="6EB5C780"/>
    <w:rsid w:val="6EBF7B5F"/>
    <w:rsid w:val="6EC566DF"/>
    <w:rsid w:val="6EC7A213"/>
    <w:rsid w:val="6EC8C0A0"/>
    <w:rsid w:val="6ECBA66C"/>
    <w:rsid w:val="6ECBB9A1"/>
    <w:rsid w:val="6EE0AB46"/>
    <w:rsid w:val="6EE2B05D"/>
    <w:rsid w:val="6EE6A60A"/>
    <w:rsid w:val="6EF0A5A1"/>
    <w:rsid w:val="6F0E0BAA"/>
    <w:rsid w:val="6F1D7729"/>
    <w:rsid w:val="6F1DBE0A"/>
    <w:rsid w:val="6F283FD5"/>
    <w:rsid w:val="6F28F286"/>
    <w:rsid w:val="6F28F6E2"/>
    <w:rsid w:val="6F3061FA"/>
    <w:rsid w:val="6F421ACE"/>
    <w:rsid w:val="6F4C8A16"/>
    <w:rsid w:val="6F527CE4"/>
    <w:rsid w:val="6F52F9A9"/>
    <w:rsid w:val="6F6EE729"/>
    <w:rsid w:val="6F6FCC83"/>
    <w:rsid w:val="6F8A5305"/>
    <w:rsid w:val="6F8E54D3"/>
    <w:rsid w:val="6F942131"/>
    <w:rsid w:val="6FB68D4E"/>
    <w:rsid w:val="6FBA491A"/>
    <w:rsid w:val="6FC8FA7C"/>
    <w:rsid w:val="6FC9FA58"/>
    <w:rsid w:val="6FD640DF"/>
    <w:rsid w:val="6FDC7D97"/>
    <w:rsid w:val="6FE065C7"/>
    <w:rsid w:val="6FE6D413"/>
    <w:rsid w:val="6FE7095B"/>
    <w:rsid w:val="6FE74DB6"/>
    <w:rsid w:val="6FFE1618"/>
    <w:rsid w:val="70071FCB"/>
    <w:rsid w:val="70073D0D"/>
    <w:rsid w:val="700D9C7C"/>
    <w:rsid w:val="7011D435"/>
    <w:rsid w:val="7013D082"/>
    <w:rsid w:val="701D536F"/>
    <w:rsid w:val="702F324A"/>
    <w:rsid w:val="7036A982"/>
    <w:rsid w:val="703D4D4A"/>
    <w:rsid w:val="706B8BB1"/>
    <w:rsid w:val="706E937F"/>
    <w:rsid w:val="7086E734"/>
    <w:rsid w:val="708C3495"/>
    <w:rsid w:val="7098AB5C"/>
    <w:rsid w:val="70990120"/>
    <w:rsid w:val="70A70B9C"/>
    <w:rsid w:val="70ABEA01"/>
    <w:rsid w:val="70BEF684"/>
    <w:rsid w:val="70C15238"/>
    <w:rsid w:val="70CE4E1A"/>
    <w:rsid w:val="70D01BEB"/>
    <w:rsid w:val="70E3A1A2"/>
    <w:rsid w:val="70F11B3A"/>
    <w:rsid w:val="70F2E285"/>
    <w:rsid w:val="70FA519E"/>
    <w:rsid w:val="7101A2C9"/>
    <w:rsid w:val="710A157A"/>
    <w:rsid w:val="711E092F"/>
    <w:rsid w:val="7128EE21"/>
    <w:rsid w:val="712DD10C"/>
    <w:rsid w:val="71377EBD"/>
    <w:rsid w:val="713CACA1"/>
    <w:rsid w:val="714D1009"/>
    <w:rsid w:val="71553BC8"/>
    <w:rsid w:val="7167E618"/>
    <w:rsid w:val="71700BE1"/>
    <w:rsid w:val="717238ED"/>
    <w:rsid w:val="7175D3FF"/>
    <w:rsid w:val="718B6CE8"/>
    <w:rsid w:val="719374E3"/>
    <w:rsid w:val="719D6E07"/>
    <w:rsid w:val="71A29271"/>
    <w:rsid w:val="71A4619A"/>
    <w:rsid w:val="71E1C972"/>
    <w:rsid w:val="71E49AE0"/>
    <w:rsid w:val="71F65152"/>
    <w:rsid w:val="71FE3BAC"/>
    <w:rsid w:val="71FF42D5"/>
    <w:rsid w:val="720688AD"/>
    <w:rsid w:val="720A63E0"/>
    <w:rsid w:val="721833BE"/>
    <w:rsid w:val="72229ACF"/>
    <w:rsid w:val="722811E6"/>
    <w:rsid w:val="722C6EA7"/>
    <w:rsid w:val="722FD7BF"/>
    <w:rsid w:val="723B858F"/>
    <w:rsid w:val="72502F57"/>
    <w:rsid w:val="72547F9F"/>
    <w:rsid w:val="725967D1"/>
    <w:rsid w:val="726196C0"/>
    <w:rsid w:val="72687DD3"/>
    <w:rsid w:val="726F3507"/>
    <w:rsid w:val="726FF042"/>
    <w:rsid w:val="7274E74E"/>
    <w:rsid w:val="728E5A26"/>
    <w:rsid w:val="7295083A"/>
    <w:rsid w:val="729F0F96"/>
    <w:rsid w:val="72B32341"/>
    <w:rsid w:val="72B49509"/>
    <w:rsid w:val="72B78D12"/>
    <w:rsid w:val="72DA0922"/>
    <w:rsid w:val="72EA5E83"/>
    <w:rsid w:val="72F3CD2D"/>
    <w:rsid w:val="73128FCE"/>
    <w:rsid w:val="7316CAFF"/>
    <w:rsid w:val="731F6E77"/>
    <w:rsid w:val="73291A22"/>
    <w:rsid w:val="7339D84F"/>
    <w:rsid w:val="733F078F"/>
    <w:rsid w:val="73413439"/>
    <w:rsid w:val="7348B0EF"/>
    <w:rsid w:val="734EA7B9"/>
    <w:rsid w:val="73540BFE"/>
    <w:rsid w:val="7358D03D"/>
    <w:rsid w:val="73614E65"/>
    <w:rsid w:val="7368D9D7"/>
    <w:rsid w:val="736E4A44"/>
    <w:rsid w:val="7375F304"/>
    <w:rsid w:val="7386270B"/>
    <w:rsid w:val="7391EA3F"/>
    <w:rsid w:val="739221B3"/>
    <w:rsid w:val="7396239F"/>
    <w:rsid w:val="73997D17"/>
    <w:rsid w:val="739D6B78"/>
    <w:rsid w:val="73A32C73"/>
    <w:rsid w:val="73A5AA18"/>
    <w:rsid w:val="73AB867E"/>
    <w:rsid w:val="73BE05BC"/>
    <w:rsid w:val="73CB85EF"/>
    <w:rsid w:val="73CBA820"/>
    <w:rsid w:val="73DD025F"/>
    <w:rsid w:val="73DE11E7"/>
    <w:rsid w:val="73DE5CA2"/>
    <w:rsid w:val="73E3493D"/>
    <w:rsid w:val="73E74969"/>
    <w:rsid w:val="73EB3168"/>
    <w:rsid w:val="73F07D14"/>
    <w:rsid w:val="73FA030E"/>
    <w:rsid w:val="73FD384B"/>
    <w:rsid w:val="740E2661"/>
    <w:rsid w:val="74177AD2"/>
    <w:rsid w:val="7418498E"/>
    <w:rsid w:val="7434F72C"/>
    <w:rsid w:val="74400F8F"/>
    <w:rsid w:val="745393EC"/>
    <w:rsid w:val="746B16BD"/>
    <w:rsid w:val="74730521"/>
    <w:rsid w:val="747BB9F3"/>
    <w:rsid w:val="747DF2C9"/>
    <w:rsid w:val="748B56AB"/>
    <w:rsid w:val="7493A478"/>
    <w:rsid w:val="74BB3384"/>
    <w:rsid w:val="74C29D4F"/>
    <w:rsid w:val="74C945D0"/>
    <w:rsid w:val="74C9B8B9"/>
    <w:rsid w:val="74DBB3BA"/>
    <w:rsid w:val="74DE1A68"/>
    <w:rsid w:val="74E55E7B"/>
    <w:rsid w:val="74E968BE"/>
    <w:rsid w:val="74EB8EF8"/>
    <w:rsid w:val="74FF8396"/>
    <w:rsid w:val="750B613C"/>
    <w:rsid w:val="751F113E"/>
    <w:rsid w:val="75370099"/>
    <w:rsid w:val="75371B68"/>
    <w:rsid w:val="75383C7F"/>
    <w:rsid w:val="754D36C4"/>
    <w:rsid w:val="75505A52"/>
    <w:rsid w:val="75735A5B"/>
    <w:rsid w:val="757B1099"/>
    <w:rsid w:val="757BA60F"/>
    <w:rsid w:val="757E4654"/>
    <w:rsid w:val="757F5B24"/>
    <w:rsid w:val="757FF463"/>
    <w:rsid w:val="75824067"/>
    <w:rsid w:val="759AF192"/>
    <w:rsid w:val="75A912D0"/>
    <w:rsid w:val="75AA30F0"/>
    <w:rsid w:val="75AE1059"/>
    <w:rsid w:val="75B34EC9"/>
    <w:rsid w:val="75B43F55"/>
    <w:rsid w:val="75C0E95F"/>
    <w:rsid w:val="75C817D3"/>
    <w:rsid w:val="75DD768E"/>
    <w:rsid w:val="75E2FADE"/>
    <w:rsid w:val="75E53219"/>
    <w:rsid w:val="75F2A7F5"/>
    <w:rsid w:val="75FF09A4"/>
    <w:rsid w:val="75FFFD14"/>
    <w:rsid w:val="76158D01"/>
    <w:rsid w:val="762D4E7E"/>
    <w:rsid w:val="763AC4DE"/>
    <w:rsid w:val="7657893E"/>
    <w:rsid w:val="7667AFF3"/>
    <w:rsid w:val="767B6562"/>
    <w:rsid w:val="767FEF2B"/>
    <w:rsid w:val="768206BC"/>
    <w:rsid w:val="7697FC5C"/>
    <w:rsid w:val="76A71B4B"/>
    <w:rsid w:val="76BCCF23"/>
    <w:rsid w:val="76CBBD7B"/>
    <w:rsid w:val="76EBC720"/>
    <w:rsid w:val="76EC4D6C"/>
    <w:rsid w:val="76F74795"/>
    <w:rsid w:val="7703E0A3"/>
    <w:rsid w:val="77127778"/>
    <w:rsid w:val="77154575"/>
    <w:rsid w:val="77154C9B"/>
    <w:rsid w:val="77182549"/>
    <w:rsid w:val="77200767"/>
    <w:rsid w:val="77293ABE"/>
    <w:rsid w:val="772D1F3F"/>
    <w:rsid w:val="772F9A34"/>
    <w:rsid w:val="77319B9E"/>
    <w:rsid w:val="774316E7"/>
    <w:rsid w:val="77626258"/>
    <w:rsid w:val="776E94A5"/>
    <w:rsid w:val="7777B571"/>
    <w:rsid w:val="777FB0D4"/>
    <w:rsid w:val="778312A9"/>
    <w:rsid w:val="7783E059"/>
    <w:rsid w:val="77A1F8B9"/>
    <w:rsid w:val="77A45F7B"/>
    <w:rsid w:val="77B567CB"/>
    <w:rsid w:val="77B6E593"/>
    <w:rsid w:val="77BDE4CD"/>
    <w:rsid w:val="77D88D02"/>
    <w:rsid w:val="77E124C4"/>
    <w:rsid w:val="77E20429"/>
    <w:rsid w:val="77E7E9FF"/>
    <w:rsid w:val="77F6FBE2"/>
    <w:rsid w:val="781275D2"/>
    <w:rsid w:val="7815FEC3"/>
    <w:rsid w:val="7818AE61"/>
    <w:rsid w:val="781B2137"/>
    <w:rsid w:val="781E4FD2"/>
    <w:rsid w:val="781E5C88"/>
    <w:rsid w:val="7829F402"/>
    <w:rsid w:val="782E5980"/>
    <w:rsid w:val="783BE2F4"/>
    <w:rsid w:val="783E112F"/>
    <w:rsid w:val="7841D259"/>
    <w:rsid w:val="7859A0C4"/>
    <w:rsid w:val="78645477"/>
    <w:rsid w:val="786C0C1A"/>
    <w:rsid w:val="786F2A02"/>
    <w:rsid w:val="788F33FB"/>
    <w:rsid w:val="7895BAC2"/>
    <w:rsid w:val="7896B995"/>
    <w:rsid w:val="78A295DD"/>
    <w:rsid w:val="78B69073"/>
    <w:rsid w:val="78C0B395"/>
    <w:rsid w:val="78CC2625"/>
    <w:rsid w:val="78E17AE4"/>
    <w:rsid w:val="78EBA405"/>
    <w:rsid w:val="79141AB7"/>
    <w:rsid w:val="791B8135"/>
    <w:rsid w:val="791F3159"/>
    <w:rsid w:val="79227F83"/>
    <w:rsid w:val="792BBDEB"/>
    <w:rsid w:val="792DE75F"/>
    <w:rsid w:val="792DEA03"/>
    <w:rsid w:val="792EF295"/>
    <w:rsid w:val="7938CB5D"/>
    <w:rsid w:val="793B6861"/>
    <w:rsid w:val="794B4409"/>
    <w:rsid w:val="794D63B7"/>
    <w:rsid w:val="7950C633"/>
    <w:rsid w:val="7965B32D"/>
    <w:rsid w:val="796DAA06"/>
    <w:rsid w:val="796EBD1A"/>
    <w:rsid w:val="7982692B"/>
    <w:rsid w:val="7983BA60"/>
    <w:rsid w:val="79A071C5"/>
    <w:rsid w:val="79A25069"/>
    <w:rsid w:val="79BA0719"/>
    <w:rsid w:val="79D2F1FF"/>
    <w:rsid w:val="79D3D2C6"/>
    <w:rsid w:val="79D4B255"/>
    <w:rsid w:val="79EE0330"/>
    <w:rsid w:val="79F876F1"/>
    <w:rsid w:val="79F8930C"/>
    <w:rsid w:val="79FDEEC6"/>
    <w:rsid w:val="7A07DB2F"/>
    <w:rsid w:val="7A0814F4"/>
    <w:rsid w:val="7A118815"/>
    <w:rsid w:val="7A17970C"/>
    <w:rsid w:val="7A2B3725"/>
    <w:rsid w:val="7A2D508A"/>
    <w:rsid w:val="7A37FCE2"/>
    <w:rsid w:val="7A398D2B"/>
    <w:rsid w:val="7A461A5F"/>
    <w:rsid w:val="7A59A4E0"/>
    <w:rsid w:val="7A5D3DCD"/>
    <w:rsid w:val="7A6F5B99"/>
    <w:rsid w:val="7A7258A5"/>
    <w:rsid w:val="7A72E989"/>
    <w:rsid w:val="7A735314"/>
    <w:rsid w:val="7A7A504E"/>
    <w:rsid w:val="7A81EC95"/>
    <w:rsid w:val="7A84A34F"/>
    <w:rsid w:val="7A943D96"/>
    <w:rsid w:val="7A9D4F56"/>
    <w:rsid w:val="7AB8EB17"/>
    <w:rsid w:val="7ABA280D"/>
    <w:rsid w:val="7AD090AA"/>
    <w:rsid w:val="7AD99B85"/>
    <w:rsid w:val="7ADE62AB"/>
    <w:rsid w:val="7AED624F"/>
    <w:rsid w:val="7AFADB2D"/>
    <w:rsid w:val="7AFE7970"/>
    <w:rsid w:val="7B11EE50"/>
    <w:rsid w:val="7B176907"/>
    <w:rsid w:val="7B1A79C7"/>
    <w:rsid w:val="7B2AFA61"/>
    <w:rsid w:val="7B305FEB"/>
    <w:rsid w:val="7B3261AA"/>
    <w:rsid w:val="7B4481D1"/>
    <w:rsid w:val="7B455A4A"/>
    <w:rsid w:val="7B504F23"/>
    <w:rsid w:val="7B50E955"/>
    <w:rsid w:val="7B624A47"/>
    <w:rsid w:val="7B670A3C"/>
    <w:rsid w:val="7B6CD25E"/>
    <w:rsid w:val="7B72AFE6"/>
    <w:rsid w:val="7B7F8DF8"/>
    <w:rsid w:val="7B83D3C7"/>
    <w:rsid w:val="7B88C76B"/>
    <w:rsid w:val="7B8D3249"/>
    <w:rsid w:val="7BA15E17"/>
    <w:rsid w:val="7BA9E397"/>
    <w:rsid w:val="7BC12037"/>
    <w:rsid w:val="7BC50F0D"/>
    <w:rsid w:val="7BC763FB"/>
    <w:rsid w:val="7BD1721D"/>
    <w:rsid w:val="7BE1EAC0"/>
    <w:rsid w:val="7BEE5B22"/>
    <w:rsid w:val="7BF6C1B3"/>
    <w:rsid w:val="7C1F0B94"/>
    <w:rsid w:val="7C2CA74B"/>
    <w:rsid w:val="7C3C4467"/>
    <w:rsid w:val="7C4E8276"/>
    <w:rsid w:val="7C569126"/>
    <w:rsid w:val="7C809219"/>
    <w:rsid w:val="7C88D191"/>
    <w:rsid w:val="7C948B39"/>
    <w:rsid w:val="7C9AD8B3"/>
    <w:rsid w:val="7C9E01DB"/>
    <w:rsid w:val="7CA14FB8"/>
    <w:rsid w:val="7CA23B9A"/>
    <w:rsid w:val="7CA484E8"/>
    <w:rsid w:val="7CABD465"/>
    <w:rsid w:val="7CAC7F80"/>
    <w:rsid w:val="7CBE4B49"/>
    <w:rsid w:val="7CC6D0D6"/>
    <w:rsid w:val="7CC9333A"/>
    <w:rsid w:val="7CCD070D"/>
    <w:rsid w:val="7CECB9B6"/>
    <w:rsid w:val="7CFD1D4E"/>
    <w:rsid w:val="7D01C1A8"/>
    <w:rsid w:val="7D040917"/>
    <w:rsid w:val="7D348C34"/>
    <w:rsid w:val="7D3B9AAE"/>
    <w:rsid w:val="7D453BAC"/>
    <w:rsid w:val="7D64F14C"/>
    <w:rsid w:val="7D6C5C87"/>
    <w:rsid w:val="7D6F1AFE"/>
    <w:rsid w:val="7D74B74D"/>
    <w:rsid w:val="7D766536"/>
    <w:rsid w:val="7D7E2738"/>
    <w:rsid w:val="7D82C5CA"/>
    <w:rsid w:val="7D854D17"/>
    <w:rsid w:val="7D87C7F7"/>
    <w:rsid w:val="7D8A4CDA"/>
    <w:rsid w:val="7D942FAD"/>
    <w:rsid w:val="7D9E5BB2"/>
    <w:rsid w:val="7DB4040B"/>
    <w:rsid w:val="7DB6C500"/>
    <w:rsid w:val="7DC91FF5"/>
    <w:rsid w:val="7DD4CCF2"/>
    <w:rsid w:val="7DD9805B"/>
    <w:rsid w:val="7DDBC449"/>
    <w:rsid w:val="7DE96D4A"/>
    <w:rsid w:val="7DF66AE8"/>
    <w:rsid w:val="7DFDA2FB"/>
    <w:rsid w:val="7E176F85"/>
    <w:rsid w:val="7E25AD6D"/>
    <w:rsid w:val="7E324D5C"/>
    <w:rsid w:val="7E489A8D"/>
    <w:rsid w:val="7E56BD31"/>
    <w:rsid w:val="7E642667"/>
    <w:rsid w:val="7E7A9D0D"/>
    <w:rsid w:val="7E81A392"/>
    <w:rsid w:val="7E91AC0D"/>
    <w:rsid w:val="7E9254D7"/>
    <w:rsid w:val="7E97BF34"/>
    <w:rsid w:val="7EA680AF"/>
    <w:rsid w:val="7EAFAD0E"/>
    <w:rsid w:val="7EB00248"/>
    <w:rsid w:val="7EB895B6"/>
    <w:rsid w:val="7EBB09ED"/>
    <w:rsid w:val="7EC11005"/>
    <w:rsid w:val="7EC515CA"/>
    <w:rsid w:val="7ED699C7"/>
    <w:rsid w:val="7EDAF1BC"/>
    <w:rsid w:val="7EE52617"/>
    <w:rsid w:val="7EF16D75"/>
    <w:rsid w:val="7F2D324F"/>
    <w:rsid w:val="7F511A16"/>
    <w:rsid w:val="7F555564"/>
    <w:rsid w:val="7F5A899D"/>
    <w:rsid w:val="7F636016"/>
    <w:rsid w:val="7F75F4DA"/>
    <w:rsid w:val="7F7B6496"/>
    <w:rsid w:val="7F7C5572"/>
    <w:rsid w:val="7F976F21"/>
    <w:rsid w:val="7F9C090A"/>
    <w:rsid w:val="7FA77070"/>
    <w:rsid w:val="7FAA3DA9"/>
    <w:rsid w:val="7FAAAC99"/>
    <w:rsid w:val="7FBCED98"/>
    <w:rsid w:val="7FC079B0"/>
    <w:rsid w:val="7FD2C417"/>
    <w:rsid w:val="7FD7AC98"/>
    <w:rsid w:val="7FE0ABD9"/>
    <w:rsid w:val="7FE34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BB7"/>
    <w:pPr>
      <w:spacing w:after="0" w:line="240" w:lineRule="auto"/>
      <w:jc w:val="both"/>
    </w:pPr>
    <w:rPr>
      <w:rFonts w:ascii="Calibri" w:eastAsia="Times New Roman" w:hAnsi="Calibri" w:cs="Times New Roman"/>
      <w:color w:val="1F1F1F" w:themeColor="background2" w:themeShade="80"/>
      <w:sz w:val="21"/>
      <w:szCs w:val="20"/>
      <w:lang w:val="en-US"/>
    </w:rPr>
  </w:style>
  <w:style w:type="paragraph" w:styleId="Heading1">
    <w:name w:val="heading 1"/>
    <w:basedOn w:val="Normal"/>
    <w:next w:val="Normal"/>
    <w:link w:val="Heading1Char"/>
    <w:autoRedefine/>
    <w:uiPriority w:val="9"/>
    <w:qFormat/>
    <w:rsid w:val="00DC3405"/>
    <w:pPr>
      <w:keepNext/>
      <w:keepLines/>
      <w:numPr>
        <w:numId w:val="6"/>
      </w:numPr>
      <w:spacing w:before="240"/>
      <w:ind w:left="426"/>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5D6854"/>
    <w:pPr>
      <w:keepNext/>
      <w:keepLines/>
      <w:numPr>
        <w:ilvl w:val="1"/>
        <w:numId w:val="6"/>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DC3405"/>
    <w:pPr>
      <w:keepNext/>
      <w:keepLines/>
      <w:numPr>
        <w:ilvl w:val="2"/>
        <w:numId w:val="6"/>
      </w:numPr>
      <w:spacing w:before="40"/>
      <w:ind w:left="426"/>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2E0EBC"/>
    <w:pPr>
      <w:keepNext/>
      <w:keepLines/>
      <w:numPr>
        <w:ilvl w:val="3"/>
        <w:numId w:val="6"/>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6"/>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6"/>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5"/>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5"/>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5"/>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DC3405"/>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5D6854"/>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DC3405"/>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2E0EBC"/>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
    <w:basedOn w:val="Normal"/>
    <w:next w:val="Normal"/>
    <w:link w:val="CaptionChar"/>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unhideWhenUsed/>
    <w:rsid w:val="000A72A2"/>
    <w:rPr>
      <w:sz w:val="20"/>
    </w:rPr>
  </w:style>
  <w:style w:type="character" w:customStyle="1" w:styleId="CommentTextChar">
    <w:name w:val="Comment Text Char"/>
    <w:basedOn w:val="DefaultParagraphFont"/>
    <w:link w:val="CommentText"/>
    <w:uiPriority w:val="99"/>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E0093"/>
    <w:pPr>
      <w:spacing w:after="0" w:line="240" w:lineRule="auto"/>
      <w:jc w:val="both"/>
    </w:pPr>
    <w:rPr>
      <w:rFonts w:ascii="Calibri" w:eastAsia="Times New Roman" w:hAnsi="Calibri" w:cs="Times New Roman"/>
      <w:color w:val="1F1F1F" w:themeColor="background2" w:themeShade="80"/>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paragraph" w:styleId="NormalWeb">
    <w:name w:val="Normal (Web)"/>
    <w:basedOn w:val="Normal"/>
    <w:uiPriority w:val="99"/>
    <w:semiHidden/>
    <w:unhideWhenUsed/>
    <w:rsid w:val="00B70F9E"/>
    <w:pPr>
      <w:spacing w:before="100" w:beforeAutospacing="1" w:after="100" w:afterAutospacing="1"/>
      <w:jc w:val="left"/>
    </w:pPr>
    <w:rPr>
      <w:rFonts w:ascii="Times New Roman" w:hAnsi="Times New Roman"/>
      <w:color w:val="auto"/>
      <w:sz w:val="24"/>
      <w:szCs w:val="24"/>
    </w:rPr>
  </w:style>
  <w:style w:type="character" w:customStyle="1" w:styleId="UnresolvedMention1">
    <w:name w:val="Unresolved Mention1"/>
    <w:basedOn w:val="DefaultParagraphFont"/>
    <w:uiPriority w:val="99"/>
    <w:semiHidden/>
    <w:unhideWhenUsed/>
    <w:rsid w:val="000E35B6"/>
    <w:rPr>
      <w:color w:val="605E5C"/>
      <w:shd w:val="clear" w:color="auto" w:fill="E1DFDD"/>
    </w:rPr>
  </w:style>
  <w:style w:type="character" w:customStyle="1" w:styleId="normaltextrun">
    <w:name w:val="normaltextrun"/>
    <w:basedOn w:val="DefaultParagraphFont"/>
    <w:rsid w:val="006569ED"/>
  </w:style>
  <w:style w:type="character" w:customStyle="1" w:styleId="eop">
    <w:name w:val="eop"/>
    <w:basedOn w:val="DefaultParagraphFont"/>
    <w:rsid w:val="00A11736"/>
  </w:style>
  <w:style w:type="paragraph" w:customStyle="1" w:styleId="paragraph">
    <w:name w:val="paragraph"/>
    <w:basedOn w:val="Normal"/>
    <w:rsid w:val="00340A14"/>
    <w:pPr>
      <w:spacing w:before="100" w:beforeAutospacing="1" w:after="100" w:afterAutospacing="1"/>
      <w:jc w:val="left"/>
    </w:pPr>
    <w:rPr>
      <w:rFonts w:ascii="Times New Roman" w:hAnsi="Times New Roman"/>
      <w:color w:val="auto"/>
      <w:sz w:val="24"/>
      <w:szCs w:val="24"/>
    </w:rPr>
  </w:style>
  <w:style w:type="paragraph" w:styleId="EndnoteText">
    <w:name w:val="endnote text"/>
    <w:basedOn w:val="Normal"/>
    <w:link w:val="EndnoteTextChar"/>
    <w:uiPriority w:val="99"/>
    <w:semiHidden/>
    <w:unhideWhenUsed/>
    <w:rsid w:val="00663E00"/>
    <w:rPr>
      <w:sz w:val="20"/>
    </w:rPr>
  </w:style>
  <w:style w:type="character" w:customStyle="1" w:styleId="EndnoteTextChar">
    <w:name w:val="Endnote Text Char"/>
    <w:basedOn w:val="DefaultParagraphFont"/>
    <w:link w:val="EndnoteText"/>
    <w:uiPriority w:val="99"/>
    <w:semiHidden/>
    <w:rsid w:val="00663E00"/>
    <w:rPr>
      <w:rFonts w:ascii="Calibri" w:eastAsia="Times New Roman" w:hAnsi="Calibri" w:cs="Times New Roman"/>
      <w:color w:val="1F1F1F" w:themeColor="background2" w:themeShade="80"/>
      <w:sz w:val="20"/>
      <w:szCs w:val="20"/>
      <w:lang w:val="en-US"/>
    </w:rPr>
  </w:style>
  <w:style w:type="character" w:styleId="EndnoteReference">
    <w:name w:val="endnote reference"/>
    <w:basedOn w:val="DefaultParagraphFont"/>
    <w:uiPriority w:val="99"/>
    <w:semiHidden/>
    <w:unhideWhenUsed/>
    <w:rsid w:val="00663E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42443">
      <w:bodyDiv w:val="1"/>
      <w:marLeft w:val="0"/>
      <w:marRight w:val="0"/>
      <w:marTop w:val="0"/>
      <w:marBottom w:val="0"/>
      <w:divBdr>
        <w:top w:val="none" w:sz="0" w:space="0" w:color="auto"/>
        <w:left w:val="none" w:sz="0" w:space="0" w:color="auto"/>
        <w:bottom w:val="none" w:sz="0" w:space="0" w:color="auto"/>
        <w:right w:val="none" w:sz="0" w:space="0" w:color="auto"/>
      </w:divBdr>
      <w:divsChild>
        <w:div w:id="436875054">
          <w:marLeft w:val="0"/>
          <w:marRight w:val="0"/>
          <w:marTop w:val="0"/>
          <w:marBottom w:val="0"/>
          <w:divBdr>
            <w:top w:val="none" w:sz="0" w:space="0" w:color="auto"/>
            <w:left w:val="none" w:sz="0" w:space="0" w:color="auto"/>
            <w:bottom w:val="none" w:sz="0" w:space="0" w:color="auto"/>
            <w:right w:val="none" w:sz="0" w:space="0" w:color="auto"/>
          </w:divBdr>
        </w:div>
        <w:div w:id="292297692">
          <w:marLeft w:val="0"/>
          <w:marRight w:val="0"/>
          <w:marTop w:val="0"/>
          <w:marBottom w:val="0"/>
          <w:divBdr>
            <w:top w:val="none" w:sz="0" w:space="0" w:color="auto"/>
            <w:left w:val="none" w:sz="0" w:space="0" w:color="auto"/>
            <w:bottom w:val="none" w:sz="0" w:space="0" w:color="auto"/>
            <w:right w:val="none" w:sz="0" w:space="0" w:color="auto"/>
          </w:divBdr>
        </w:div>
        <w:div w:id="1271207546">
          <w:marLeft w:val="0"/>
          <w:marRight w:val="0"/>
          <w:marTop w:val="0"/>
          <w:marBottom w:val="0"/>
          <w:divBdr>
            <w:top w:val="none" w:sz="0" w:space="0" w:color="auto"/>
            <w:left w:val="none" w:sz="0" w:space="0" w:color="auto"/>
            <w:bottom w:val="none" w:sz="0" w:space="0" w:color="auto"/>
            <w:right w:val="none" w:sz="0" w:space="0" w:color="auto"/>
          </w:divBdr>
        </w:div>
        <w:div w:id="1240753282">
          <w:marLeft w:val="0"/>
          <w:marRight w:val="0"/>
          <w:marTop w:val="0"/>
          <w:marBottom w:val="0"/>
          <w:divBdr>
            <w:top w:val="none" w:sz="0" w:space="0" w:color="auto"/>
            <w:left w:val="none" w:sz="0" w:space="0" w:color="auto"/>
            <w:bottom w:val="none" w:sz="0" w:space="0" w:color="auto"/>
            <w:right w:val="none" w:sz="0" w:space="0" w:color="auto"/>
          </w:divBdr>
        </w:div>
        <w:div w:id="1781997468">
          <w:marLeft w:val="0"/>
          <w:marRight w:val="0"/>
          <w:marTop w:val="0"/>
          <w:marBottom w:val="0"/>
          <w:divBdr>
            <w:top w:val="none" w:sz="0" w:space="0" w:color="auto"/>
            <w:left w:val="none" w:sz="0" w:space="0" w:color="auto"/>
            <w:bottom w:val="none" w:sz="0" w:space="0" w:color="auto"/>
            <w:right w:val="none" w:sz="0" w:space="0" w:color="auto"/>
          </w:divBdr>
        </w:div>
        <w:div w:id="581524891">
          <w:marLeft w:val="0"/>
          <w:marRight w:val="0"/>
          <w:marTop w:val="0"/>
          <w:marBottom w:val="0"/>
          <w:divBdr>
            <w:top w:val="none" w:sz="0" w:space="0" w:color="auto"/>
            <w:left w:val="none" w:sz="0" w:space="0" w:color="auto"/>
            <w:bottom w:val="none" w:sz="0" w:space="0" w:color="auto"/>
            <w:right w:val="none" w:sz="0" w:space="0" w:color="auto"/>
          </w:divBdr>
        </w:div>
        <w:div w:id="660500491">
          <w:marLeft w:val="0"/>
          <w:marRight w:val="0"/>
          <w:marTop w:val="0"/>
          <w:marBottom w:val="0"/>
          <w:divBdr>
            <w:top w:val="none" w:sz="0" w:space="0" w:color="auto"/>
            <w:left w:val="none" w:sz="0" w:space="0" w:color="auto"/>
            <w:bottom w:val="none" w:sz="0" w:space="0" w:color="auto"/>
            <w:right w:val="none" w:sz="0" w:space="0" w:color="auto"/>
          </w:divBdr>
          <w:divsChild>
            <w:div w:id="1638409193">
              <w:marLeft w:val="0"/>
              <w:marRight w:val="0"/>
              <w:marTop w:val="30"/>
              <w:marBottom w:val="30"/>
              <w:divBdr>
                <w:top w:val="none" w:sz="0" w:space="0" w:color="auto"/>
                <w:left w:val="none" w:sz="0" w:space="0" w:color="auto"/>
                <w:bottom w:val="none" w:sz="0" w:space="0" w:color="auto"/>
                <w:right w:val="none" w:sz="0" w:space="0" w:color="auto"/>
              </w:divBdr>
              <w:divsChild>
                <w:div w:id="1555656786">
                  <w:marLeft w:val="0"/>
                  <w:marRight w:val="0"/>
                  <w:marTop w:val="0"/>
                  <w:marBottom w:val="0"/>
                  <w:divBdr>
                    <w:top w:val="none" w:sz="0" w:space="0" w:color="auto"/>
                    <w:left w:val="none" w:sz="0" w:space="0" w:color="auto"/>
                    <w:bottom w:val="none" w:sz="0" w:space="0" w:color="auto"/>
                    <w:right w:val="none" w:sz="0" w:space="0" w:color="auto"/>
                  </w:divBdr>
                  <w:divsChild>
                    <w:div w:id="564801148">
                      <w:marLeft w:val="0"/>
                      <w:marRight w:val="0"/>
                      <w:marTop w:val="0"/>
                      <w:marBottom w:val="0"/>
                      <w:divBdr>
                        <w:top w:val="none" w:sz="0" w:space="0" w:color="auto"/>
                        <w:left w:val="none" w:sz="0" w:space="0" w:color="auto"/>
                        <w:bottom w:val="none" w:sz="0" w:space="0" w:color="auto"/>
                        <w:right w:val="none" w:sz="0" w:space="0" w:color="auto"/>
                      </w:divBdr>
                    </w:div>
                  </w:divsChild>
                </w:div>
                <w:div w:id="547495929">
                  <w:marLeft w:val="0"/>
                  <w:marRight w:val="0"/>
                  <w:marTop w:val="0"/>
                  <w:marBottom w:val="0"/>
                  <w:divBdr>
                    <w:top w:val="none" w:sz="0" w:space="0" w:color="auto"/>
                    <w:left w:val="none" w:sz="0" w:space="0" w:color="auto"/>
                    <w:bottom w:val="none" w:sz="0" w:space="0" w:color="auto"/>
                    <w:right w:val="none" w:sz="0" w:space="0" w:color="auto"/>
                  </w:divBdr>
                  <w:divsChild>
                    <w:div w:id="487483190">
                      <w:marLeft w:val="0"/>
                      <w:marRight w:val="0"/>
                      <w:marTop w:val="0"/>
                      <w:marBottom w:val="0"/>
                      <w:divBdr>
                        <w:top w:val="none" w:sz="0" w:space="0" w:color="auto"/>
                        <w:left w:val="none" w:sz="0" w:space="0" w:color="auto"/>
                        <w:bottom w:val="none" w:sz="0" w:space="0" w:color="auto"/>
                        <w:right w:val="none" w:sz="0" w:space="0" w:color="auto"/>
                      </w:divBdr>
                    </w:div>
                  </w:divsChild>
                </w:div>
                <w:div w:id="1629628484">
                  <w:marLeft w:val="0"/>
                  <w:marRight w:val="0"/>
                  <w:marTop w:val="0"/>
                  <w:marBottom w:val="0"/>
                  <w:divBdr>
                    <w:top w:val="none" w:sz="0" w:space="0" w:color="auto"/>
                    <w:left w:val="none" w:sz="0" w:space="0" w:color="auto"/>
                    <w:bottom w:val="none" w:sz="0" w:space="0" w:color="auto"/>
                    <w:right w:val="none" w:sz="0" w:space="0" w:color="auto"/>
                  </w:divBdr>
                  <w:divsChild>
                    <w:div w:id="686639552">
                      <w:marLeft w:val="0"/>
                      <w:marRight w:val="0"/>
                      <w:marTop w:val="0"/>
                      <w:marBottom w:val="0"/>
                      <w:divBdr>
                        <w:top w:val="none" w:sz="0" w:space="0" w:color="auto"/>
                        <w:left w:val="none" w:sz="0" w:space="0" w:color="auto"/>
                        <w:bottom w:val="none" w:sz="0" w:space="0" w:color="auto"/>
                        <w:right w:val="none" w:sz="0" w:space="0" w:color="auto"/>
                      </w:divBdr>
                    </w:div>
                  </w:divsChild>
                </w:div>
                <w:div w:id="799960618">
                  <w:marLeft w:val="0"/>
                  <w:marRight w:val="0"/>
                  <w:marTop w:val="0"/>
                  <w:marBottom w:val="0"/>
                  <w:divBdr>
                    <w:top w:val="none" w:sz="0" w:space="0" w:color="auto"/>
                    <w:left w:val="none" w:sz="0" w:space="0" w:color="auto"/>
                    <w:bottom w:val="none" w:sz="0" w:space="0" w:color="auto"/>
                    <w:right w:val="none" w:sz="0" w:space="0" w:color="auto"/>
                  </w:divBdr>
                  <w:divsChild>
                    <w:div w:id="1269310604">
                      <w:marLeft w:val="0"/>
                      <w:marRight w:val="0"/>
                      <w:marTop w:val="0"/>
                      <w:marBottom w:val="0"/>
                      <w:divBdr>
                        <w:top w:val="none" w:sz="0" w:space="0" w:color="auto"/>
                        <w:left w:val="none" w:sz="0" w:space="0" w:color="auto"/>
                        <w:bottom w:val="none" w:sz="0" w:space="0" w:color="auto"/>
                        <w:right w:val="none" w:sz="0" w:space="0" w:color="auto"/>
                      </w:divBdr>
                    </w:div>
                  </w:divsChild>
                </w:div>
                <w:div w:id="213197918">
                  <w:marLeft w:val="0"/>
                  <w:marRight w:val="0"/>
                  <w:marTop w:val="0"/>
                  <w:marBottom w:val="0"/>
                  <w:divBdr>
                    <w:top w:val="none" w:sz="0" w:space="0" w:color="auto"/>
                    <w:left w:val="none" w:sz="0" w:space="0" w:color="auto"/>
                    <w:bottom w:val="none" w:sz="0" w:space="0" w:color="auto"/>
                    <w:right w:val="none" w:sz="0" w:space="0" w:color="auto"/>
                  </w:divBdr>
                  <w:divsChild>
                    <w:div w:id="1498808467">
                      <w:marLeft w:val="0"/>
                      <w:marRight w:val="0"/>
                      <w:marTop w:val="0"/>
                      <w:marBottom w:val="0"/>
                      <w:divBdr>
                        <w:top w:val="none" w:sz="0" w:space="0" w:color="auto"/>
                        <w:left w:val="none" w:sz="0" w:space="0" w:color="auto"/>
                        <w:bottom w:val="none" w:sz="0" w:space="0" w:color="auto"/>
                        <w:right w:val="none" w:sz="0" w:space="0" w:color="auto"/>
                      </w:divBdr>
                    </w:div>
                  </w:divsChild>
                </w:div>
                <w:div w:id="1083917667">
                  <w:marLeft w:val="0"/>
                  <w:marRight w:val="0"/>
                  <w:marTop w:val="0"/>
                  <w:marBottom w:val="0"/>
                  <w:divBdr>
                    <w:top w:val="none" w:sz="0" w:space="0" w:color="auto"/>
                    <w:left w:val="none" w:sz="0" w:space="0" w:color="auto"/>
                    <w:bottom w:val="none" w:sz="0" w:space="0" w:color="auto"/>
                    <w:right w:val="none" w:sz="0" w:space="0" w:color="auto"/>
                  </w:divBdr>
                  <w:divsChild>
                    <w:div w:id="995955835">
                      <w:marLeft w:val="0"/>
                      <w:marRight w:val="0"/>
                      <w:marTop w:val="0"/>
                      <w:marBottom w:val="0"/>
                      <w:divBdr>
                        <w:top w:val="none" w:sz="0" w:space="0" w:color="auto"/>
                        <w:left w:val="none" w:sz="0" w:space="0" w:color="auto"/>
                        <w:bottom w:val="none" w:sz="0" w:space="0" w:color="auto"/>
                        <w:right w:val="none" w:sz="0" w:space="0" w:color="auto"/>
                      </w:divBdr>
                    </w:div>
                  </w:divsChild>
                </w:div>
                <w:div w:id="36781351">
                  <w:marLeft w:val="0"/>
                  <w:marRight w:val="0"/>
                  <w:marTop w:val="0"/>
                  <w:marBottom w:val="0"/>
                  <w:divBdr>
                    <w:top w:val="none" w:sz="0" w:space="0" w:color="auto"/>
                    <w:left w:val="none" w:sz="0" w:space="0" w:color="auto"/>
                    <w:bottom w:val="none" w:sz="0" w:space="0" w:color="auto"/>
                    <w:right w:val="none" w:sz="0" w:space="0" w:color="auto"/>
                  </w:divBdr>
                  <w:divsChild>
                    <w:div w:id="289481964">
                      <w:marLeft w:val="0"/>
                      <w:marRight w:val="0"/>
                      <w:marTop w:val="0"/>
                      <w:marBottom w:val="0"/>
                      <w:divBdr>
                        <w:top w:val="none" w:sz="0" w:space="0" w:color="auto"/>
                        <w:left w:val="none" w:sz="0" w:space="0" w:color="auto"/>
                        <w:bottom w:val="none" w:sz="0" w:space="0" w:color="auto"/>
                        <w:right w:val="none" w:sz="0" w:space="0" w:color="auto"/>
                      </w:divBdr>
                    </w:div>
                  </w:divsChild>
                </w:div>
                <w:div w:id="1012535925">
                  <w:marLeft w:val="0"/>
                  <w:marRight w:val="0"/>
                  <w:marTop w:val="0"/>
                  <w:marBottom w:val="0"/>
                  <w:divBdr>
                    <w:top w:val="none" w:sz="0" w:space="0" w:color="auto"/>
                    <w:left w:val="none" w:sz="0" w:space="0" w:color="auto"/>
                    <w:bottom w:val="none" w:sz="0" w:space="0" w:color="auto"/>
                    <w:right w:val="none" w:sz="0" w:space="0" w:color="auto"/>
                  </w:divBdr>
                  <w:divsChild>
                    <w:div w:id="572423749">
                      <w:marLeft w:val="0"/>
                      <w:marRight w:val="0"/>
                      <w:marTop w:val="0"/>
                      <w:marBottom w:val="0"/>
                      <w:divBdr>
                        <w:top w:val="none" w:sz="0" w:space="0" w:color="auto"/>
                        <w:left w:val="none" w:sz="0" w:space="0" w:color="auto"/>
                        <w:bottom w:val="none" w:sz="0" w:space="0" w:color="auto"/>
                        <w:right w:val="none" w:sz="0" w:space="0" w:color="auto"/>
                      </w:divBdr>
                    </w:div>
                  </w:divsChild>
                </w:div>
                <w:div w:id="811564026">
                  <w:marLeft w:val="0"/>
                  <w:marRight w:val="0"/>
                  <w:marTop w:val="0"/>
                  <w:marBottom w:val="0"/>
                  <w:divBdr>
                    <w:top w:val="none" w:sz="0" w:space="0" w:color="auto"/>
                    <w:left w:val="none" w:sz="0" w:space="0" w:color="auto"/>
                    <w:bottom w:val="none" w:sz="0" w:space="0" w:color="auto"/>
                    <w:right w:val="none" w:sz="0" w:space="0" w:color="auto"/>
                  </w:divBdr>
                  <w:divsChild>
                    <w:div w:id="463543416">
                      <w:marLeft w:val="0"/>
                      <w:marRight w:val="0"/>
                      <w:marTop w:val="0"/>
                      <w:marBottom w:val="0"/>
                      <w:divBdr>
                        <w:top w:val="none" w:sz="0" w:space="0" w:color="auto"/>
                        <w:left w:val="none" w:sz="0" w:space="0" w:color="auto"/>
                        <w:bottom w:val="none" w:sz="0" w:space="0" w:color="auto"/>
                        <w:right w:val="none" w:sz="0" w:space="0" w:color="auto"/>
                      </w:divBdr>
                    </w:div>
                  </w:divsChild>
                </w:div>
                <w:div w:id="882710878">
                  <w:marLeft w:val="0"/>
                  <w:marRight w:val="0"/>
                  <w:marTop w:val="0"/>
                  <w:marBottom w:val="0"/>
                  <w:divBdr>
                    <w:top w:val="none" w:sz="0" w:space="0" w:color="auto"/>
                    <w:left w:val="none" w:sz="0" w:space="0" w:color="auto"/>
                    <w:bottom w:val="none" w:sz="0" w:space="0" w:color="auto"/>
                    <w:right w:val="none" w:sz="0" w:space="0" w:color="auto"/>
                  </w:divBdr>
                  <w:divsChild>
                    <w:div w:id="1304457702">
                      <w:marLeft w:val="0"/>
                      <w:marRight w:val="0"/>
                      <w:marTop w:val="0"/>
                      <w:marBottom w:val="0"/>
                      <w:divBdr>
                        <w:top w:val="none" w:sz="0" w:space="0" w:color="auto"/>
                        <w:left w:val="none" w:sz="0" w:space="0" w:color="auto"/>
                        <w:bottom w:val="none" w:sz="0" w:space="0" w:color="auto"/>
                        <w:right w:val="none" w:sz="0" w:space="0" w:color="auto"/>
                      </w:divBdr>
                    </w:div>
                  </w:divsChild>
                </w:div>
                <w:div w:id="1888255146">
                  <w:marLeft w:val="0"/>
                  <w:marRight w:val="0"/>
                  <w:marTop w:val="0"/>
                  <w:marBottom w:val="0"/>
                  <w:divBdr>
                    <w:top w:val="none" w:sz="0" w:space="0" w:color="auto"/>
                    <w:left w:val="none" w:sz="0" w:space="0" w:color="auto"/>
                    <w:bottom w:val="none" w:sz="0" w:space="0" w:color="auto"/>
                    <w:right w:val="none" w:sz="0" w:space="0" w:color="auto"/>
                  </w:divBdr>
                  <w:divsChild>
                    <w:div w:id="835461429">
                      <w:marLeft w:val="0"/>
                      <w:marRight w:val="0"/>
                      <w:marTop w:val="0"/>
                      <w:marBottom w:val="0"/>
                      <w:divBdr>
                        <w:top w:val="none" w:sz="0" w:space="0" w:color="auto"/>
                        <w:left w:val="none" w:sz="0" w:space="0" w:color="auto"/>
                        <w:bottom w:val="none" w:sz="0" w:space="0" w:color="auto"/>
                        <w:right w:val="none" w:sz="0" w:space="0" w:color="auto"/>
                      </w:divBdr>
                    </w:div>
                  </w:divsChild>
                </w:div>
                <w:div w:id="1002707247">
                  <w:marLeft w:val="0"/>
                  <w:marRight w:val="0"/>
                  <w:marTop w:val="0"/>
                  <w:marBottom w:val="0"/>
                  <w:divBdr>
                    <w:top w:val="none" w:sz="0" w:space="0" w:color="auto"/>
                    <w:left w:val="none" w:sz="0" w:space="0" w:color="auto"/>
                    <w:bottom w:val="none" w:sz="0" w:space="0" w:color="auto"/>
                    <w:right w:val="none" w:sz="0" w:space="0" w:color="auto"/>
                  </w:divBdr>
                  <w:divsChild>
                    <w:div w:id="1118454066">
                      <w:marLeft w:val="0"/>
                      <w:marRight w:val="0"/>
                      <w:marTop w:val="0"/>
                      <w:marBottom w:val="0"/>
                      <w:divBdr>
                        <w:top w:val="none" w:sz="0" w:space="0" w:color="auto"/>
                        <w:left w:val="none" w:sz="0" w:space="0" w:color="auto"/>
                        <w:bottom w:val="none" w:sz="0" w:space="0" w:color="auto"/>
                        <w:right w:val="none" w:sz="0" w:space="0" w:color="auto"/>
                      </w:divBdr>
                    </w:div>
                  </w:divsChild>
                </w:div>
                <w:div w:id="436408334">
                  <w:marLeft w:val="0"/>
                  <w:marRight w:val="0"/>
                  <w:marTop w:val="0"/>
                  <w:marBottom w:val="0"/>
                  <w:divBdr>
                    <w:top w:val="none" w:sz="0" w:space="0" w:color="auto"/>
                    <w:left w:val="none" w:sz="0" w:space="0" w:color="auto"/>
                    <w:bottom w:val="none" w:sz="0" w:space="0" w:color="auto"/>
                    <w:right w:val="none" w:sz="0" w:space="0" w:color="auto"/>
                  </w:divBdr>
                  <w:divsChild>
                    <w:div w:id="954677079">
                      <w:marLeft w:val="0"/>
                      <w:marRight w:val="0"/>
                      <w:marTop w:val="0"/>
                      <w:marBottom w:val="0"/>
                      <w:divBdr>
                        <w:top w:val="none" w:sz="0" w:space="0" w:color="auto"/>
                        <w:left w:val="none" w:sz="0" w:space="0" w:color="auto"/>
                        <w:bottom w:val="none" w:sz="0" w:space="0" w:color="auto"/>
                        <w:right w:val="none" w:sz="0" w:space="0" w:color="auto"/>
                      </w:divBdr>
                    </w:div>
                  </w:divsChild>
                </w:div>
                <w:div w:id="2052069183">
                  <w:marLeft w:val="0"/>
                  <w:marRight w:val="0"/>
                  <w:marTop w:val="0"/>
                  <w:marBottom w:val="0"/>
                  <w:divBdr>
                    <w:top w:val="none" w:sz="0" w:space="0" w:color="auto"/>
                    <w:left w:val="none" w:sz="0" w:space="0" w:color="auto"/>
                    <w:bottom w:val="none" w:sz="0" w:space="0" w:color="auto"/>
                    <w:right w:val="none" w:sz="0" w:space="0" w:color="auto"/>
                  </w:divBdr>
                  <w:divsChild>
                    <w:div w:id="1949849626">
                      <w:marLeft w:val="0"/>
                      <w:marRight w:val="0"/>
                      <w:marTop w:val="0"/>
                      <w:marBottom w:val="0"/>
                      <w:divBdr>
                        <w:top w:val="none" w:sz="0" w:space="0" w:color="auto"/>
                        <w:left w:val="none" w:sz="0" w:space="0" w:color="auto"/>
                        <w:bottom w:val="none" w:sz="0" w:space="0" w:color="auto"/>
                        <w:right w:val="none" w:sz="0" w:space="0" w:color="auto"/>
                      </w:divBdr>
                    </w:div>
                  </w:divsChild>
                </w:div>
                <w:div w:id="743331025">
                  <w:marLeft w:val="0"/>
                  <w:marRight w:val="0"/>
                  <w:marTop w:val="0"/>
                  <w:marBottom w:val="0"/>
                  <w:divBdr>
                    <w:top w:val="none" w:sz="0" w:space="0" w:color="auto"/>
                    <w:left w:val="none" w:sz="0" w:space="0" w:color="auto"/>
                    <w:bottom w:val="none" w:sz="0" w:space="0" w:color="auto"/>
                    <w:right w:val="none" w:sz="0" w:space="0" w:color="auto"/>
                  </w:divBdr>
                  <w:divsChild>
                    <w:div w:id="1723403363">
                      <w:marLeft w:val="0"/>
                      <w:marRight w:val="0"/>
                      <w:marTop w:val="0"/>
                      <w:marBottom w:val="0"/>
                      <w:divBdr>
                        <w:top w:val="none" w:sz="0" w:space="0" w:color="auto"/>
                        <w:left w:val="none" w:sz="0" w:space="0" w:color="auto"/>
                        <w:bottom w:val="none" w:sz="0" w:space="0" w:color="auto"/>
                        <w:right w:val="none" w:sz="0" w:space="0" w:color="auto"/>
                      </w:divBdr>
                    </w:div>
                  </w:divsChild>
                </w:div>
                <w:div w:id="1755738341">
                  <w:marLeft w:val="0"/>
                  <w:marRight w:val="0"/>
                  <w:marTop w:val="0"/>
                  <w:marBottom w:val="0"/>
                  <w:divBdr>
                    <w:top w:val="none" w:sz="0" w:space="0" w:color="auto"/>
                    <w:left w:val="none" w:sz="0" w:space="0" w:color="auto"/>
                    <w:bottom w:val="none" w:sz="0" w:space="0" w:color="auto"/>
                    <w:right w:val="none" w:sz="0" w:space="0" w:color="auto"/>
                  </w:divBdr>
                  <w:divsChild>
                    <w:div w:id="1730298670">
                      <w:marLeft w:val="0"/>
                      <w:marRight w:val="0"/>
                      <w:marTop w:val="0"/>
                      <w:marBottom w:val="0"/>
                      <w:divBdr>
                        <w:top w:val="none" w:sz="0" w:space="0" w:color="auto"/>
                        <w:left w:val="none" w:sz="0" w:space="0" w:color="auto"/>
                        <w:bottom w:val="none" w:sz="0" w:space="0" w:color="auto"/>
                        <w:right w:val="none" w:sz="0" w:space="0" w:color="auto"/>
                      </w:divBdr>
                    </w:div>
                  </w:divsChild>
                </w:div>
                <w:div w:id="689793258">
                  <w:marLeft w:val="0"/>
                  <w:marRight w:val="0"/>
                  <w:marTop w:val="0"/>
                  <w:marBottom w:val="0"/>
                  <w:divBdr>
                    <w:top w:val="none" w:sz="0" w:space="0" w:color="auto"/>
                    <w:left w:val="none" w:sz="0" w:space="0" w:color="auto"/>
                    <w:bottom w:val="none" w:sz="0" w:space="0" w:color="auto"/>
                    <w:right w:val="none" w:sz="0" w:space="0" w:color="auto"/>
                  </w:divBdr>
                  <w:divsChild>
                    <w:div w:id="461920643">
                      <w:marLeft w:val="0"/>
                      <w:marRight w:val="0"/>
                      <w:marTop w:val="0"/>
                      <w:marBottom w:val="0"/>
                      <w:divBdr>
                        <w:top w:val="none" w:sz="0" w:space="0" w:color="auto"/>
                        <w:left w:val="none" w:sz="0" w:space="0" w:color="auto"/>
                        <w:bottom w:val="none" w:sz="0" w:space="0" w:color="auto"/>
                        <w:right w:val="none" w:sz="0" w:space="0" w:color="auto"/>
                      </w:divBdr>
                    </w:div>
                  </w:divsChild>
                </w:div>
                <w:div w:id="800658202">
                  <w:marLeft w:val="0"/>
                  <w:marRight w:val="0"/>
                  <w:marTop w:val="0"/>
                  <w:marBottom w:val="0"/>
                  <w:divBdr>
                    <w:top w:val="none" w:sz="0" w:space="0" w:color="auto"/>
                    <w:left w:val="none" w:sz="0" w:space="0" w:color="auto"/>
                    <w:bottom w:val="none" w:sz="0" w:space="0" w:color="auto"/>
                    <w:right w:val="none" w:sz="0" w:space="0" w:color="auto"/>
                  </w:divBdr>
                  <w:divsChild>
                    <w:div w:id="1945383981">
                      <w:marLeft w:val="0"/>
                      <w:marRight w:val="0"/>
                      <w:marTop w:val="0"/>
                      <w:marBottom w:val="0"/>
                      <w:divBdr>
                        <w:top w:val="none" w:sz="0" w:space="0" w:color="auto"/>
                        <w:left w:val="none" w:sz="0" w:space="0" w:color="auto"/>
                        <w:bottom w:val="none" w:sz="0" w:space="0" w:color="auto"/>
                        <w:right w:val="none" w:sz="0" w:space="0" w:color="auto"/>
                      </w:divBdr>
                    </w:div>
                  </w:divsChild>
                </w:div>
                <w:div w:id="1161460222">
                  <w:marLeft w:val="0"/>
                  <w:marRight w:val="0"/>
                  <w:marTop w:val="0"/>
                  <w:marBottom w:val="0"/>
                  <w:divBdr>
                    <w:top w:val="none" w:sz="0" w:space="0" w:color="auto"/>
                    <w:left w:val="none" w:sz="0" w:space="0" w:color="auto"/>
                    <w:bottom w:val="none" w:sz="0" w:space="0" w:color="auto"/>
                    <w:right w:val="none" w:sz="0" w:space="0" w:color="auto"/>
                  </w:divBdr>
                  <w:divsChild>
                    <w:div w:id="1318026557">
                      <w:marLeft w:val="0"/>
                      <w:marRight w:val="0"/>
                      <w:marTop w:val="0"/>
                      <w:marBottom w:val="0"/>
                      <w:divBdr>
                        <w:top w:val="none" w:sz="0" w:space="0" w:color="auto"/>
                        <w:left w:val="none" w:sz="0" w:space="0" w:color="auto"/>
                        <w:bottom w:val="none" w:sz="0" w:space="0" w:color="auto"/>
                        <w:right w:val="none" w:sz="0" w:space="0" w:color="auto"/>
                      </w:divBdr>
                    </w:div>
                  </w:divsChild>
                </w:div>
                <w:div w:id="2145539665">
                  <w:marLeft w:val="0"/>
                  <w:marRight w:val="0"/>
                  <w:marTop w:val="0"/>
                  <w:marBottom w:val="0"/>
                  <w:divBdr>
                    <w:top w:val="none" w:sz="0" w:space="0" w:color="auto"/>
                    <w:left w:val="none" w:sz="0" w:space="0" w:color="auto"/>
                    <w:bottom w:val="none" w:sz="0" w:space="0" w:color="auto"/>
                    <w:right w:val="none" w:sz="0" w:space="0" w:color="auto"/>
                  </w:divBdr>
                  <w:divsChild>
                    <w:div w:id="620185792">
                      <w:marLeft w:val="0"/>
                      <w:marRight w:val="0"/>
                      <w:marTop w:val="0"/>
                      <w:marBottom w:val="0"/>
                      <w:divBdr>
                        <w:top w:val="none" w:sz="0" w:space="0" w:color="auto"/>
                        <w:left w:val="none" w:sz="0" w:space="0" w:color="auto"/>
                        <w:bottom w:val="none" w:sz="0" w:space="0" w:color="auto"/>
                        <w:right w:val="none" w:sz="0" w:space="0" w:color="auto"/>
                      </w:divBdr>
                    </w:div>
                  </w:divsChild>
                </w:div>
                <w:div w:id="565530413">
                  <w:marLeft w:val="0"/>
                  <w:marRight w:val="0"/>
                  <w:marTop w:val="0"/>
                  <w:marBottom w:val="0"/>
                  <w:divBdr>
                    <w:top w:val="none" w:sz="0" w:space="0" w:color="auto"/>
                    <w:left w:val="none" w:sz="0" w:space="0" w:color="auto"/>
                    <w:bottom w:val="none" w:sz="0" w:space="0" w:color="auto"/>
                    <w:right w:val="none" w:sz="0" w:space="0" w:color="auto"/>
                  </w:divBdr>
                  <w:divsChild>
                    <w:div w:id="306594211">
                      <w:marLeft w:val="0"/>
                      <w:marRight w:val="0"/>
                      <w:marTop w:val="0"/>
                      <w:marBottom w:val="0"/>
                      <w:divBdr>
                        <w:top w:val="none" w:sz="0" w:space="0" w:color="auto"/>
                        <w:left w:val="none" w:sz="0" w:space="0" w:color="auto"/>
                        <w:bottom w:val="none" w:sz="0" w:space="0" w:color="auto"/>
                        <w:right w:val="none" w:sz="0" w:space="0" w:color="auto"/>
                      </w:divBdr>
                    </w:div>
                  </w:divsChild>
                </w:div>
                <w:div w:id="405424074">
                  <w:marLeft w:val="0"/>
                  <w:marRight w:val="0"/>
                  <w:marTop w:val="0"/>
                  <w:marBottom w:val="0"/>
                  <w:divBdr>
                    <w:top w:val="none" w:sz="0" w:space="0" w:color="auto"/>
                    <w:left w:val="none" w:sz="0" w:space="0" w:color="auto"/>
                    <w:bottom w:val="none" w:sz="0" w:space="0" w:color="auto"/>
                    <w:right w:val="none" w:sz="0" w:space="0" w:color="auto"/>
                  </w:divBdr>
                  <w:divsChild>
                    <w:div w:id="493179880">
                      <w:marLeft w:val="0"/>
                      <w:marRight w:val="0"/>
                      <w:marTop w:val="0"/>
                      <w:marBottom w:val="0"/>
                      <w:divBdr>
                        <w:top w:val="none" w:sz="0" w:space="0" w:color="auto"/>
                        <w:left w:val="none" w:sz="0" w:space="0" w:color="auto"/>
                        <w:bottom w:val="none" w:sz="0" w:space="0" w:color="auto"/>
                        <w:right w:val="none" w:sz="0" w:space="0" w:color="auto"/>
                      </w:divBdr>
                    </w:div>
                  </w:divsChild>
                </w:div>
                <w:div w:id="1772779853">
                  <w:marLeft w:val="0"/>
                  <w:marRight w:val="0"/>
                  <w:marTop w:val="0"/>
                  <w:marBottom w:val="0"/>
                  <w:divBdr>
                    <w:top w:val="none" w:sz="0" w:space="0" w:color="auto"/>
                    <w:left w:val="none" w:sz="0" w:space="0" w:color="auto"/>
                    <w:bottom w:val="none" w:sz="0" w:space="0" w:color="auto"/>
                    <w:right w:val="none" w:sz="0" w:space="0" w:color="auto"/>
                  </w:divBdr>
                  <w:divsChild>
                    <w:div w:id="457142986">
                      <w:marLeft w:val="0"/>
                      <w:marRight w:val="0"/>
                      <w:marTop w:val="0"/>
                      <w:marBottom w:val="0"/>
                      <w:divBdr>
                        <w:top w:val="none" w:sz="0" w:space="0" w:color="auto"/>
                        <w:left w:val="none" w:sz="0" w:space="0" w:color="auto"/>
                        <w:bottom w:val="none" w:sz="0" w:space="0" w:color="auto"/>
                        <w:right w:val="none" w:sz="0" w:space="0" w:color="auto"/>
                      </w:divBdr>
                    </w:div>
                  </w:divsChild>
                </w:div>
                <w:div w:id="79838373">
                  <w:marLeft w:val="0"/>
                  <w:marRight w:val="0"/>
                  <w:marTop w:val="0"/>
                  <w:marBottom w:val="0"/>
                  <w:divBdr>
                    <w:top w:val="none" w:sz="0" w:space="0" w:color="auto"/>
                    <w:left w:val="none" w:sz="0" w:space="0" w:color="auto"/>
                    <w:bottom w:val="none" w:sz="0" w:space="0" w:color="auto"/>
                    <w:right w:val="none" w:sz="0" w:space="0" w:color="auto"/>
                  </w:divBdr>
                  <w:divsChild>
                    <w:div w:id="1031222212">
                      <w:marLeft w:val="0"/>
                      <w:marRight w:val="0"/>
                      <w:marTop w:val="0"/>
                      <w:marBottom w:val="0"/>
                      <w:divBdr>
                        <w:top w:val="none" w:sz="0" w:space="0" w:color="auto"/>
                        <w:left w:val="none" w:sz="0" w:space="0" w:color="auto"/>
                        <w:bottom w:val="none" w:sz="0" w:space="0" w:color="auto"/>
                        <w:right w:val="none" w:sz="0" w:space="0" w:color="auto"/>
                      </w:divBdr>
                    </w:div>
                  </w:divsChild>
                </w:div>
                <w:div w:id="1923952159">
                  <w:marLeft w:val="0"/>
                  <w:marRight w:val="0"/>
                  <w:marTop w:val="0"/>
                  <w:marBottom w:val="0"/>
                  <w:divBdr>
                    <w:top w:val="none" w:sz="0" w:space="0" w:color="auto"/>
                    <w:left w:val="none" w:sz="0" w:space="0" w:color="auto"/>
                    <w:bottom w:val="none" w:sz="0" w:space="0" w:color="auto"/>
                    <w:right w:val="none" w:sz="0" w:space="0" w:color="auto"/>
                  </w:divBdr>
                  <w:divsChild>
                    <w:div w:id="746608686">
                      <w:marLeft w:val="0"/>
                      <w:marRight w:val="0"/>
                      <w:marTop w:val="0"/>
                      <w:marBottom w:val="0"/>
                      <w:divBdr>
                        <w:top w:val="none" w:sz="0" w:space="0" w:color="auto"/>
                        <w:left w:val="none" w:sz="0" w:space="0" w:color="auto"/>
                        <w:bottom w:val="none" w:sz="0" w:space="0" w:color="auto"/>
                        <w:right w:val="none" w:sz="0" w:space="0" w:color="auto"/>
                      </w:divBdr>
                    </w:div>
                  </w:divsChild>
                </w:div>
                <w:div w:id="1731151049">
                  <w:marLeft w:val="0"/>
                  <w:marRight w:val="0"/>
                  <w:marTop w:val="0"/>
                  <w:marBottom w:val="0"/>
                  <w:divBdr>
                    <w:top w:val="none" w:sz="0" w:space="0" w:color="auto"/>
                    <w:left w:val="none" w:sz="0" w:space="0" w:color="auto"/>
                    <w:bottom w:val="none" w:sz="0" w:space="0" w:color="auto"/>
                    <w:right w:val="none" w:sz="0" w:space="0" w:color="auto"/>
                  </w:divBdr>
                  <w:divsChild>
                    <w:div w:id="1839686722">
                      <w:marLeft w:val="0"/>
                      <w:marRight w:val="0"/>
                      <w:marTop w:val="0"/>
                      <w:marBottom w:val="0"/>
                      <w:divBdr>
                        <w:top w:val="none" w:sz="0" w:space="0" w:color="auto"/>
                        <w:left w:val="none" w:sz="0" w:space="0" w:color="auto"/>
                        <w:bottom w:val="none" w:sz="0" w:space="0" w:color="auto"/>
                        <w:right w:val="none" w:sz="0" w:space="0" w:color="auto"/>
                      </w:divBdr>
                    </w:div>
                  </w:divsChild>
                </w:div>
                <w:div w:id="1535995448">
                  <w:marLeft w:val="0"/>
                  <w:marRight w:val="0"/>
                  <w:marTop w:val="0"/>
                  <w:marBottom w:val="0"/>
                  <w:divBdr>
                    <w:top w:val="none" w:sz="0" w:space="0" w:color="auto"/>
                    <w:left w:val="none" w:sz="0" w:space="0" w:color="auto"/>
                    <w:bottom w:val="none" w:sz="0" w:space="0" w:color="auto"/>
                    <w:right w:val="none" w:sz="0" w:space="0" w:color="auto"/>
                  </w:divBdr>
                  <w:divsChild>
                    <w:div w:id="1944921813">
                      <w:marLeft w:val="0"/>
                      <w:marRight w:val="0"/>
                      <w:marTop w:val="0"/>
                      <w:marBottom w:val="0"/>
                      <w:divBdr>
                        <w:top w:val="none" w:sz="0" w:space="0" w:color="auto"/>
                        <w:left w:val="none" w:sz="0" w:space="0" w:color="auto"/>
                        <w:bottom w:val="none" w:sz="0" w:space="0" w:color="auto"/>
                        <w:right w:val="none" w:sz="0" w:space="0" w:color="auto"/>
                      </w:divBdr>
                    </w:div>
                  </w:divsChild>
                </w:div>
                <w:div w:id="333142739">
                  <w:marLeft w:val="0"/>
                  <w:marRight w:val="0"/>
                  <w:marTop w:val="0"/>
                  <w:marBottom w:val="0"/>
                  <w:divBdr>
                    <w:top w:val="none" w:sz="0" w:space="0" w:color="auto"/>
                    <w:left w:val="none" w:sz="0" w:space="0" w:color="auto"/>
                    <w:bottom w:val="none" w:sz="0" w:space="0" w:color="auto"/>
                    <w:right w:val="none" w:sz="0" w:space="0" w:color="auto"/>
                  </w:divBdr>
                  <w:divsChild>
                    <w:div w:id="2002393974">
                      <w:marLeft w:val="0"/>
                      <w:marRight w:val="0"/>
                      <w:marTop w:val="0"/>
                      <w:marBottom w:val="0"/>
                      <w:divBdr>
                        <w:top w:val="none" w:sz="0" w:space="0" w:color="auto"/>
                        <w:left w:val="none" w:sz="0" w:space="0" w:color="auto"/>
                        <w:bottom w:val="none" w:sz="0" w:space="0" w:color="auto"/>
                        <w:right w:val="none" w:sz="0" w:space="0" w:color="auto"/>
                      </w:divBdr>
                    </w:div>
                  </w:divsChild>
                </w:div>
                <w:div w:id="776751768">
                  <w:marLeft w:val="0"/>
                  <w:marRight w:val="0"/>
                  <w:marTop w:val="0"/>
                  <w:marBottom w:val="0"/>
                  <w:divBdr>
                    <w:top w:val="none" w:sz="0" w:space="0" w:color="auto"/>
                    <w:left w:val="none" w:sz="0" w:space="0" w:color="auto"/>
                    <w:bottom w:val="none" w:sz="0" w:space="0" w:color="auto"/>
                    <w:right w:val="none" w:sz="0" w:space="0" w:color="auto"/>
                  </w:divBdr>
                  <w:divsChild>
                    <w:div w:id="2082411195">
                      <w:marLeft w:val="0"/>
                      <w:marRight w:val="0"/>
                      <w:marTop w:val="0"/>
                      <w:marBottom w:val="0"/>
                      <w:divBdr>
                        <w:top w:val="none" w:sz="0" w:space="0" w:color="auto"/>
                        <w:left w:val="none" w:sz="0" w:space="0" w:color="auto"/>
                        <w:bottom w:val="none" w:sz="0" w:space="0" w:color="auto"/>
                        <w:right w:val="none" w:sz="0" w:space="0" w:color="auto"/>
                      </w:divBdr>
                    </w:div>
                  </w:divsChild>
                </w:div>
                <w:div w:id="768235817">
                  <w:marLeft w:val="0"/>
                  <w:marRight w:val="0"/>
                  <w:marTop w:val="0"/>
                  <w:marBottom w:val="0"/>
                  <w:divBdr>
                    <w:top w:val="none" w:sz="0" w:space="0" w:color="auto"/>
                    <w:left w:val="none" w:sz="0" w:space="0" w:color="auto"/>
                    <w:bottom w:val="none" w:sz="0" w:space="0" w:color="auto"/>
                    <w:right w:val="none" w:sz="0" w:space="0" w:color="auto"/>
                  </w:divBdr>
                  <w:divsChild>
                    <w:div w:id="1455520894">
                      <w:marLeft w:val="0"/>
                      <w:marRight w:val="0"/>
                      <w:marTop w:val="0"/>
                      <w:marBottom w:val="0"/>
                      <w:divBdr>
                        <w:top w:val="none" w:sz="0" w:space="0" w:color="auto"/>
                        <w:left w:val="none" w:sz="0" w:space="0" w:color="auto"/>
                        <w:bottom w:val="none" w:sz="0" w:space="0" w:color="auto"/>
                        <w:right w:val="none" w:sz="0" w:space="0" w:color="auto"/>
                      </w:divBdr>
                    </w:div>
                  </w:divsChild>
                </w:div>
                <w:div w:id="1142456276">
                  <w:marLeft w:val="0"/>
                  <w:marRight w:val="0"/>
                  <w:marTop w:val="0"/>
                  <w:marBottom w:val="0"/>
                  <w:divBdr>
                    <w:top w:val="none" w:sz="0" w:space="0" w:color="auto"/>
                    <w:left w:val="none" w:sz="0" w:space="0" w:color="auto"/>
                    <w:bottom w:val="none" w:sz="0" w:space="0" w:color="auto"/>
                    <w:right w:val="none" w:sz="0" w:space="0" w:color="auto"/>
                  </w:divBdr>
                  <w:divsChild>
                    <w:div w:id="410659708">
                      <w:marLeft w:val="0"/>
                      <w:marRight w:val="0"/>
                      <w:marTop w:val="0"/>
                      <w:marBottom w:val="0"/>
                      <w:divBdr>
                        <w:top w:val="none" w:sz="0" w:space="0" w:color="auto"/>
                        <w:left w:val="none" w:sz="0" w:space="0" w:color="auto"/>
                        <w:bottom w:val="none" w:sz="0" w:space="0" w:color="auto"/>
                        <w:right w:val="none" w:sz="0" w:space="0" w:color="auto"/>
                      </w:divBdr>
                    </w:div>
                  </w:divsChild>
                </w:div>
                <w:div w:id="1964310975">
                  <w:marLeft w:val="0"/>
                  <w:marRight w:val="0"/>
                  <w:marTop w:val="0"/>
                  <w:marBottom w:val="0"/>
                  <w:divBdr>
                    <w:top w:val="none" w:sz="0" w:space="0" w:color="auto"/>
                    <w:left w:val="none" w:sz="0" w:space="0" w:color="auto"/>
                    <w:bottom w:val="none" w:sz="0" w:space="0" w:color="auto"/>
                    <w:right w:val="none" w:sz="0" w:space="0" w:color="auto"/>
                  </w:divBdr>
                  <w:divsChild>
                    <w:div w:id="395276022">
                      <w:marLeft w:val="0"/>
                      <w:marRight w:val="0"/>
                      <w:marTop w:val="0"/>
                      <w:marBottom w:val="0"/>
                      <w:divBdr>
                        <w:top w:val="none" w:sz="0" w:space="0" w:color="auto"/>
                        <w:left w:val="none" w:sz="0" w:space="0" w:color="auto"/>
                        <w:bottom w:val="none" w:sz="0" w:space="0" w:color="auto"/>
                        <w:right w:val="none" w:sz="0" w:space="0" w:color="auto"/>
                      </w:divBdr>
                    </w:div>
                  </w:divsChild>
                </w:div>
                <w:div w:id="704675652">
                  <w:marLeft w:val="0"/>
                  <w:marRight w:val="0"/>
                  <w:marTop w:val="0"/>
                  <w:marBottom w:val="0"/>
                  <w:divBdr>
                    <w:top w:val="none" w:sz="0" w:space="0" w:color="auto"/>
                    <w:left w:val="none" w:sz="0" w:space="0" w:color="auto"/>
                    <w:bottom w:val="none" w:sz="0" w:space="0" w:color="auto"/>
                    <w:right w:val="none" w:sz="0" w:space="0" w:color="auto"/>
                  </w:divBdr>
                  <w:divsChild>
                    <w:div w:id="2095322451">
                      <w:marLeft w:val="0"/>
                      <w:marRight w:val="0"/>
                      <w:marTop w:val="0"/>
                      <w:marBottom w:val="0"/>
                      <w:divBdr>
                        <w:top w:val="none" w:sz="0" w:space="0" w:color="auto"/>
                        <w:left w:val="none" w:sz="0" w:space="0" w:color="auto"/>
                        <w:bottom w:val="none" w:sz="0" w:space="0" w:color="auto"/>
                        <w:right w:val="none" w:sz="0" w:space="0" w:color="auto"/>
                      </w:divBdr>
                    </w:div>
                  </w:divsChild>
                </w:div>
                <w:div w:id="203178509">
                  <w:marLeft w:val="0"/>
                  <w:marRight w:val="0"/>
                  <w:marTop w:val="0"/>
                  <w:marBottom w:val="0"/>
                  <w:divBdr>
                    <w:top w:val="none" w:sz="0" w:space="0" w:color="auto"/>
                    <w:left w:val="none" w:sz="0" w:space="0" w:color="auto"/>
                    <w:bottom w:val="none" w:sz="0" w:space="0" w:color="auto"/>
                    <w:right w:val="none" w:sz="0" w:space="0" w:color="auto"/>
                  </w:divBdr>
                  <w:divsChild>
                    <w:div w:id="2041394834">
                      <w:marLeft w:val="0"/>
                      <w:marRight w:val="0"/>
                      <w:marTop w:val="0"/>
                      <w:marBottom w:val="0"/>
                      <w:divBdr>
                        <w:top w:val="none" w:sz="0" w:space="0" w:color="auto"/>
                        <w:left w:val="none" w:sz="0" w:space="0" w:color="auto"/>
                        <w:bottom w:val="none" w:sz="0" w:space="0" w:color="auto"/>
                        <w:right w:val="none" w:sz="0" w:space="0" w:color="auto"/>
                      </w:divBdr>
                    </w:div>
                  </w:divsChild>
                </w:div>
                <w:div w:id="1306815463">
                  <w:marLeft w:val="0"/>
                  <w:marRight w:val="0"/>
                  <w:marTop w:val="0"/>
                  <w:marBottom w:val="0"/>
                  <w:divBdr>
                    <w:top w:val="none" w:sz="0" w:space="0" w:color="auto"/>
                    <w:left w:val="none" w:sz="0" w:space="0" w:color="auto"/>
                    <w:bottom w:val="none" w:sz="0" w:space="0" w:color="auto"/>
                    <w:right w:val="none" w:sz="0" w:space="0" w:color="auto"/>
                  </w:divBdr>
                  <w:divsChild>
                    <w:div w:id="344749613">
                      <w:marLeft w:val="0"/>
                      <w:marRight w:val="0"/>
                      <w:marTop w:val="0"/>
                      <w:marBottom w:val="0"/>
                      <w:divBdr>
                        <w:top w:val="none" w:sz="0" w:space="0" w:color="auto"/>
                        <w:left w:val="none" w:sz="0" w:space="0" w:color="auto"/>
                        <w:bottom w:val="none" w:sz="0" w:space="0" w:color="auto"/>
                        <w:right w:val="none" w:sz="0" w:space="0" w:color="auto"/>
                      </w:divBdr>
                    </w:div>
                  </w:divsChild>
                </w:div>
                <w:div w:id="1522623880">
                  <w:marLeft w:val="0"/>
                  <w:marRight w:val="0"/>
                  <w:marTop w:val="0"/>
                  <w:marBottom w:val="0"/>
                  <w:divBdr>
                    <w:top w:val="none" w:sz="0" w:space="0" w:color="auto"/>
                    <w:left w:val="none" w:sz="0" w:space="0" w:color="auto"/>
                    <w:bottom w:val="none" w:sz="0" w:space="0" w:color="auto"/>
                    <w:right w:val="none" w:sz="0" w:space="0" w:color="auto"/>
                  </w:divBdr>
                  <w:divsChild>
                    <w:div w:id="599337085">
                      <w:marLeft w:val="0"/>
                      <w:marRight w:val="0"/>
                      <w:marTop w:val="0"/>
                      <w:marBottom w:val="0"/>
                      <w:divBdr>
                        <w:top w:val="none" w:sz="0" w:space="0" w:color="auto"/>
                        <w:left w:val="none" w:sz="0" w:space="0" w:color="auto"/>
                        <w:bottom w:val="none" w:sz="0" w:space="0" w:color="auto"/>
                        <w:right w:val="none" w:sz="0" w:space="0" w:color="auto"/>
                      </w:divBdr>
                    </w:div>
                  </w:divsChild>
                </w:div>
                <w:div w:id="1171800059">
                  <w:marLeft w:val="0"/>
                  <w:marRight w:val="0"/>
                  <w:marTop w:val="0"/>
                  <w:marBottom w:val="0"/>
                  <w:divBdr>
                    <w:top w:val="none" w:sz="0" w:space="0" w:color="auto"/>
                    <w:left w:val="none" w:sz="0" w:space="0" w:color="auto"/>
                    <w:bottom w:val="none" w:sz="0" w:space="0" w:color="auto"/>
                    <w:right w:val="none" w:sz="0" w:space="0" w:color="auto"/>
                  </w:divBdr>
                  <w:divsChild>
                    <w:div w:id="898594269">
                      <w:marLeft w:val="0"/>
                      <w:marRight w:val="0"/>
                      <w:marTop w:val="0"/>
                      <w:marBottom w:val="0"/>
                      <w:divBdr>
                        <w:top w:val="none" w:sz="0" w:space="0" w:color="auto"/>
                        <w:left w:val="none" w:sz="0" w:space="0" w:color="auto"/>
                        <w:bottom w:val="none" w:sz="0" w:space="0" w:color="auto"/>
                        <w:right w:val="none" w:sz="0" w:space="0" w:color="auto"/>
                      </w:divBdr>
                    </w:div>
                  </w:divsChild>
                </w:div>
                <w:div w:id="1577668376">
                  <w:marLeft w:val="0"/>
                  <w:marRight w:val="0"/>
                  <w:marTop w:val="0"/>
                  <w:marBottom w:val="0"/>
                  <w:divBdr>
                    <w:top w:val="none" w:sz="0" w:space="0" w:color="auto"/>
                    <w:left w:val="none" w:sz="0" w:space="0" w:color="auto"/>
                    <w:bottom w:val="none" w:sz="0" w:space="0" w:color="auto"/>
                    <w:right w:val="none" w:sz="0" w:space="0" w:color="auto"/>
                  </w:divBdr>
                  <w:divsChild>
                    <w:div w:id="167985175">
                      <w:marLeft w:val="0"/>
                      <w:marRight w:val="0"/>
                      <w:marTop w:val="0"/>
                      <w:marBottom w:val="0"/>
                      <w:divBdr>
                        <w:top w:val="none" w:sz="0" w:space="0" w:color="auto"/>
                        <w:left w:val="none" w:sz="0" w:space="0" w:color="auto"/>
                        <w:bottom w:val="none" w:sz="0" w:space="0" w:color="auto"/>
                        <w:right w:val="none" w:sz="0" w:space="0" w:color="auto"/>
                      </w:divBdr>
                    </w:div>
                  </w:divsChild>
                </w:div>
                <w:div w:id="1768697977">
                  <w:marLeft w:val="0"/>
                  <w:marRight w:val="0"/>
                  <w:marTop w:val="0"/>
                  <w:marBottom w:val="0"/>
                  <w:divBdr>
                    <w:top w:val="none" w:sz="0" w:space="0" w:color="auto"/>
                    <w:left w:val="none" w:sz="0" w:space="0" w:color="auto"/>
                    <w:bottom w:val="none" w:sz="0" w:space="0" w:color="auto"/>
                    <w:right w:val="none" w:sz="0" w:space="0" w:color="auto"/>
                  </w:divBdr>
                  <w:divsChild>
                    <w:div w:id="1757313999">
                      <w:marLeft w:val="0"/>
                      <w:marRight w:val="0"/>
                      <w:marTop w:val="0"/>
                      <w:marBottom w:val="0"/>
                      <w:divBdr>
                        <w:top w:val="none" w:sz="0" w:space="0" w:color="auto"/>
                        <w:left w:val="none" w:sz="0" w:space="0" w:color="auto"/>
                        <w:bottom w:val="none" w:sz="0" w:space="0" w:color="auto"/>
                        <w:right w:val="none" w:sz="0" w:space="0" w:color="auto"/>
                      </w:divBdr>
                    </w:div>
                  </w:divsChild>
                </w:div>
                <w:div w:id="2023162965">
                  <w:marLeft w:val="0"/>
                  <w:marRight w:val="0"/>
                  <w:marTop w:val="0"/>
                  <w:marBottom w:val="0"/>
                  <w:divBdr>
                    <w:top w:val="none" w:sz="0" w:space="0" w:color="auto"/>
                    <w:left w:val="none" w:sz="0" w:space="0" w:color="auto"/>
                    <w:bottom w:val="none" w:sz="0" w:space="0" w:color="auto"/>
                    <w:right w:val="none" w:sz="0" w:space="0" w:color="auto"/>
                  </w:divBdr>
                  <w:divsChild>
                    <w:div w:id="360278030">
                      <w:marLeft w:val="0"/>
                      <w:marRight w:val="0"/>
                      <w:marTop w:val="0"/>
                      <w:marBottom w:val="0"/>
                      <w:divBdr>
                        <w:top w:val="none" w:sz="0" w:space="0" w:color="auto"/>
                        <w:left w:val="none" w:sz="0" w:space="0" w:color="auto"/>
                        <w:bottom w:val="none" w:sz="0" w:space="0" w:color="auto"/>
                        <w:right w:val="none" w:sz="0" w:space="0" w:color="auto"/>
                      </w:divBdr>
                    </w:div>
                  </w:divsChild>
                </w:div>
                <w:div w:id="1394818349">
                  <w:marLeft w:val="0"/>
                  <w:marRight w:val="0"/>
                  <w:marTop w:val="0"/>
                  <w:marBottom w:val="0"/>
                  <w:divBdr>
                    <w:top w:val="none" w:sz="0" w:space="0" w:color="auto"/>
                    <w:left w:val="none" w:sz="0" w:space="0" w:color="auto"/>
                    <w:bottom w:val="none" w:sz="0" w:space="0" w:color="auto"/>
                    <w:right w:val="none" w:sz="0" w:space="0" w:color="auto"/>
                  </w:divBdr>
                  <w:divsChild>
                    <w:div w:id="1282148825">
                      <w:marLeft w:val="0"/>
                      <w:marRight w:val="0"/>
                      <w:marTop w:val="0"/>
                      <w:marBottom w:val="0"/>
                      <w:divBdr>
                        <w:top w:val="none" w:sz="0" w:space="0" w:color="auto"/>
                        <w:left w:val="none" w:sz="0" w:space="0" w:color="auto"/>
                        <w:bottom w:val="none" w:sz="0" w:space="0" w:color="auto"/>
                        <w:right w:val="none" w:sz="0" w:space="0" w:color="auto"/>
                      </w:divBdr>
                    </w:div>
                  </w:divsChild>
                </w:div>
                <w:div w:id="2015254098">
                  <w:marLeft w:val="0"/>
                  <w:marRight w:val="0"/>
                  <w:marTop w:val="0"/>
                  <w:marBottom w:val="0"/>
                  <w:divBdr>
                    <w:top w:val="none" w:sz="0" w:space="0" w:color="auto"/>
                    <w:left w:val="none" w:sz="0" w:space="0" w:color="auto"/>
                    <w:bottom w:val="none" w:sz="0" w:space="0" w:color="auto"/>
                    <w:right w:val="none" w:sz="0" w:space="0" w:color="auto"/>
                  </w:divBdr>
                  <w:divsChild>
                    <w:div w:id="2085761978">
                      <w:marLeft w:val="0"/>
                      <w:marRight w:val="0"/>
                      <w:marTop w:val="0"/>
                      <w:marBottom w:val="0"/>
                      <w:divBdr>
                        <w:top w:val="none" w:sz="0" w:space="0" w:color="auto"/>
                        <w:left w:val="none" w:sz="0" w:space="0" w:color="auto"/>
                        <w:bottom w:val="none" w:sz="0" w:space="0" w:color="auto"/>
                        <w:right w:val="none" w:sz="0" w:space="0" w:color="auto"/>
                      </w:divBdr>
                    </w:div>
                  </w:divsChild>
                </w:div>
                <w:div w:id="763262745">
                  <w:marLeft w:val="0"/>
                  <w:marRight w:val="0"/>
                  <w:marTop w:val="0"/>
                  <w:marBottom w:val="0"/>
                  <w:divBdr>
                    <w:top w:val="none" w:sz="0" w:space="0" w:color="auto"/>
                    <w:left w:val="none" w:sz="0" w:space="0" w:color="auto"/>
                    <w:bottom w:val="none" w:sz="0" w:space="0" w:color="auto"/>
                    <w:right w:val="none" w:sz="0" w:space="0" w:color="auto"/>
                  </w:divBdr>
                  <w:divsChild>
                    <w:div w:id="792406397">
                      <w:marLeft w:val="0"/>
                      <w:marRight w:val="0"/>
                      <w:marTop w:val="0"/>
                      <w:marBottom w:val="0"/>
                      <w:divBdr>
                        <w:top w:val="none" w:sz="0" w:space="0" w:color="auto"/>
                        <w:left w:val="none" w:sz="0" w:space="0" w:color="auto"/>
                        <w:bottom w:val="none" w:sz="0" w:space="0" w:color="auto"/>
                        <w:right w:val="none" w:sz="0" w:space="0" w:color="auto"/>
                      </w:divBdr>
                    </w:div>
                  </w:divsChild>
                </w:div>
                <w:div w:id="568229368">
                  <w:marLeft w:val="0"/>
                  <w:marRight w:val="0"/>
                  <w:marTop w:val="0"/>
                  <w:marBottom w:val="0"/>
                  <w:divBdr>
                    <w:top w:val="none" w:sz="0" w:space="0" w:color="auto"/>
                    <w:left w:val="none" w:sz="0" w:space="0" w:color="auto"/>
                    <w:bottom w:val="none" w:sz="0" w:space="0" w:color="auto"/>
                    <w:right w:val="none" w:sz="0" w:space="0" w:color="auto"/>
                  </w:divBdr>
                  <w:divsChild>
                    <w:div w:id="692458168">
                      <w:marLeft w:val="0"/>
                      <w:marRight w:val="0"/>
                      <w:marTop w:val="0"/>
                      <w:marBottom w:val="0"/>
                      <w:divBdr>
                        <w:top w:val="none" w:sz="0" w:space="0" w:color="auto"/>
                        <w:left w:val="none" w:sz="0" w:space="0" w:color="auto"/>
                        <w:bottom w:val="none" w:sz="0" w:space="0" w:color="auto"/>
                        <w:right w:val="none" w:sz="0" w:space="0" w:color="auto"/>
                      </w:divBdr>
                    </w:div>
                  </w:divsChild>
                </w:div>
                <w:div w:id="1291863300">
                  <w:marLeft w:val="0"/>
                  <w:marRight w:val="0"/>
                  <w:marTop w:val="0"/>
                  <w:marBottom w:val="0"/>
                  <w:divBdr>
                    <w:top w:val="none" w:sz="0" w:space="0" w:color="auto"/>
                    <w:left w:val="none" w:sz="0" w:space="0" w:color="auto"/>
                    <w:bottom w:val="none" w:sz="0" w:space="0" w:color="auto"/>
                    <w:right w:val="none" w:sz="0" w:space="0" w:color="auto"/>
                  </w:divBdr>
                  <w:divsChild>
                    <w:div w:id="856895056">
                      <w:marLeft w:val="0"/>
                      <w:marRight w:val="0"/>
                      <w:marTop w:val="0"/>
                      <w:marBottom w:val="0"/>
                      <w:divBdr>
                        <w:top w:val="none" w:sz="0" w:space="0" w:color="auto"/>
                        <w:left w:val="none" w:sz="0" w:space="0" w:color="auto"/>
                        <w:bottom w:val="none" w:sz="0" w:space="0" w:color="auto"/>
                        <w:right w:val="none" w:sz="0" w:space="0" w:color="auto"/>
                      </w:divBdr>
                    </w:div>
                  </w:divsChild>
                </w:div>
                <w:div w:id="1339429249">
                  <w:marLeft w:val="0"/>
                  <w:marRight w:val="0"/>
                  <w:marTop w:val="0"/>
                  <w:marBottom w:val="0"/>
                  <w:divBdr>
                    <w:top w:val="none" w:sz="0" w:space="0" w:color="auto"/>
                    <w:left w:val="none" w:sz="0" w:space="0" w:color="auto"/>
                    <w:bottom w:val="none" w:sz="0" w:space="0" w:color="auto"/>
                    <w:right w:val="none" w:sz="0" w:space="0" w:color="auto"/>
                  </w:divBdr>
                  <w:divsChild>
                    <w:div w:id="1129742294">
                      <w:marLeft w:val="0"/>
                      <w:marRight w:val="0"/>
                      <w:marTop w:val="0"/>
                      <w:marBottom w:val="0"/>
                      <w:divBdr>
                        <w:top w:val="none" w:sz="0" w:space="0" w:color="auto"/>
                        <w:left w:val="none" w:sz="0" w:space="0" w:color="auto"/>
                        <w:bottom w:val="none" w:sz="0" w:space="0" w:color="auto"/>
                        <w:right w:val="none" w:sz="0" w:space="0" w:color="auto"/>
                      </w:divBdr>
                    </w:div>
                  </w:divsChild>
                </w:div>
                <w:div w:id="464009496">
                  <w:marLeft w:val="0"/>
                  <w:marRight w:val="0"/>
                  <w:marTop w:val="0"/>
                  <w:marBottom w:val="0"/>
                  <w:divBdr>
                    <w:top w:val="none" w:sz="0" w:space="0" w:color="auto"/>
                    <w:left w:val="none" w:sz="0" w:space="0" w:color="auto"/>
                    <w:bottom w:val="none" w:sz="0" w:space="0" w:color="auto"/>
                    <w:right w:val="none" w:sz="0" w:space="0" w:color="auto"/>
                  </w:divBdr>
                  <w:divsChild>
                    <w:div w:id="173614066">
                      <w:marLeft w:val="0"/>
                      <w:marRight w:val="0"/>
                      <w:marTop w:val="0"/>
                      <w:marBottom w:val="0"/>
                      <w:divBdr>
                        <w:top w:val="none" w:sz="0" w:space="0" w:color="auto"/>
                        <w:left w:val="none" w:sz="0" w:space="0" w:color="auto"/>
                        <w:bottom w:val="none" w:sz="0" w:space="0" w:color="auto"/>
                        <w:right w:val="none" w:sz="0" w:space="0" w:color="auto"/>
                      </w:divBdr>
                    </w:div>
                  </w:divsChild>
                </w:div>
                <w:div w:id="212083216">
                  <w:marLeft w:val="0"/>
                  <w:marRight w:val="0"/>
                  <w:marTop w:val="0"/>
                  <w:marBottom w:val="0"/>
                  <w:divBdr>
                    <w:top w:val="none" w:sz="0" w:space="0" w:color="auto"/>
                    <w:left w:val="none" w:sz="0" w:space="0" w:color="auto"/>
                    <w:bottom w:val="none" w:sz="0" w:space="0" w:color="auto"/>
                    <w:right w:val="none" w:sz="0" w:space="0" w:color="auto"/>
                  </w:divBdr>
                  <w:divsChild>
                    <w:div w:id="1553348609">
                      <w:marLeft w:val="0"/>
                      <w:marRight w:val="0"/>
                      <w:marTop w:val="0"/>
                      <w:marBottom w:val="0"/>
                      <w:divBdr>
                        <w:top w:val="none" w:sz="0" w:space="0" w:color="auto"/>
                        <w:left w:val="none" w:sz="0" w:space="0" w:color="auto"/>
                        <w:bottom w:val="none" w:sz="0" w:space="0" w:color="auto"/>
                        <w:right w:val="none" w:sz="0" w:space="0" w:color="auto"/>
                      </w:divBdr>
                    </w:div>
                  </w:divsChild>
                </w:div>
                <w:div w:id="432557578">
                  <w:marLeft w:val="0"/>
                  <w:marRight w:val="0"/>
                  <w:marTop w:val="0"/>
                  <w:marBottom w:val="0"/>
                  <w:divBdr>
                    <w:top w:val="none" w:sz="0" w:space="0" w:color="auto"/>
                    <w:left w:val="none" w:sz="0" w:space="0" w:color="auto"/>
                    <w:bottom w:val="none" w:sz="0" w:space="0" w:color="auto"/>
                    <w:right w:val="none" w:sz="0" w:space="0" w:color="auto"/>
                  </w:divBdr>
                  <w:divsChild>
                    <w:div w:id="1162894433">
                      <w:marLeft w:val="0"/>
                      <w:marRight w:val="0"/>
                      <w:marTop w:val="0"/>
                      <w:marBottom w:val="0"/>
                      <w:divBdr>
                        <w:top w:val="none" w:sz="0" w:space="0" w:color="auto"/>
                        <w:left w:val="none" w:sz="0" w:space="0" w:color="auto"/>
                        <w:bottom w:val="none" w:sz="0" w:space="0" w:color="auto"/>
                        <w:right w:val="none" w:sz="0" w:space="0" w:color="auto"/>
                      </w:divBdr>
                    </w:div>
                  </w:divsChild>
                </w:div>
                <w:div w:id="1041780613">
                  <w:marLeft w:val="0"/>
                  <w:marRight w:val="0"/>
                  <w:marTop w:val="0"/>
                  <w:marBottom w:val="0"/>
                  <w:divBdr>
                    <w:top w:val="none" w:sz="0" w:space="0" w:color="auto"/>
                    <w:left w:val="none" w:sz="0" w:space="0" w:color="auto"/>
                    <w:bottom w:val="none" w:sz="0" w:space="0" w:color="auto"/>
                    <w:right w:val="none" w:sz="0" w:space="0" w:color="auto"/>
                  </w:divBdr>
                  <w:divsChild>
                    <w:div w:id="1980304690">
                      <w:marLeft w:val="0"/>
                      <w:marRight w:val="0"/>
                      <w:marTop w:val="0"/>
                      <w:marBottom w:val="0"/>
                      <w:divBdr>
                        <w:top w:val="none" w:sz="0" w:space="0" w:color="auto"/>
                        <w:left w:val="none" w:sz="0" w:space="0" w:color="auto"/>
                        <w:bottom w:val="none" w:sz="0" w:space="0" w:color="auto"/>
                        <w:right w:val="none" w:sz="0" w:space="0" w:color="auto"/>
                      </w:divBdr>
                    </w:div>
                  </w:divsChild>
                </w:div>
                <w:div w:id="195508862">
                  <w:marLeft w:val="0"/>
                  <w:marRight w:val="0"/>
                  <w:marTop w:val="0"/>
                  <w:marBottom w:val="0"/>
                  <w:divBdr>
                    <w:top w:val="none" w:sz="0" w:space="0" w:color="auto"/>
                    <w:left w:val="none" w:sz="0" w:space="0" w:color="auto"/>
                    <w:bottom w:val="none" w:sz="0" w:space="0" w:color="auto"/>
                    <w:right w:val="none" w:sz="0" w:space="0" w:color="auto"/>
                  </w:divBdr>
                  <w:divsChild>
                    <w:div w:id="1003894141">
                      <w:marLeft w:val="0"/>
                      <w:marRight w:val="0"/>
                      <w:marTop w:val="0"/>
                      <w:marBottom w:val="0"/>
                      <w:divBdr>
                        <w:top w:val="none" w:sz="0" w:space="0" w:color="auto"/>
                        <w:left w:val="none" w:sz="0" w:space="0" w:color="auto"/>
                        <w:bottom w:val="none" w:sz="0" w:space="0" w:color="auto"/>
                        <w:right w:val="none" w:sz="0" w:space="0" w:color="auto"/>
                      </w:divBdr>
                    </w:div>
                  </w:divsChild>
                </w:div>
                <w:div w:id="1236015511">
                  <w:marLeft w:val="0"/>
                  <w:marRight w:val="0"/>
                  <w:marTop w:val="0"/>
                  <w:marBottom w:val="0"/>
                  <w:divBdr>
                    <w:top w:val="none" w:sz="0" w:space="0" w:color="auto"/>
                    <w:left w:val="none" w:sz="0" w:space="0" w:color="auto"/>
                    <w:bottom w:val="none" w:sz="0" w:space="0" w:color="auto"/>
                    <w:right w:val="none" w:sz="0" w:space="0" w:color="auto"/>
                  </w:divBdr>
                  <w:divsChild>
                    <w:div w:id="497812862">
                      <w:marLeft w:val="0"/>
                      <w:marRight w:val="0"/>
                      <w:marTop w:val="0"/>
                      <w:marBottom w:val="0"/>
                      <w:divBdr>
                        <w:top w:val="none" w:sz="0" w:space="0" w:color="auto"/>
                        <w:left w:val="none" w:sz="0" w:space="0" w:color="auto"/>
                        <w:bottom w:val="none" w:sz="0" w:space="0" w:color="auto"/>
                        <w:right w:val="none" w:sz="0" w:space="0" w:color="auto"/>
                      </w:divBdr>
                    </w:div>
                  </w:divsChild>
                </w:div>
                <w:div w:id="1663043814">
                  <w:marLeft w:val="0"/>
                  <w:marRight w:val="0"/>
                  <w:marTop w:val="0"/>
                  <w:marBottom w:val="0"/>
                  <w:divBdr>
                    <w:top w:val="none" w:sz="0" w:space="0" w:color="auto"/>
                    <w:left w:val="none" w:sz="0" w:space="0" w:color="auto"/>
                    <w:bottom w:val="none" w:sz="0" w:space="0" w:color="auto"/>
                    <w:right w:val="none" w:sz="0" w:space="0" w:color="auto"/>
                  </w:divBdr>
                  <w:divsChild>
                    <w:div w:id="1227951604">
                      <w:marLeft w:val="0"/>
                      <w:marRight w:val="0"/>
                      <w:marTop w:val="0"/>
                      <w:marBottom w:val="0"/>
                      <w:divBdr>
                        <w:top w:val="none" w:sz="0" w:space="0" w:color="auto"/>
                        <w:left w:val="none" w:sz="0" w:space="0" w:color="auto"/>
                        <w:bottom w:val="none" w:sz="0" w:space="0" w:color="auto"/>
                        <w:right w:val="none" w:sz="0" w:space="0" w:color="auto"/>
                      </w:divBdr>
                    </w:div>
                  </w:divsChild>
                </w:div>
                <w:div w:id="2104297642">
                  <w:marLeft w:val="0"/>
                  <w:marRight w:val="0"/>
                  <w:marTop w:val="0"/>
                  <w:marBottom w:val="0"/>
                  <w:divBdr>
                    <w:top w:val="none" w:sz="0" w:space="0" w:color="auto"/>
                    <w:left w:val="none" w:sz="0" w:space="0" w:color="auto"/>
                    <w:bottom w:val="none" w:sz="0" w:space="0" w:color="auto"/>
                    <w:right w:val="none" w:sz="0" w:space="0" w:color="auto"/>
                  </w:divBdr>
                  <w:divsChild>
                    <w:div w:id="2084178201">
                      <w:marLeft w:val="0"/>
                      <w:marRight w:val="0"/>
                      <w:marTop w:val="0"/>
                      <w:marBottom w:val="0"/>
                      <w:divBdr>
                        <w:top w:val="none" w:sz="0" w:space="0" w:color="auto"/>
                        <w:left w:val="none" w:sz="0" w:space="0" w:color="auto"/>
                        <w:bottom w:val="none" w:sz="0" w:space="0" w:color="auto"/>
                        <w:right w:val="none" w:sz="0" w:space="0" w:color="auto"/>
                      </w:divBdr>
                    </w:div>
                  </w:divsChild>
                </w:div>
                <w:div w:id="355084984">
                  <w:marLeft w:val="0"/>
                  <w:marRight w:val="0"/>
                  <w:marTop w:val="0"/>
                  <w:marBottom w:val="0"/>
                  <w:divBdr>
                    <w:top w:val="none" w:sz="0" w:space="0" w:color="auto"/>
                    <w:left w:val="none" w:sz="0" w:space="0" w:color="auto"/>
                    <w:bottom w:val="none" w:sz="0" w:space="0" w:color="auto"/>
                    <w:right w:val="none" w:sz="0" w:space="0" w:color="auto"/>
                  </w:divBdr>
                  <w:divsChild>
                    <w:div w:id="1843663333">
                      <w:marLeft w:val="0"/>
                      <w:marRight w:val="0"/>
                      <w:marTop w:val="0"/>
                      <w:marBottom w:val="0"/>
                      <w:divBdr>
                        <w:top w:val="none" w:sz="0" w:space="0" w:color="auto"/>
                        <w:left w:val="none" w:sz="0" w:space="0" w:color="auto"/>
                        <w:bottom w:val="none" w:sz="0" w:space="0" w:color="auto"/>
                        <w:right w:val="none" w:sz="0" w:space="0" w:color="auto"/>
                      </w:divBdr>
                    </w:div>
                  </w:divsChild>
                </w:div>
                <w:div w:id="880483675">
                  <w:marLeft w:val="0"/>
                  <w:marRight w:val="0"/>
                  <w:marTop w:val="0"/>
                  <w:marBottom w:val="0"/>
                  <w:divBdr>
                    <w:top w:val="none" w:sz="0" w:space="0" w:color="auto"/>
                    <w:left w:val="none" w:sz="0" w:space="0" w:color="auto"/>
                    <w:bottom w:val="none" w:sz="0" w:space="0" w:color="auto"/>
                    <w:right w:val="none" w:sz="0" w:space="0" w:color="auto"/>
                  </w:divBdr>
                  <w:divsChild>
                    <w:div w:id="1528986847">
                      <w:marLeft w:val="0"/>
                      <w:marRight w:val="0"/>
                      <w:marTop w:val="0"/>
                      <w:marBottom w:val="0"/>
                      <w:divBdr>
                        <w:top w:val="none" w:sz="0" w:space="0" w:color="auto"/>
                        <w:left w:val="none" w:sz="0" w:space="0" w:color="auto"/>
                        <w:bottom w:val="none" w:sz="0" w:space="0" w:color="auto"/>
                        <w:right w:val="none" w:sz="0" w:space="0" w:color="auto"/>
                      </w:divBdr>
                    </w:div>
                  </w:divsChild>
                </w:div>
                <w:div w:id="1912150987">
                  <w:marLeft w:val="0"/>
                  <w:marRight w:val="0"/>
                  <w:marTop w:val="0"/>
                  <w:marBottom w:val="0"/>
                  <w:divBdr>
                    <w:top w:val="none" w:sz="0" w:space="0" w:color="auto"/>
                    <w:left w:val="none" w:sz="0" w:space="0" w:color="auto"/>
                    <w:bottom w:val="none" w:sz="0" w:space="0" w:color="auto"/>
                    <w:right w:val="none" w:sz="0" w:space="0" w:color="auto"/>
                  </w:divBdr>
                  <w:divsChild>
                    <w:div w:id="1016615871">
                      <w:marLeft w:val="0"/>
                      <w:marRight w:val="0"/>
                      <w:marTop w:val="0"/>
                      <w:marBottom w:val="0"/>
                      <w:divBdr>
                        <w:top w:val="none" w:sz="0" w:space="0" w:color="auto"/>
                        <w:left w:val="none" w:sz="0" w:space="0" w:color="auto"/>
                        <w:bottom w:val="none" w:sz="0" w:space="0" w:color="auto"/>
                        <w:right w:val="none" w:sz="0" w:space="0" w:color="auto"/>
                      </w:divBdr>
                    </w:div>
                  </w:divsChild>
                </w:div>
                <w:div w:id="19209735">
                  <w:marLeft w:val="0"/>
                  <w:marRight w:val="0"/>
                  <w:marTop w:val="0"/>
                  <w:marBottom w:val="0"/>
                  <w:divBdr>
                    <w:top w:val="none" w:sz="0" w:space="0" w:color="auto"/>
                    <w:left w:val="none" w:sz="0" w:space="0" w:color="auto"/>
                    <w:bottom w:val="none" w:sz="0" w:space="0" w:color="auto"/>
                    <w:right w:val="none" w:sz="0" w:space="0" w:color="auto"/>
                  </w:divBdr>
                  <w:divsChild>
                    <w:div w:id="1286350857">
                      <w:marLeft w:val="0"/>
                      <w:marRight w:val="0"/>
                      <w:marTop w:val="0"/>
                      <w:marBottom w:val="0"/>
                      <w:divBdr>
                        <w:top w:val="none" w:sz="0" w:space="0" w:color="auto"/>
                        <w:left w:val="none" w:sz="0" w:space="0" w:color="auto"/>
                        <w:bottom w:val="none" w:sz="0" w:space="0" w:color="auto"/>
                        <w:right w:val="none" w:sz="0" w:space="0" w:color="auto"/>
                      </w:divBdr>
                    </w:div>
                  </w:divsChild>
                </w:div>
                <w:div w:id="2105609799">
                  <w:marLeft w:val="0"/>
                  <w:marRight w:val="0"/>
                  <w:marTop w:val="0"/>
                  <w:marBottom w:val="0"/>
                  <w:divBdr>
                    <w:top w:val="none" w:sz="0" w:space="0" w:color="auto"/>
                    <w:left w:val="none" w:sz="0" w:space="0" w:color="auto"/>
                    <w:bottom w:val="none" w:sz="0" w:space="0" w:color="auto"/>
                    <w:right w:val="none" w:sz="0" w:space="0" w:color="auto"/>
                  </w:divBdr>
                  <w:divsChild>
                    <w:div w:id="269747400">
                      <w:marLeft w:val="0"/>
                      <w:marRight w:val="0"/>
                      <w:marTop w:val="0"/>
                      <w:marBottom w:val="0"/>
                      <w:divBdr>
                        <w:top w:val="none" w:sz="0" w:space="0" w:color="auto"/>
                        <w:left w:val="none" w:sz="0" w:space="0" w:color="auto"/>
                        <w:bottom w:val="none" w:sz="0" w:space="0" w:color="auto"/>
                        <w:right w:val="none" w:sz="0" w:space="0" w:color="auto"/>
                      </w:divBdr>
                    </w:div>
                  </w:divsChild>
                </w:div>
                <w:div w:id="1604918150">
                  <w:marLeft w:val="0"/>
                  <w:marRight w:val="0"/>
                  <w:marTop w:val="0"/>
                  <w:marBottom w:val="0"/>
                  <w:divBdr>
                    <w:top w:val="none" w:sz="0" w:space="0" w:color="auto"/>
                    <w:left w:val="none" w:sz="0" w:space="0" w:color="auto"/>
                    <w:bottom w:val="none" w:sz="0" w:space="0" w:color="auto"/>
                    <w:right w:val="none" w:sz="0" w:space="0" w:color="auto"/>
                  </w:divBdr>
                  <w:divsChild>
                    <w:div w:id="988559026">
                      <w:marLeft w:val="0"/>
                      <w:marRight w:val="0"/>
                      <w:marTop w:val="0"/>
                      <w:marBottom w:val="0"/>
                      <w:divBdr>
                        <w:top w:val="none" w:sz="0" w:space="0" w:color="auto"/>
                        <w:left w:val="none" w:sz="0" w:space="0" w:color="auto"/>
                        <w:bottom w:val="none" w:sz="0" w:space="0" w:color="auto"/>
                        <w:right w:val="none" w:sz="0" w:space="0" w:color="auto"/>
                      </w:divBdr>
                    </w:div>
                  </w:divsChild>
                </w:div>
                <w:div w:id="237710068">
                  <w:marLeft w:val="0"/>
                  <w:marRight w:val="0"/>
                  <w:marTop w:val="0"/>
                  <w:marBottom w:val="0"/>
                  <w:divBdr>
                    <w:top w:val="none" w:sz="0" w:space="0" w:color="auto"/>
                    <w:left w:val="none" w:sz="0" w:space="0" w:color="auto"/>
                    <w:bottom w:val="none" w:sz="0" w:space="0" w:color="auto"/>
                    <w:right w:val="none" w:sz="0" w:space="0" w:color="auto"/>
                  </w:divBdr>
                  <w:divsChild>
                    <w:div w:id="1651519772">
                      <w:marLeft w:val="0"/>
                      <w:marRight w:val="0"/>
                      <w:marTop w:val="0"/>
                      <w:marBottom w:val="0"/>
                      <w:divBdr>
                        <w:top w:val="none" w:sz="0" w:space="0" w:color="auto"/>
                        <w:left w:val="none" w:sz="0" w:space="0" w:color="auto"/>
                        <w:bottom w:val="none" w:sz="0" w:space="0" w:color="auto"/>
                        <w:right w:val="none" w:sz="0" w:space="0" w:color="auto"/>
                      </w:divBdr>
                    </w:div>
                  </w:divsChild>
                </w:div>
                <w:div w:id="283537391">
                  <w:marLeft w:val="0"/>
                  <w:marRight w:val="0"/>
                  <w:marTop w:val="0"/>
                  <w:marBottom w:val="0"/>
                  <w:divBdr>
                    <w:top w:val="none" w:sz="0" w:space="0" w:color="auto"/>
                    <w:left w:val="none" w:sz="0" w:space="0" w:color="auto"/>
                    <w:bottom w:val="none" w:sz="0" w:space="0" w:color="auto"/>
                    <w:right w:val="none" w:sz="0" w:space="0" w:color="auto"/>
                  </w:divBdr>
                  <w:divsChild>
                    <w:div w:id="1461799498">
                      <w:marLeft w:val="0"/>
                      <w:marRight w:val="0"/>
                      <w:marTop w:val="0"/>
                      <w:marBottom w:val="0"/>
                      <w:divBdr>
                        <w:top w:val="none" w:sz="0" w:space="0" w:color="auto"/>
                        <w:left w:val="none" w:sz="0" w:space="0" w:color="auto"/>
                        <w:bottom w:val="none" w:sz="0" w:space="0" w:color="auto"/>
                        <w:right w:val="none" w:sz="0" w:space="0" w:color="auto"/>
                      </w:divBdr>
                    </w:div>
                  </w:divsChild>
                </w:div>
                <w:div w:id="1973439207">
                  <w:marLeft w:val="0"/>
                  <w:marRight w:val="0"/>
                  <w:marTop w:val="0"/>
                  <w:marBottom w:val="0"/>
                  <w:divBdr>
                    <w:top w:val="none" w:sz="0" w:space="0" w:color="auto"/>
                    <w:left w:val="none" w:sz="0" w:space="0" w:color="auto"/>
                    <w:bottom w:val="none" w:sz="0" w:space="0" w:color="auto"/>
                    <w:right w:val="none" w:sz="0" w:space="0" w:color="auto"/>
                  </w:divBdr>
                  <w:divsChild>
                    <w:div w:id="1287540104">
                      <w:marLeft w:val="0"/>
                      <w:marRight w:val="0"/>
                      <w:marTop w:val="0"/>
                      <w:marBottom w:val="0"/>
                      <w:divBdr>
                        <w:top w:val="none" w:sz="0" w:space="0" w:color="auto"/>
                        <w:left w:val="none" w:sz="0" w:space="0" w:color="auto"/>
                        <w:bottom w:val="none" w:sz="0" w:space="0" w:color="auto"/>
                        <w:right w:val="none" w:sz="0" w:space="0" w:color="auto"/>
                      </w:divBdr>
                    </w:div>
                  </w:divsChild>
                </w:div>
                <w:div w:id="1699506728">
                  <w:marLeft w:val="0"/>
                  <w:marRight w:val="0"/>
                  <w:marTop w:val="0"/>
                  <w:marBottom w:val="0"/>
                  <w:divBdr>
                    <w:top w:val="none" w:sz="0" w:space="0" w:color="auto"/>
                    <w:left w:val="none" w:sz="0" w:space="0" w:color="auto"/>
                    <w:bottom w:val="none" w:sz="0" w:space="0" w:color="auto"/>
                    <w:right w:val="none" w:sz="0" w:space="0" w:color="auto"/>
                  </w:divBdr>
                  <w:divsChild>
                    <w:div w:id="547574619">
                      <w:marLeft w:val="0"/>
                      <w:marRight w:val="0"/>
                      <w:marTop w:val="0"/>
                      <w:marBottom w:val="0"/>
                      <w:divBdr>
                        <w:top w:val="none" w:sz="0" w:space="0" w:color="auto"/>
                        <w:left w:val="none" w:sz="0" w:space="0" w:color="auto"/>
                        <w:bottom w:val="none" w:sz="0" w:space="0" w:color="auto"/>
                        <w:right w:val="none" w:sz="0" w:space="0" w:color="auto"/>
                      </w:divBdr>
                    </w:div>
                  </w:divsChild>
                </w:div>
                <w:div w:id="1834026429">
                  <w:marLeft w:val="0"/>
                  <w:marRight w:val="0"/>
                  <w:marTop w:val="0"/>
                  <w:marBottom w:val="0"/>
                  <w:divBdr>
                    <w:top w:val="none" w:sz="0" w:space="0" w:color="auto"/>
                    <w:left w:val="none" w:sz="0" w:space="0" w:color="auto"/>
                    <w:bottom w:val="none" w:sz="0" w:space="0" w:color="auto"/>
                    <w:right w:val="none" w:sz="0" w:space="0" w:color="auto"/>
                  </w:divBdr>
                  <w:divsChild>
                    <w:div w:id="870264384">
                      <w:marLeft w:val="0"/>
                      <w:marRight w:val="0"/>
                      <w:marTop w:val="0"/>
                      <w:marBottom w:val="0"/>
                      <w:divBdr>
                        <w:top w:val="none" w:sz="0" w:space="0" w:color="auto"/>
                        <w:left w:val="none" w:sz="0" w:space="0" w:color="auto"/>
                        <w:bottom w:val="none" w:sz="0" w:space="0" w:color="auto"/>
                        <w:right w:val="none" w:sz="0" w:space="0" w:color="auto"/>
                      </w:divBdr>
                    </w:div>
                  </w:divsChild>
                </w:div>
                <w:div w:id="410012007">
                  <w:marLeft w:val="0"/>
                  <w:marRight w:val="0"/>
                  <w:marTop w:val="0"/>
                  <w:marBottom w:val="0"/>
                  <w:divBdr>
                    <w:top w:val="none" w:sz="0" w:space="0" w:color="auto"/>
                    <w:left w:val="none" w:sz="0" w:space="0" w:color="auto"/>
                    <w:bottom w:val="none" w:sz="0" w:space="0" w:color="auto"/>
                    <w:right w:val="none" w:sz="0" w:space="0" w:color="auto"/>
                  </w:divBdr>
                  <w:divsChild>
                    <w:div w:id="636103700">
                      <w:marLeft w:val="0"/>
                      <w:marRight w:val="0"/>
                      <w:marTop w:val="0"/>
                      <w:marBottom w:val="0"/>
                      <w:divBdr>
                        <w:top w:val="none" w:sz="0" w:space="0" w:color="auto"/>
                        <w:left w:val="none" w:sz="0" w:space="0" w:color="auto"/>
                        <w:bottom w:val="none" w:sz="0" w:space="0" w:color="auto"/>
                        <w:right w:val="none" w:sz="0" w:space="0" w:color="auto"/>
                      </w:divBdr>
                    </w:div>
                  </w:divsChild>
                </w:div>
                <w:div w:id="1658878489">
                  <w:marLeft w:val="0"/>
                  <w:marRight w:val="0"/>
                  <w:marTop w:val="0"/>
                  <w:marBottom w:val="0"/>
                  <w:divBdr>
                    <w:top w:val="none" w:sz="0" w:space="0" w:color="auto"/>
                    <w:left w:val="none" w:sz="0" w:space="0" w:color="auto"/>
                    <w:bottom w:val="none" w:sz="0" w:space="0" w:color="auto"/>
                    <w:right w:val="none" w:sz="0" w:space="0" w:color="auto"/>
                  </w:divBdr>
                  <w:divsChild>
                    <w:div w:id="2145000272">
                      <w:marLeft w:val="0"/>
                      <w:marRight w:val="0"/>
                      <w:marTop w:val="0"/>
                      <w:marBottom w:val="0"/>
                      <w:divBdr>
                        <w:top w:val="none" w:sz="0" w:space="0" w:color="auto"/>
                        <w:left w:val="none" w:sz="0" w:space="0" w:color="auto"/>
                        <w:bottom w:val="none" w:sz="0" w:space="0" w:color="auto"/>
                        <w:right w:val="none" w:sz="0" w:space="0" w:color="auto"/>
                      </w:divBdr>
                    </w:div>
                  </w:divsChild>
                </w:div>
                <w:div w:id="335041884">
                  <w:marLeft w:val="0"/>
                  <w:marRight w:val="0"/>
                  <w:marTop w:val="0"/>
                  <w:marBottom w:val="0"/>
                  <w:divBdr>
                    <w:top w:val="none" w:sz="0" w:space="0" w:color="auto"/>
                    <w:left w:val="none" w:sz="0" w:space="0" w:color="auto"/>
                    <w:bottom w:val="none" w:sz="0" w:space="0" w:color="auto"/>
                    <w:right w:val="none" w:sz="0" w:space="0" w:color="auto"/>
                  </w:divBdr>
                  <w:divsChild>
                    <w:div w:id="1057633331">
                      <w:marLeft w:val="0"/>
                      <w:marRight w:val="0"/>
                      <w:marTop w:val="0"/>
                      <w:marBottom w:val="0"/>
                      <w:divBdr>
                        <w:top w:val="none" w:sz="0" w:space="0" w:color="auto"/>
                        <w:left w:val="none" w:sz="0" w:space="0" w:color="auto"/>
                        <w:bottom w:val="none" w:sz="0" w:space="0" w:color="auto"/>
                        <w:right w:val="none" w:sz="0" w:space="0" w:color="auto"/>
                      </w:divBdr>
                    </w:div>
                  </w:divsChild>
                </w:div>
                <w:div w:id="358052415">
                  <w:marLeft w:val="0"/>
                  <w:marRight w:val="0"/>
                  <w:marTop w:val="0"/>
                  <w:marBottom w:val="0"/>
                  <w:divBdr>
                    <w:top w:val="none" w:sz="0" w:space="0" w:color="auto"/>
                    <w:left w:val="none" w:sz="0" w:space="0" w:color="auto"/>
                    <w:bottom w:val="none" w:sz="0" w:space="0" w:color="auto"/>
                    <w:right w:val="none" w:sz="0" w:space="0" w:color="auto"/>
                  </w:divBdr>
                  <w:divsChild>
                    <w:div w:id="1301225378">
                      <w:marLeft w:val="0"/>
                      <w:marRight w:val="0"/>
                      <w:marTop w:val="0"/>
                      <w:marBottom w:val="0"/>
                      <w:divBdr>
                        <w:top w:val="none" w:sz="0" w:space="0" w:color="auto"/>
                        <w:left w:val="none" w:sz="0" w:space="0" w:color="auto"/>
                        <w:bottom w:val="none" w:sz="0" w:space="0" w:color="auto"/>
                        <w:right w:val="none" w:sz="0" w:space="0" w:color="auto"/>
                      </w:divBdr>
                    </w:div>
                  </w:divsChild>
                </w:div>
                <w:div w:id="1666780742">
                  <w:marLeft w:val="0"/>
                  <w:marRight w:val="0"/>
                  <w:marTop w:val="0"/>
                  <w:marBottom w:val="0"/>
                  <w:divBdr>
                    <w:top w:val="none" w:sz="0" w:space="0" w:color="auto"/>
                    <w:left w:val="none" w:sz="0" w:space="0" w:color="auto"/>
                    <w:bottom w:val="none" w:sz="0" w:space="0" w:color="auto"/>
                    <w:right w:val="none" w:sz="0" w:space="0" w:color="auto"/>
                  </w:divBdr>
                  <w:divsChild>
                    <w:div w:id="376246716">
                      <w:marLeft w:val="0"/>
                      <w:marRight w:val="0"/>
                      <w:marTop w:val="0"/>
                      <w:marBottom w:val="0"/>
                      <w:divBdr>
                        <w:top w:val="none" w:sz="0" w:space="0" w:color="auto"/>
                        <w:left w:val="none" w:sz="0" w:space="0" w:color="auto"/>
                        <w:bottom w:val="none" w:sz="0" w:space="0" w:color="auto"/>
                        <w:right w:val="none" w:sz="0" w:space="0" w:color="auto"/>
                      </w:divBdr>
                    </w:div>
                  </w:divsChild>
                </w:div>
                <w:div w:id="1012143393">
                  <w:marLeft w:val="0"/>
                  <w:marRight w:val="0"/>
                  <w:marTop w:val="0"/>
                  <w:marBottom w:val="0"/>
                  <w:divBdr>
                    <w:top w:val="none" w:sz="0" w:space="0" w:color="auto"/>
                    <w:left w:val="none" w:sz="0" w:space="0" w:color="auto"/>
                    <w:bottom w:val="none" w:sz="0" w:space="0" w:color="auto"/>
                    <w:right w:val="none" w:sz="0" w:space="0" w:color="auto"/>
                  </w:divBdr>
                  <w:divsChild>
                    <w:div w:id="499733681">
                      <w:marLeft w:val="0"/>
                      <w:marRight w:val="0"/>
                      <w:marTop w:val="0"/>
                      <w:marBottom w:val="0"/>
                      <w:divBdr>
                        <w:top w:val="none" w:sz="0" w:space="0" w:color="auto"/>
                        <w:left w:val="none" w:sz="0" w:space="0" w:color="auto"/>
                        <w:bottom w:val="none" w:sz="0" w:space="0" w:color="auto"/>
                        <w:right w:val="none" w:sz="0" w:space="0" w:color="auto"/>
                      </w:divBdr>
                    </w:div>
                  </w:divsChild>
                </w:div>
                <w:div w:id="192768929">
                  <w:marLeft w:val="0"/>
                  <w:marRight w:val="0"/>
                  <w:marTop w:val="0"/>
                  <w:marBottom w:val="0"/>
                  <w:divBdr>
                    <w:top w:val="none" w:sz="0" w:space="0" w:color="auto"/>
                    <w:left w:val="none" w:sz="0" w:space="0" w:color="auto"/>
                    <w:bottom w:val="none" w:sz="0" w:space="0" w:color="auto"/>
                    <w:right w:val="none" w:sz="0" w:space="0" w:color="auto"/>
                  </w:divBdr>
                  <w:divsChild>
                    <w:div w:id="690910016">
                      <w:marLeft w:val="0"/>
                      <w:marRight w:val="0"/>
                      <w:marTop w:val="0"/>
                      <w:marBottom w:val="0"/>
                      <w:divBdr>
                        <w:top w:val="none" w:sz="0" w:space="0" w:color="auto"/>
                        <w:left w:val="none" w:sz="0" w:space="0" w:color="auto"/>
                        <w:bottom w:val="none" w:sz="0" w:space="0" w:color="auto"/>
                        <w:right w:val="none" w:sz="0" w:space="0" w:color="auto"/>
                      </w:divBdr>
                    </w:div>
                  </w:divsChild>
                </w:div>
                <w:div w:id="322396070">
                  <w:marLeft w:val="0"/>
                  <w:marRight w:val="0"/>
                  <w:marTop w:val="0"/>
                  <w:marBottom w:val="0"/>
                  <w:divBdr>
                    <w:top w:val="none" w:sz="0" w:space="0" w:color="auto"/>
                    <w:left w:val="none" w:sz="0" w:space="0" w:color="auto"/>
                    <w:bottom w:val="none" w:sz="0" w:space="0" w:color="auto"/>
                    <w:right w:val="none" w:sz="0" w:space="0" w:color="auto"/>
                  </w:divBdr>
                  <w:divsChild>
                    <w:div w:id="771435687">
                      <w:marLeft w:val="0"/>
                      <w:marRight w:val="0"/>
                      <w:marTop w:val="0"/>
                      <w:marBottom w:val="0"/>
                      <w:divBdr>
                        <w:top w:val="none" w:sz="0" w:space="0" w:color="auto"/>
                        <w:left w:val="none" w:sz="0" w:space="0" w:color="auto"/>
                        <w:bottom w:val="none" w:sz="0" w:space="0" w:color="auto"/>
                        <w:right w:val="none" w:sz="0" w:space="0" w:color="auto"/>
                      </w:divBdr>
                    </w:div>
                  </w:divsChild>
                </w:div>
                <w:div w:id="637539425">
                  <w:marLeft w:val="0"/>
                  <w:marRight w:val="0"/>
                  <w:marTop w:val="0"/>
                  <w:marBottom w:val="0"/>
                  <w:divBdr>
                    <w:top w:val="none" w:sz="0" w:space="0" w:color="auto"/>
                    <w:left w:val="none" w:sz="0" w:space="0" w:color="auto"/>
                    <w:bottom w:val="none" w:sz="0" w:space="0" w:color="auto"/>
                    <w:right w:val="none" w:sz="0" w:space="0" w:color="auto"/>
                  </w:divBdr>
                  <w:divsChild>
                    <w:div w:id="304939199">
                      <w:marLeft w:val="0"/>
                      <w:marRight w:val="0"/>
                      <w:marTop w:val="0"/>
                      <w:marBottom w:val="0"/>
                      <w:divBdr>
                        <w:top w:val="none" w:sz="0" w:space="0" w:color="auto"/>
                        <w:left w:val="none" w:sz="0" w:space="0" w:color="auto"/>
                        <w:bottom w:val="none" w:sz="0" w:space="0" w:color="auto"/>
                        <w:right w:val="none" w:sz="0" w:space="0" w:color="auto"/>
                      </w:divBdr>
                    </w:div>
                  </w:divsChild>
                </w:div>
                <w:div w:id="182714668">
                  <w:marLeft w:val="0"/>
                  <w:marRight w:val="0"/>
                  <w:marTop w:val="0"/>
                  <w:marBottom w:val="0"/>
                  <w:divBdr>
                    <w:top w:val="none" w:sz="0" w:space="0" w:color="auto"/>
                    <w:left w:val="none" w:sz="0" w:space="0" w:color="auto"/>
                    <w:bottom w:val="none" w:sz="0" w:space="0" w:color="auto"/>
                    <w:right w:val="none" w:sz="0" w:space="0" w:color="auto"/>
                  </w:divBdr>
                  <w:divsChild>
                    <w:div w:id="1554001643">
                      <w:marLeft w:val="0"/>
                      <w:marRight w:val="0"/>
                      <w:marTop w:val="0"/>
                      <w:marBottom w:val="0"/>
                      <w:divBdr>
                        <w:top w:val="none" w:sz="0" w:space="0" w:color="auto"/>
                        <w:left w:val="none" w:sz="0" w:space="0" w:color="auto"/>
                        <w:bottom w:val="none" w:sz="0" w:space="0" w:color="auto"/>
                        <w:right w:val="none" w:sz="0" w:space="0" w:color="auto"/>
                      </w:divBdr>
                    </w:div>
                  </w:divsChild>
                </w:div>
                <w:div w:id="94179402">
                  <w:marLeft w:val="0"/>
                  <w:marRight w:val="0"/>
                  <w:marTop w:val="0"/>
                  <w:marBottom w:val="0"/>
                  <w:divBdr>
                    <w:top w:val="none" w:sz="0" w:space="0" w:color="auto"/>
                    <w:left w:val="none" w:sz="0" w:space="0" w:color="auto"/>
                    <w:bottom w:val="none" w:sz="0" w:space="0" w:color="auto"/>
                    <w:right w:val="none" w:sz="0" w:space="0" w:color="auto"/>
                  </w:divBdr>
                  <w:divsChild>
                    <w:div w:id="1786383124">
                      <w:marLeft w:val="0"/>
                      <w:marRight w:val="0"/>
                      <w:marTop w:val="0"/>
                      <w:marBottom w:val="0"/>
                      <w:divBdr>
                        <w:top w:val="none" w:sz="0" w:space="0" w:color="auto"/>
                        <w:left w:val="none" w:sz="0" w:space="0" w:color="auto"/>
                        <w:bottom w:val="none" w:sz="0" w:space="0" w:color="auto"/>
                        <w:right w:val="none" w:sz="0" w:space="0" w:color="auto"/>
                      </w:divBdr>
                    </w:div>
                  </w:divsChild>
                </w:div>
                <w:div w:id="628170551">
                  <w:marLeft w:val="0"/>
                  <w:marRight w:val="0"/>
                  <w:marTop w:val="0"/>
                  <w:marBottom w:val="0"/>
                  <w:divBdr>
                    <w:top w:val="none" w:sz="0" w:space="0" w:color="auto"/>
                    <w:left w:val="none" w:sz="0" w:space="0" w:color="auto"/>
                    <w:bottom w:val="none" w:sz="0" w:space="0" w:color="auto"/>
                    <w:right w:val="none" w:sz="0" w:space="0" w:color="auto"/>
                  </w:divBdr>
                  <w:divsChild>
                    <w:div w:id="12730547">
                      <w:marLeft w:val="0"/>
                      <w:marRight w:val="0"/>
                      <w:marTop w:val="0"/>
                      <w:marBottom w:val="0"/>
                      <w:divBdr>
                        <w:top w:val="none" w:sz="0" w:space="0" w:color="auto"/>
                        <w:left w:val="none" w:sz="0" w:space="0" w:color="auto"/>
                        <w:bottom w:val="none" w:sz="0" w:space="0" w:color="auto"/>
                        <w:right w:val="none" w:sz="0" w:space="0" w:color="auto"/>
                      </w:divBdr>
                    </w:div>
                  </w:divsChild>
                </w:div>
                <w:div w:id="257255673">
                  <w:marLeft w:val="0"/>
                  <w:marRight w:val="0"/>
                  <w:marTop w:val="0"/>
                  <w:marBottom w:val="0"/>
                  <w:divBdr>
                    <w:top w:val="none" w:sz="0" w:space="0" w:color="auto"/>
                    <w:left w:val="none" w:sz="0" w:space="0" w:color="auto"/>
                    <w:bottom w:val="none" w:sz="0" w:space="0" w:color="auto"/>
                    <w:right w:val="none" w:sz="0" w:space="0" w:color="auto"/>
                  </w:divBdr>
                  <w:divsChild>
                    <w:div w:id="121848433">
                      <w:marLeft w:val="0"/>
                      <w:marRight w:val="0"/>
                      <w:marTop w:val="0"/>
                      <w:marBottom w:val="0"/>
                      <w:divBdr>
                        <w:top w:val="none" w:sz="0" w:space="0" w:color="auto"/>
                        <w:left w:val="none" w:sz="0" w:space="0" w:color="auto"/>
                        <w:bottom w:val="none" w:sz="0" w:space="0" w:color="auto"/>
                        <w:right w:val="none" w:sz="0" w:space="0" w:color="auto"/>
                      </w:divBdr>
                    </w:div>
                  </w:divsChild>
                </w:div>
                <w:div w:id="627930930">
                  <w:marLeft w:val="0"/>
                  <w:marRight w:val="0"/>
                  <w:marTop w:val="0"/>
                  <w:marBottom w:val="0"/>
                  <w:divBdr>
                    <w:top w:val="none" w:sz="0" w:space="0" w:color="auto"/>
                    <w:left w:val="none" w:sz="0" w:space="0" w:color="auto"/>
                    <w:bottom w:val="none" w:sz="0" w:space="0" w:color="auto"/>
                    <w:right w:val="none" w:sz="0" w:space="0" w:color="auto"/>
                  </w:divBdr>
                  <w:divsChild>
                    <w:div w:id="960456275">
                      <w:marLeft w:val="0"/>
                      <w:marRight w:val="0"/>
                      <w:marTop w:val="0"/>
                      <w:marBottom w:val="0"/>
                      <w:divBdr>
                        <w:top w:val="none" w:sz="0" w:space="0" w:color="auto"/>
                        <w:left w:val="none" w:sz="0" w:space="0" w:color="auto"/>
                        <w:bottom w:val="none" w:sz="0" w:space="0" w:color="auto"/>
                        <w:right w:val="none" w:sz="0" w:space="0" w:color="auto"/>
                      </w:divBdr>
                    </w:div>
                  </w:divsChild>
                </w:div>
                <w:div w:id="126626481">
                  <w:marLeft w:val="0"/>
                  <w:marRight w:val="0"/>
                  <w:marTop w:val="0"/>
                  <w:marBottom w:val="0"/>
                  <w:divBdr>
                    <w:top w:val="none" w:sz="0" w:space="0" w:color="auto"/>
                    <w:left w:val="none" w:sz="0" w:space="0" w:color="auto"/>
                    <w:bottom w:val="none" w:sz="0" w:space="0" w:color="auto"/>
                    <w:right w:val="none" w:sz="0" w:space="0" w:color="auto"/>
                  </w:divBdr>
                  <w:divsChild>
                    <w:div w:id="1817649505">
                      <w:marLeft w:val="0"/>
                      <w:marRight w:val="0"/>
                      <w:marTop w:val="0"/>
                      <w:marBottom w:val="0"/>
                      <w:divBdr>
                        <w:top w:val="none" w:sz="0" w:space="0" w:color="auto"/>
                        <w:left w:val="none" w:sz="0" w:space="0" w:color="auto"/>
                        <w:bottom w:val="none" w:sz="0" w:space="0" w:color="auto"/>
                        <w:right w:val="none" w:sz="0" w:space="0" w:color="auto"/>
                      </w:divBdr>
                    </w:div>
                  </w:divsChild>
                </w:div>
                <w:div w:id="864095431">
                  <w:marLeft w:val="0"/>
                  <w:marRight w:val="0"/>
                  <w:marTop w:val="0"/>
                  <w:marBottom w:val="0"/>
                  <w:divBdr>
                    <w:top w:val="none" w:sz="0" w:space="0" w:color="auto"/>
                    <w:left w:val="none" w:sz="0" w:space="0" w:color="auto"/>
                    <w:bottom w:val="none" w:sz="0" w:space="0" w:color="auto"/>
                    <w:right w:val="none" w:sz="0" w:space="0" w:color="auto"/>
                  </w:divBdr>
                  <w:divsChild>
                    <w:div w:id="1333413357">
                      <w:marLeft w:val="0"/>
                      <w:marRight w:val="0"/>
                      <w:marTop w:val="0"/>
                      <w:marBottom w:val="0"/>
                      <w:divBdr>
                        <w:top w:val="none" w:sz="0" w:space="0" w:color="auto"/>
                        <w:left w:val="none" w:sz="0" w:space="0" w:color="auto"/>
                        <w:bottom w:val="none" w:sz="0" w:space="0" w:color="auto"/>
                        <w:right w:val="none" w:sz="0" w:space="0" w:color="auto"/>
                      </w:divBdr>
                    </w:div>
                  </w:divsChild>
                </w:div>
                <w:div w:id="865098519">
                  <w:marLeft w:val="0"/>
                  <w:marRight w:val="0"/>
                  <w:marTop w:val="0"/>
                  <w:marBottom w:val="0"/>
                  <w:divBdr>
                    <w:top w:val="none" w:sz="0" w:space="0" w:color="auto"/>
                    <w:left w:val="none" w:sz="0" w:space="0" w:color="auto"/>
                    <w:bottom w:val="none" w:sz="0" w:space="0" w:color="auto"/>
                    <w:right w:val="none" w:sz="0" w:space="0" w:color="auto"/>
                  </w:divBdr>
                  <w:divsChild>
                    <w:div w:id="908230573">
                      <w:marLeft w:val="0"/>
                      <w:marRight w:val="0"/>
                      <w:marTop w:val="0"/>
                      <w:marBottom w:val="0"/>
                      <w:divBdr>
                        <w:top w:val="none" w:sz="0" w:space="0" w:color="auto"/>
                        <w:left w:val="none" w:sz="0" w:space="0" w:color="auto"/>
                        <w:bottom w:val="none" w:sz="0" w:space="0" w:color="auto"/>
                        <w:right w:val="none" w:sz="0" w:space="0" w:color="auto"/>
                      </w:divBdr>
                    </w:div>
                  </w:divsChild>
                </w:div>
                <w:div w:id="1998803884">
                  <w:marLeft w:val="0"/>
                  <w:marRight w:val="0"/>
                  <w:marTop w:val="0"/>
                  <w:marBottom w:val="0"/>
                  <w:divBdr>
                    <w:top w:val="none" w:sz="0" w:space="0" w:color="auto"/>
                    <w:left w:val="none" w:sz="0" w:space="0" w:color="auto"/>
                    <w:bottom w:val="none" w:sz="0" w:space="0" w:color="auto"/>
                    <w:right w:val="none" w:sz="0" w:space="0" w:color="auto"/>
                  </w:divBdr>
                  <w:divsChild>
                    <w:div w:id="929047244">
                      <w:marLeft w:val="0"/>
                      <w:marRight w:val="0"/>
                      <w:marTop w:val="0"/>
                      <w:marBottom w:val="0"/>
                      <w:divBdr>
                        <w:top w:val="none" w:sz="0" w:space="0" w:color="auto"/>
                        <w:left w:val="none" w:sz="0" w:space="0" w:color="auto"/>
                        <w:bottom w:val="none" w:sz="0" w:space="0" w:color="auto"/>
                        <w:right w:val="none" w:sz="0" w:space="0" w:color="auto"/>
                      </w:divBdr>
                    </w:div>
                  </w:divsChild>
                </w:div>
                <w:div w:id="1425300072">
                  <w:marLeft w:val="0"/>
                  <w:marRight w:val="0"/>
                  <w:marTop w:val="0"/>
                  <w:marBottom w:val="0"/>
                  <w:divBdr>
                    <w:top w:val="none" w:sz="0" w:space="0" w:color="auto"/>
                    <w:left w:val="none" w:sz="0" w:space="0" w:color="auto"/>
                    <w:bottom w:val="none" w:sz="0" w:space="0" w:color="auto"/>
                    <w:right w:val="none" w:sz="0" w:space="0" w:color="auto"/>
                  </w:divBdr>
                  <w:divsChild>
                    <w:div w:id="2091390469">
                      <w:marLeft w:val="0"/>
                      <w:marRight w:val="0"/>
                      <w:marTop w:val="0"/>
                      <w:marBottom w:val="0"/>
                      <w:divBdr>
                        <w:top w:val="none" w:sz="0" w:space="0" w:color="auto"/>
                        <w:left w:val="none" w:sz="0" w:space="0" w:color="auto"/>
                        <w:bottom w:val="none" w:sz="0" w:space="0" w:color="auto"/>
                        <w:right w:val="none" w:sz="0" w:space="0" w:color="auto"/>
                      </w:divBdr>
                    </w:div>
                  </w:divsChild>
                </w:div>
                <w:div w:id="1146163613">
                  <w:marLeft w:val="0"/>
                  <w:marRight w:val="0"/>
                  <w:marTop w:val="0"/>
                  <w:marBottom w:val="0"/>
                  <w:divBdr>
                    <w:top w:val="none" w:sz="0" w:space="0" w:color="auto"/>
                    <w:left w:val="none" w:sz="0" w:space="0" w:color="auto"/>
                    <w:bottom w:val="none" w:sz="0" w:space="0" w:color="auto"/>
                    <w:right w:val="none" w:sz="0" w:space="0" w:color="auto"/>
                  </w:divBdr>
                  <w:divsChild>
                    <w:div w:id="1747145048">
                      <w:marLeft w:val="0"/>
                      <w:marRight w:val="0"/>
                      <w:marTop w:val="0"/>
                      <w:marBottom w:val="0"/>
                      <w:divBdr>
                        <w:top w:val="none" w:sz="0" w:space="0" w:color="auto"/>
                        <w:left w:val="none" w:sz="0" w:space="0" w:color="auto"/>
                        <w:bottom w:val="none" w:sz="0" w:space="0" w:color="auto"/>
                        <w:right w:val="none" w:sz="0" w:space="0" w:color="auto"/>
                      </w:divBdr>
                    </w:div>
                  </w:divsChild>
                </w:div>
                <w:div w:id="653219365">
                  <w:marLeft w:val="0"/>
                  <w:marRight w:val="0"/>
                  <w:marTop w:val="0"/>
                  <w:marBottom w:val="0"/>
                  <w:divBdr>
                    <w:top w:val="none" w:sz="0" w:space="0" w:color="auto"/>
                    <w:left w:val="none" w:sz="0" w:space="0" w:color="auto"/>
                    <w:bottom w:val="none" w:sz="0" w:space="0" w:color="auto"/>
                    <w:right w:val="none" w:sz="0" w:space="0" w:color="auto"/>
                  </w:divBdr>
                  <w:divsChild>
                    <w:div w:id="862671902">
                      <w:marLeft w:val="0"/>
                      <w:marRight w:val="0"/>
                      <w:marTop w:val="0"/>
                      <w:marBottom w:val="0"/>
                      <w:divBdr>
                        <w:top w:val="none" w:sz="0" w:space="0" w:color="auto"/>
                        <w:left w:val="none" w:sz="0" w:space="0" w:color="auto"/>
                        <w:bottom w:val="none" w:sz="0" w:space="0" w:color="auto"/>
                        <w:right w:val="none" w:sz="0" w:space="0" w:color="auto"/>
                      </w:divBdr>
                    </w:div>
                  </w:divsChild>
                </w:div>
                <w:div w:id="2024429556">
                  <w:marLeft w:val="0"/>
                  <w:marRight w:val="0"/>
                  <w:marTop w:val="0"/>
                  <w:marBottom w:val="0"/>
                  <w:divBdr>
                    <w:top w:val="none" w:sz="0" w:space="0" w:color="auto"/>
                    <w:left w:val="none" w:sz="0" w:space="0" w:color="auto"/>
                    <w:bottom w:val="none" w:sz="0" w:space="0" w:color="auto"/>
                    <w:right w:val="none" w:sz="0" w:space="0" w:color="auto"/>
                  </w:divBdr>
                  <w:divsChild>
                    <w:div w:id="2041005814">
                      <w:marLeft w:val="0"/>
                      <w:marRight w:val="0"/>
                      <w:marTop w:val="0"/>
                      <w:marBottom w:val="0"/>
                      <w:divBdr>
                        <w:top w:val="none" w:sz="0" w:space="0" w:color="auto"/>
                        <w:left w:val="none" w:sz="0" w:space="0" w:color="auto"/>
                        <w:bottom w:val="none" w:sz="0" w:space="0" w:color="auto"/>
                        <w:right w:val="none" w:sz="0" w:space="0" w:color="auto"/>
                      </w:divBdr>
                    </w:div>
                  </w:divsChild>
                </w:div>
                <w:div w:id="1532105535">
                  <w:marLeft w:val="0"/>
                  <w:marRight w:val="0"/>
                  <w:marTop w:val="0"/>
                  <w:marBottom w:val="0"/>
                  <w:divBdr>
                    <w:top w:val="none" w:sz="0" w:space="0" w:color="auto"/>
                    <w:left w:val="none" w:sz="0" w:space="0" w:color="auto"/>
                    <w:bottom w:val="none" w:sz="0" w:space="0" w:color="auto"/>
                    <w:right w:val="none" w:sz="0" w:space="0" w:color="auto"/>
                  </w:divBdr>
                  <w:divsChild>
                    <w:div w:id="1216623315">
                      <w:marLeft w:val="0"/>
                      <w:marRight w:val="0"/>
                      <w:marTop w:val="0"/>
                      <w:marBottom w:val="0"/>
                      <w:divBdr>
                        <w:top w:val="none" w:sz="0" w:space="0" w:color="auto"/>
                        <w:left w:val="none" w:sz="0" w:space="0" w:color="auto"/>
                        <w:bottom w:val="none" w:sz="0" w:space="0" w:color="auto"/>
                        <w:right w:val="none" w:sz="0" w:space="0" w:color="auto"/>
                      </w:divBdr>
                    </w:div>
                  </w:divsChild>
                </w:div>
                <w:div w:id="1749571570">
                  <w:marLeft w:val="0"/>
                  <w:marRight w:val="0"/>
                  <w:marTop w:val="0"/>
                  <w:marBottom w:val="0"/>
                  <w:divBdr>
                    <w:top w:val="none" w:sz="0" w:space="0" w:color="auto"/>
                    <w:left w:val="none" w:sz="0" w:space="0" w:color="auto"/>
                    <w:bottom w:val="none" w:sz="0" w:space="0" w:color="auto"/>
                    <w:right w:val="none" w:sz="0" w:space="0" w:color="auto"/>
                  </w:divBdr>
                  <w:divsChild>
                    <w:div w:id="1886983953">
                      <w:marLeft w:val="0"/>
                      <w:marRight w:val="0"/>
                      <w:marTop w:val="0"/>
                      <w:marBottom w:val="0"/>
                      <w:divBdr>
                        <w:top w:val="none" w:sz="0" w:space="0" w:color="auto"/>
                        <w:left w:val="none" w:sz="0" w:space="0" w:color="auto"/>
                        <w:bottom w:val="none" w:sz="0" w:space="0" w:color="auto"/>
                        <w:right w:val="none" w:sz="0" w:space="0" w:color="auto"/>
                      </w:divBdr>
                    </w:div>
                  </w:divsChild>
                </w:div>
                <w:div w:id="1681663589">
                  <w:marLeft w:val="0"/>
                  <w:marRight w:val="0"/>
                  <w:marTop w:val="0"/>
                  <w:marBottom w:val="0"/>
                  <w:divBdr>
                    <w:top w:val="none" w:sz="0" w:space="0" w:color="auto"/>
                    <w:left w:val="none" w:sz="0" w:space="0" w:color="auto"/>
                    <w:bottom w:val="none" w:sz="0" w:space="0" w:color="auto"/>
                    <w:right w:val="none" w:sz="0" w:space="0" w:color="auto"/>
                  </w:divBdr>
                  <w:divsChild>
                    <w:div w:id="1885871208">
                      <w:marLeft w:val="0"/>
                      <w:marRight w:val="0"/>
                      <w:marTop w:val="0"/>
                      <w:marBottom w:val="0"/>
                      <w:divBdr>
                        <w:top w:val="none" w:sz="0" w:space="0" w:color="auto"/>
                        <w:left w:val="none" w:sz="0" w:space="0" w:color="auto"/>
                        <w:bottom w:val="none" w:sz="0" w:space="0" w:color="auto"/>
                        <w:right w:val="none" w:sz="0" w:space="0" w:color="auto"/>
                      </w:divBdr>
                    </w:div>
                  </w:divsChild>
                </w:div>
                <w:div w:id="1022629063">
                  <w:marLeft w:val="0"/>
                  <w:marRight w:val="0"/>
                  <w:marTop w:val="0"/>
                  <w:marBottom w:val="0"/>
                  <w:divBdr>
                    <w:top w:val="none" w:sz="0" w:space="0" w:color="auto"/>
                    <w:left w:val="none" w:sz="0" w:space="0" w:color="auto"/>
                    <w:bottom w:val="none" w:sz="0" w:space="0" w:color="auto"/>
                    <w:right w:val="none" w:sz="0" w:space="0" w:color="auto"/>
                  </w:divBdr>
                  <w:divsChild>
                    <w:div w:id="44261468">
                      <w:marLeft w:val="0"/>
                      <w:marRight w:val="0"/>
                      <w:marTop w:val="0"/>
                      <w:marBottom w:val="0"/>
                      <w:divBdr>
                        <w:top w:val="none" w:sz="0" w:space="0" w:color="auto"/>
                        <w:left w:val="none" w:sz="0" w:space="0" w:color="auto"/>
                        <w:bottom w:val="none" w:sz="0" w:space="0" w:color="auto"/>
                        <w:right w:val="none" w:sz="0" w:space="0" w:color="auto"/>
                      </w:divBdr>
                    </w:div>
                  </w:divsChild>
                </w:div>
                <w:div w:id="1376738601">
                  <w:marLeft w:val="0"/>
                  <w:marRight w:val="0"/>
                  <w:marTop w:val="0"/>
                  <w:marBottom w:val="0"/>
                  <w:divBdr>
                    <w:top w:val="none" w:sz="0" w:space="0" w:color="auto"/>
                    <w:left w:val="none" w:sz="0" w:space="0" w:color="auto"/>
                    <w:bottom w:val="none" w:sz="0" w:space="0" w:color="auto"/>
                    <w:right w:val="none" w:sz="0" w:space="0" w:color="auto"/>
                  </w:divBdr>
                  <w:divsChild>
                    <w:div w:id="786049743">
                      <w:marLeft w:val="0"/>
                      <w:marRight w:val="0"/>
                      <w:marTop w:val="0"/>
                      <w:marBottom w:val="0"/>
                      <w:divBdr>
                        <w:top w:val="none" w:sz="0" w:space="0" w:color="auto"/>
                        <w:left w:val="none" w:sz="0" w:space="0" w:color="auto"/>
                        <w:bottom w:val="none" w:sz="0" w:space="0" w:color="auto"/>
                        <w:right w:val="none" w:sz="0" w:space="0" w:color="auto"/>
                      </w:divBdr>
                    </w:div>
                  </w:divsChild>
                </w:div>
                <w:div w:id="1142162240">
                  <w:marLeft w:val="0"/>
                  <w:marRight w:val="0"/>
                  <w:marTop w:val="0"/>
                  <w:marBottom w:val="0"/>
                  <w:divBdr>
                    <w:top w:val="none" w:sz="0" w:space="0" w:color="auto"/>
                    <w:left w:val="none" w:sz="0" w:space="0" w:color="auto"/>
                    <w:bottom w:val="none" w:sz="0" w:space="0" w:color="auto"/>
                    <w:right w:val="none" w:sz="0" w:space="0" w:color="auto"/>
                  </w:divBdr>
                  <w:divsChild>
                    <w:div w:id="110981843">
                      <w:marLeft w:val="0"/>
                      <w:marRight w:val="0"/>
                      <w:marTop w:val="0"/>
                      <w:marBottom w:val="0"/>
                      <w:divBdr>
                        <w:top w:val="none" w:sz="0" w:space="0" w:color="auto"/>
                        <w:left w:val="none" w:sz="0" w:space="0" w:color="auto"/>
                        <w:bottom w:val="none" w:sz="0" w:space="0" w:color="auto"/>
                        <w:right w:val="none" w:sz="0" w:space="0" w:color="auto"/>
                      </w:divBdr>
                    </w:div>
                  </w:divsChild>
                </w:div>
                <w:div w:id="434792088">
                  <w:marLeft w:val="0"/>
                  <w:marRight w:val="0"/>
                  <w:marTop w:val="0"/>
                  <w:marBottom w:val="0"/>
                  <w:divBdr>
                    <w:top w:val="none" w:sz="0" w:space="0" w:color="auto"/>
                    <w:left w:val="none" w:sz="0" w:space="0" w:color="auto"/>
                    <w:bottom w:val="none" w:sz="0" w:space="0" w:color="auto"/>
                    <w:right w:val="none" w:sz="0" w:space="0" w:color="auto"/>
                  </w:divBdr>
                  <w:divsChild>
                    <w:div w:id="7842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722754086">
      <w:bodyDiv w:val="1"/>
      <w:marLeft w:val="0"/>
      <w:marRight w:val="0"/>
      <w:marTop w:val="0"/>
      <w:marBottom w:val="0"/>
      <w:divBdr>
        <w:top w:val="none" w:sz="0" w:space="0" w:color="auto"/>
        <w:left w:val="none" w:sz="0" w:space="0" w:color="auto"/>
        <w:bottom w:val="none" w:sz="0" w:space="0" w:color="auto"/>
        <w:right w:val="none" w:sz="0" w:space="0" w:color="auto"/>
      </w:divBdr>
      <w:divsChild>
        <w:div w:id="1720320322">
          <w:marLeft w:val="0"/>
          <w:marRight w:val="0"/>
          <w:marTop w:val="0"/>
          <w:marBottom w:val="0"/>
          <w:divBdr>
            <w:top w:val="none" w:sz="0" w:space="0" w:color="auto"/>
            <w:left w:val="none" w:sz="0" w:space="0" w:color="auto"/>
            <w:bottom w:val="none" w:sz="0" w:space="0" w:color="auto"/>
            <w:right w:val="none" w:sz="0" w:space="0" w:color="auto"/>
          </w:divBdr>
          <w:divsChild>
            <w:div w:id="1267419594">
              <w:marLeft w:val="0"/>
              <w:marRight w:val="0"/>
              <w:marTop w:val="0"/>
              <w:marBottom w:val="0"/>
              <w:divBdr>
                <w:top w:val="none" w:sz="0" w:space="0" w:color="auto"/>
                <w:left w:val="none" w:sz="0" w:space="0" w:color="auto"/>
                <w:bottom w:val="none" w:sz="0" w:space="0" w:color="auto"/>
                <w:right w:val="none" w:sz="0" w:space="0" w:color="auto"/>
              </w:divBdr>
            </w:div>
          </w:divsChild>
        </w:div>
        <w:div w:id="915555698">
          <w:marLeft w:val="0"/>
          <w:marRight w:val="0"/>
          <w:marTop w:val="0"/>
          <w:marBottom w:val="0"/>
          <w:divBdr>
            <w:top w:val="none" w:sz="0" w:space="0" w:color="auto"/>
            <w:left w:val="none" w:sz="0" w:space="0" w:color="auto"/>
            <w:bottom w:val="none" w:sz="0" w:space="0" w:color="auto"/>
            <w:right w:val="none" w:sz="0" w:space="0" w:color="auto"/>
          </w:divBdr>
          <w:divsChild>
            <w:div w:id="908926356">
              <w:marLeft w:val="0"/>
              <w:marRight w:val="0"/>
              <w:marTop w:val="0"/>
              <w:marBottom w:val="0"/>
              <w:divBdr>
                <w:top w:val="none" w:sz="0" w:space="0" w:color="auto"/>
                <w:left w:val="none" w:sz="0" w:space="0" w:color="auto"/>
                <w:bottom w:val="none" w:sz="0" w:space="0" w:color="auto"/>
                <w:right w:val="none" w:sz="0" w:space="0" w:color="auto"/>
              </w:divBdr>
            </w:div>
          </w:divsChild>
        </w:div>
        <w:div w:id="1227914275">
          <w:marLeft w:val="0"/>
          <w:marRight w:val="0"/>
          <w:marTop w:val="0"/>
          <w:marBottom w:val="0"/>
          <w:divBdr>
            <w:top w:val="none" w:sz="0" w:space="0" w:color="auto"/>
            <w:left w:val="none" w:sz="0" w:space="0" w:color="auto"/>
            <w:bottom w:val="none" w:sz="0" w:space="0" w:color="auto"/>
            <w:right w:val="none" w:sz="0" w:space="0" w:color="auto"/>
          </w:divBdr>
          <w:divsChild>
            <w:div w:id="843859047">
              <w:marLeft w:val="0"/>
              <w:marRight w:val="0"/>
              <w:marTop w:val="0"/>
              <w:marBottom w:val="0"/>
              <w:divBdr>
                <w:top w:val="none" w:sz="0" w:space="0" w:color="auto"/>
                <w:left w:val="none" w:sz="0" w:space="0" w:color="auto"/>
                <w:bottom w:val="none" w:sz="0" w:space="0" w:color="auto"/>
                <w:right w:val="none" w:sz="0" w:space="0" w:color="auto"/>
              </w:divBdr>
            </w:div>
          </w:divsChild>
        </w:div>
        <w:div w:id="847332666">
          <w:marLeft w:val="0"/>
          <w:marRight w:val="0"/>
          <w:marTop w:val="0"/>
          <w:marBottom w:val="0"/>
          <w:divBdr>
            <w:top w:val="none" w:sz="0" w:space="0" w:color="auto"/>
            <w:left w:val="none" w:sz="0" w:space="0" w:color="auto"/>
            <w:bottom w:val="none" w:sz="0" w:space="0" w:color="auto"/>
            <w:right w:val="none" w:sz="0" w:space="0" w:color="auto"/>
          </w:divBdr>
          <w:divsChild>
            <w:div w:id="18282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7102">
      <w:bodyDiv w:val="1"/>
      <w:marLeft w:val="0"/>
      <w:marRight w:val="0"/>
      <w:marTop w:val="0"/>
      <w:marBottom w:val="0"/>
      <w:divBdr>
        <w:top w:val="none" w:sz="0" w:space="0" w:color="auto"/>
        <w:left w:val="none" w:sz="0" w:space="0" w:color="auto"/>
        <w:bottom w:val="none" w:sz="0" w:space="0" w:color="auto"/>
        <w:right w:val="none" w:sz="0" w:space="0" w:color="auto"/>
      </w:divBdr>
      <w:divsChild>
        <w:div w:id="2082407992">
          <w:marLeft w:val="0"/>
          <w:marRight w:val="0"/>
          <w:marTop w:val="0"/>
          <w:marBottom w:val="0"/>
          <w:divBdr>
            <w:top w:val="none" w:sz="0" w:space="0" w:color="auto"/>
            <w:left w:val="none" w:sz="0" w:space="0" w:color="auto"/>
            <w:bottom w:val="none" w:sz="0" w:space="0" w:color="auto"/>
            <w:right w:val="none" w:sz="0" w:space="0" w:color="auto"/>
          </w:divBdr>
          <w:divsChild>
            <w:div w:id="673726905">
              <w:marLeft w:val="0"/>
              <w:marRight w:val="0"/>
              <w:marTop w:val="0"/>
              <w:marBottom w:val="0"/>
              <w:divBdr>
                <w:top w:val="none" w:sz="0" w:space="0" w:color="auto"/>
                <w:left w:val="none" w:sz="0" w:space="0" w:color="auto"/>
                <w:bottom w:val="none" w:sz="0" w:space="0" w:color="auto"/>
                <w:right w:val="none" w:sz="0" w:space="0" w:color="auto"/>
              </w:divBdr>
              <w:divsChild>
                <w:div w:id="11963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1653">
      <w:bodyDiv w:val="1"/>
      <w:marLeft w:val="0"/>
      <w:marRight w:val="0"/>
      <w:marTop w:val="0"/>
      <w:marBottom w:val="0"/>
      <w:divBdr>
        <w:top w:val="none" w:sz="0" w:space="0" w:color="auto"/>
        <w:left w:val="none" w:sz="0" w:space="0" w:color="auto"/>
        <w:bottom w:val="none" w:sz="0" w:space="0" w:color="auto"/>
        <w:right w:val="none" w:sz="0" w:space="0" w:color="auto"/>
      </w:divBdr>
      <w:divsChild>
        <w:div w:id="584412447">
          <w:marLeft w:val="0"/>
          <w:marRight w:val="0"/>
          <w:marTop w:val="0"/>
          <w:marBottom w:val="0"/>
          <w:divBdr>
            <w:top w:val="none" w:sz="0" w:space="0" w:color="auto"/>
            <w:left w:val="none" w:sz="0" w:space="0" w:color="auto"/>
            <w:bottom w:val="none" w:sz="0" w:space="0" w:color="auto"/>
            <w:right w:val="none" w:sz="0" w:space="0" w:color="auto"/>
          </w:divBdr>
          <w:divsChild>
            <w:div w:id="1128400403">
              <w:marLeft w:val="0"/>
              <w:marRight w:val="0"/>
              <w:marTop w:val="0"/>
              <w:marBottom w:val="0"/>
              <w:divBdr>
                <w:top w:val="none" w:sz="0" w:space="0" w:color="auto"/>
                <w:left w:val="none" w:sz="0" w:space="0" w:color="auto"/>
                <w:bottom w:val="none" w:sz="0" w:space="0" w:color="auto"/>
                <w:right w:val="none" w:sz="0" w:space="0" w:color="auto"/>
              </w:divBdr>
            </w:div>
          </w:divsChild>
        </w:div>
        <w:div w:id="494343170">
          <w:marLeft w:val="0"/>
          <w:marRight w:val="0"/>
          <w:marTop w:val="0"/>
          <w:marBottom w:val="0"/>
          <w:divBdr>
            <w:top w:val="none" w:sz="0" w:space="0" w:color="auto"/>
            <w:left w:val="none" w:sz="0" w:space="0" w:color="auto"/>
            <w:bottom w:val="none" w:sz="0" w:space="0" w:color="auto"/>
            <w:right w:val="none" w:sz="0" w:space="0" w:color="auto"/>
          </w:divBdr>
          <w:divsChild>
            <w:div w:id="2024671026">
              <w:marLeft w:val="0"/>
              <w:marRight w:val="0"/>
              <w:marTop w:val="0"/>
              <w:marBottom w:val="0"/>
              <w:divBdr>
                <w:top w:val="none" w:sz="0" w:space="0" w:color="auto"/>
                <w:left w:val="none" w:sz="0" w:space="0" w:color="auto"/>
                <w:bottom w:val="none" w:sz="0" w:space="0" w:color="auto"/>
                <w:right w:val="none" w:sz="0" w:space="0" w:color="auto"/>
              </w:divBdr>
            </w:div>
          </w:divsChild>
        </w:div>
        <w:div w:id="2119983299">
          <w:marLeft w:val="0"/>
          <w:marRight w:val="0"/>
          <w:marTop w:val="0"/>
          <w:marBottom w:val="0"/>
          <w:divBdr>
            <w:top w:val="none" w:sz="0" w:space="0" w:color="auto"/>
            <w:left w:val="none" w:sz="0" w:space="0" w:color="auto"/>
            <w:bottom w:val="none" w:sz="0" w:space="0" w:color="auto"/>
            <w:right w:val="none" w:sz="0" w:space="0" w:color="auto"/>
          </w:divBdr>
          <w:divsChild>
            <w:div w:id="367874517">
              <w:marLeft w:val="0"/>
              <w:marRight w:val="0"/>
              <w:marTop w:val="0"/>
              <w:marBottom w:val="0"/>
              <w:divBdr>
                <w:top w:val="none" w:sz="0" w:space="0" w:color="auto"/>
                <w:left w:val="none" w:sz="0" w:space="0" w:color="auto"/>
                <w:bottom w:val="none" w:sz="0" w:space="0" w:color="auto"/>
                <w:right w:val="none" w:sz="0" w:space="0" w:color="auto"/>
              </w:divBdr>
            </w:div>
          </w:divsChild>
        </w:div>
        <w:div w:id="196813893">
          <w:marLeft w:val="0"/>
          <w:marRight w:val="0"/>
          <w:marTop w:val="0"/>
          <w:marBottom w:val="0"/>
          <w:divBdr>
            <w:top w:val="none" w:sz="0" w:space="0" w:color="auto"/>
            <w:left w:val="none" w:sz="0" w:space="0" w:color="auto"/>
            <w:bottom w:val="none" w:sz="0" w:space="0" w:color="auto"/>
            <w:right w:val="none" w:sz="0" w:space="0" w:color="auto"/>
          </w:divBdr>
          <w:divsChild>
            <w:div w:id="764688985">
              <w:marLeft w:val="0"/>
              <w:marRight w:val="0"/>
              <w:marTop w:val="0"/>
              <w:marBottom w:val="0"/>
              <w:divBdr>
                <w:top w:val="none" w:sz="0" w:space="0" w:color="auto"/>
                <w:left w:val="none" w:sz="0" w:space="0" w:color="auto"/>
                <w:bottom w:val="none" w:sz="0" w:space="0" w:color="auto"/>
                <w:right w:val="none" w:sz="0" w:space="0" w:color="auto"/>
              </w:divBdr>
            </w:div>
          </w:divsChild>
        </w:div>
        <w:div w:id="1591697839">
          <w:marLeft w:val="0"/>
          <w:marRight w:val="0"/>
          <w:marTop w:val="0"/>
          <w:marBottom w:val="0"/>
          <w:divBdr>
            <w:top w:val="none" w:sz="0" w:space="0" w:color="auto"/>
            <w:left w:val="none" w:sz="0" w:space="0" w:color="auto"/>
            <w:bottom w:val="none" w:sz="0" w:space="0" w:color="auto"/>
            <w:right w:val="none" w:sz="0" w:space="0" w:color="auto"/>
          </w:divBdr>
          <w:divsChild>
            <w:div w:id="242956898">
              <w:marLeft w:val="0"/>
              <w:marRight w:val="0"/>
              <w:marTop w:val="0"/>
              <w:marBottom w:val="0"/>
              <w:divBdr>
                <w:top w:val="none" w:sz="0" w:space="0" w:color="auto"/>
                <w:left w:val="none" w:sz="0" w:space="0" w:color="auto"/>
                <w:bottom w:val="none" w:sz="0" w:space="0" w:color="auto"/>
                <w:right w:val="none" w:sz="0" w:space="0" w:color="auto"/>
              </w:divBdr>
            </w:div>
          </w:divsChild>
        </w:div>
        <w:div w:id="1335689895">
          <w:marLeft w:val="0"/>
          <w:marRight w:val="0"/>
          <w:marTop w:val="0"/>
          <w:marBottom w:val="0"/>
          <w:divBdr>
            <w:top w:val="none" w:sz="0" w:space="0" w:color="auto"/>
            <w:left w:val="none" w:sz="0" w:space="0" w:color="auto"/>
            <w:bottom w:val="none" w:sz="0" w:space="0" w:color="auto"/>
            <w:right w:val="none" w:sz="0" w:space="0" w:color="auto"/>
          </w:divBdr>
          <w:divsChild>
            <w:div w:id="672151668">
              <w:marLeft w:val="0"/>
              <w:marRight w:val="0"/>
              <w:marTop w:val="0"/>
              <w:marBottom w:val="0"/>
              <w:divBdr>
                <w:top w:val="none" w:sz="0" w:space="0" w:color="auto"/>
                <w:left w:val="none" w:sz="0" w:space="0" w:color="auto"/>
                <w:bottom w:val="none" w:sz="0" w:space="0" w:color="auto"/>
                <w:right w:val="none" w:sz="0" w:space="0" w:color="auto"/>
              </w:divBdr>
            </w:div>
          </w:divsChild>
        </w:div>
        <w:div w:id="127360724">
          <w:marLeft w:val="0"/>
          <w:marRight w:val="0"/>
          <w:marTop w:val="0"/>
          <w:marBottom w:val="0"/>
          <w:divBdr>
            <w:top w:val="none" w:sz="0" w:space="0" w:color="auto"/>
            <w:left w:val="none" w:sz="0" w:space="0" w:color="auto"/>
            <w:bottom w:val="none" w:sz="0" w:space="0" w:color="auto"/>
            <w:right w:val="none" w:sz="0" w:space="0" w:color="auto"/>
          </w:divBdr>
          <w:divsChild>
            <w:div w:id="1238907451">
              <w:marLeft w:val="0"/>
              <w:marRight w:val="0"/>
              <w:marTop w:val="0"/>
              <w:marBottom w:val="0"/>
              <w:divBdr>
                <w:top w:val="none" w:sz="0" w:space="0" w:color="auto"/>
                <w:left w:val="none" w:sz="0" w:space="0" w:color="auto"/>
                <w:bottom w:val="none" w:sz="0" w:space="0" w:color="auto"/>
                <w:right w:val="none" w:sz="0" w:space="0" w:color="auto"/>
              </w:divBdr>
            </w:div>
          </w:divsChild>
        </w:div>
        <w:div w:id="1516991858">
          <w:marLeft w:val="0"/>
          <w:marRight w:val="0"/>
          <w:marTop w:val="0"/>
          <w:marBottom w:val="0"/>
          <w:divBdr>
            <w:top w:val="none" w:sz="0" w:space="0" w:color="auto"/>
            <w:left w:val="none" w:sz="0" w:space="0" w:color="auto"/>
            <w:bottom w:val="none" w:sz="0" w:space="0" w:color="auto"/>
            <w:right w:val="none" w:sz="0" w:space="0" w:color="auto"/>
          </w:divBdr>
          <w:divsChild>
            <w:div w:id="2085298184">
              <w:marLeft w:val="0"/>
              <w:marRight w:val="0"/>
              <w:marTop w:val="0"/>
              <w:marBottom w:val="0"/>
              <w:divBdr>
                <w:top w:val="none" w:sz="0" w:space="0" w:color="auto"/>
                <w:left w:val="none" w:sz="0" w:space="0" w:color="auto"/>
                <w:bottom w:val="none" w:sz="0" w:space="0" w:color="auto"/>
                <w:right w:val="none" w:sz="0" w:space="0" w:color="auto"/>
              </w:divBdr>
            </w:div>
          </w:divsChild>
        </w:div>
        <w:div w:id="2056738070">
          <w:marLeft w:val="0"/>
          <w:marRight w:val="0"/>
          <w:marTop w:val="0"/>
          <w:marBottom w:val="0"/>
          <w:divBdr>
            <w:top w:val="none" w:sz="0" w:space="0" w:color="auto"/>
            <w:left w:val="none" w:sz="0" w:space="0" w:color="auto"/>
            <w:bottom w:val="none" w:sz="0" w:space="0" w:color="auto"/>
            <w:right w:val="none" w:sz="0" w:space="0" w:color="auto"/>
          </w:divBdr>
          <w:divsChild>
            <w:div w:id="1070032356">
              <w:marLeft w:val="0"/>
              <w:marRight w:val="0"/>
              <w:marTop w:val="0"/>
              <w:marBottom w:val="0"/>
              <w:divBdr>
                <w:top w:val="none" w:sz="0" w:space="0" w:color="auto"/>
                <w:left w:val="none" w:sz="0" w:space="0" w:color="auto"/>
                <w:bottom w:val="none" w:sz="0" w:space="0" w:color="auto"/>
                <w:right w:val="none" w:sz="0" w:space="0" w:color="auto"/>
              </w:divBdr>
            </w:div>
          </w:divsChild>
        </w:div>
        <w:div w:id="1544365043">
          <w:marLeft w:val="0"/>
          <w:marRight w:val="0"/>
          <w:marTop w:val="0"/>
          <w:marBottom w:val="0"/>
          <w:divBdr>
            <w:top w:val="none" w:sz="0" w:space="0" w:color="auto"/>
            <w:left w:val="none" w:sz="0" w:space="0" w:color="auto"/>
            <w:bottom w:val="none" w:sz="0" w:space="0" w:color="auto"/>
            <w:right w:val="none" w:sz="0" w:space="0" w:color="auto"/>
          </w:divBdr>
          <w:divsChild>
            <w:div w:id="1427379657">
              <w:marLeft w:val="0"/>
              <w:marRight w:val="0"/>
              <w:marTop w:val="0"/>
              <w:marBottom w:val="0"/>
              <w:divBdr>
                <w:top w:val="none" w:sz="0" w:space="0" w:color="auto"/>
                <w:left w:val="none" w:sz="0" w:space="0" w:color="auto"/>
                <w:bottom w:val="none" w:sz="0" w:space="0" w:color="auto"/>
                <w:right w:val="none" w:sz="0" w:space="0" w:color="auto"/>
              </w:divBdr>
            </w:div>
          </w:divsChild>
        </w:div>
        <w:div w:id="1277327881">
          <w:marLeft w:val="0"/>
          <w:marRight w:val="0"/>
          <w:marTop w:val="0"/>
          <w:marBottom w:val="0"/>
          <w:divBdr>
            <w:top w:val="none" w:sz="0" w:space="0" w:color="auto"/>
            <w:left w:val="none" w:sz="0" w:space="0" w:color="auto"/>
            <w:bottom w:val="none" w:sz="0" w:space="0" w:color="auto"/>
            <w:right w:val="none" w:sz="0" w:space="0" w:color="auto"/>
          </w:divBdr>
          <w:divsChild>
            <w:div w:id="684283648">
              <w:marLeft w:val="0"/>
              <w:marRight w:val="0"/>
              <w:marTop w:val="0"/>
              <w:marBottom w:val="0"/>
              <w:divBdr>
                <w:top w:val="none" w:sz="0" w:space="0" w:color="auto"/>
                <w:left w:val="none" w:sz="0" w:space="0" w:color="auto"/>
                <w:bottom w:val="none" w:sz="0" w:space="0" w:color="auto"/>
                <w:right w:val="none" w:sz="0" w:space="0" w:color="auto"/>
              </w:divBdr>
            </w:div>
          </w:divsChild>
        </w:div>
        <w:div w:id="1873303869">
          <w:marLeft w:val="0"/>
          <w:marRight w:val="0"/>
          <w:marTop w:val="0"/>
          <w:marBottom w:val="0"/>
          <w:divBdr>
            <w:top w:val="none" w:sz="0" w:space="0" w:color="auto"/>
            <w:left w:val="none" w:sz="0" w:space="0" w:color="auto"/>
            <w:bottom w:val="none" w:sz="0" w:space="0" w:color="auto"/>
            <w:right w:val="none" w:sz="0" w:space="0" w:color="auto"/>
          </w:divBdr>
          <w:divsChild>
            <w:div w:id="1271933728">
              <w:marLeft w:val="0"/>
              <w:marRight w:val="0"/>
              <w:marTop w:val="0"/>
              <w:marBottom w:val="0"/>
              <w:divBdr>
                <w:top w:val="none" w:sz="0" w:space="0" w:color="auto"/>
                <w:left w:val="none" w:sz="0" w:space="0" w:color="auto"/>
                <w:bottom w:val="none" w:sz="0" w:space="0" w:color="auto"/>
                <w:right w:val="none" w:sz="0" w:space="0" w:color="auto"/>
              </w:divBdr>
            </w:div>
          </w:divsChild>
        </w:div>
        <w:div w:id="1027098566">
          <w:marLeft w:val="0"/>
          <w:marRight w:val="0"/>
          <w:marTop w:val="0"/>
          <w:marBottom w:val="0"/>
          <w:divBdr>
            <w:top w:val="none" w:sz="0" w:space="0" w:color="auto"/>
            <w:left w:val="none" w:sz="0" w:space="0" w:color="auto"/>
            <w:bottom w:val="none" w:sz="0" w:space="0" w:color="auto"/>
            <w:right w:val="none" w:sz="0" w:space="0" w:color="auto"/>
          </w:divBdr>
          <w:divsChild>
            <w:div w:id="742531366">
              <w:marLeft w:val="0"/>
              <w:marRight w:val="0"/>
              <w:marTop w:val="0"/>
              <w:marBottom w:val="0"/>
              <w:divBdr>
                <w:top w:val="none" w:sz="0" w:space="0" w:color="auto"/>
                <w:left w:val="none" w:sz="0" w:space="0" w:color="auto"/>
                <w:bottom w:val="none" w:sz="0" w:space="0" w:color="auto"/>
                <w:right w:val="none" w:sz="0" w:space="0" w:color="auto"/>
              </w:divBdr>
            </w:div>
          </w:divsChild>
        </w:div>
        <w:div w:id="452402459">
          <w:marLeft w:val="0"/>
          <w:marRight w:val="0"/>
          <w:marTop w:val="0"/>
          <w:marBottom w:val="0"/>
          <w:divBdr>
            <w:top w:val="none" w:sz="0" w:space="0" w:color="auto"/>
            <w:left w:val="none" w:sz="0" w:space="0" w:color="auto"/>
            <w:bottom w:val="none" w:sz="0" w:space="0" w:color="auto"/>
            <w:right w:val="none" w:sz="0" w:space="0" w:color="auto"/>
          </w:divBdr>
          <w:divsChild>
            <w:div w:id="652954520">
              <w:marLeft w:val="0"/>
              <w:marRight w:val="0"/>
              <w:marTop w:val="0"/>
              <w:marBottom w:val="0"/>
              <w:divBdr>
                <w:top w:val="none" w:sz="0" w:space="0" w:color="auto"/>
                <w:left w:val="none" w:sz="0" w:space="0" w:color="auto"/>
                <w:bottom w:val="none" w:sz="0" w:space="0" w:color="auto"/>
                <w:right w:val="none" w:sz="0" w:space="0" w:color="auto"/>
              </w:divBdr>
            </w:div>
          </w:divsChild>
        </w:div>
        <w:div w:id="667828345">
          <w:marLeft w:val="0"/>
          <w:marRight w:val="0"/>
          <w:marTop w:val="0"/>
          <w:marBottom w:val="0"/>
          <w:divBdr>
            <w:top w:val="none" w:sz="0" w:space="0" w:color="auto"/>
            <w:left w:val="none" w:sz="0" w:space="0" w:color="auto"/>
            <w:bottom w:val="none" w:sz="0" w:space="0" w:color="auto"/>
            <w:right w:val="none" w:sz="0" w:space="0" w:color="auto"/>
          </w:divBdr>
          <w:divsChild>
            <w:div w:id="844633611">
              <w:marLeft w:val="0"/>
              <w:marRight w:val="0"/>
              <w:marTop w:val="0"/>
              <w:marBottom w:val="0"/>
              <w:divBdr>
                <w:top w:val="none" w:sz="0" w:space="0" w:color="auto"/>
                <w:left w:val="none" w:sz="0" w:space="0" w:color="auto"/>
                <w:bottom w:val="none" w:sz="0" w:space="0" w:color="auto"/>
                <w:right w:val="none" w:sz="0" w:space="0" w:color="auto"/>
              </w:divBdr>
            </w:div>
          </w:divsChild>
        </w:div>
        <w:div w:id="523179082">
          <w:marLeft w:val="0"/>
          <w:marRight w:val="0"/>
          <w:marTop w:val="0"/>
          <w:marBottom w:val="0"/>
          <w:divBdr>
            <w:top w:val="none" w:sz="0" w:space="0" w:color="auto"/>
            <w:left w:val="none" w:sz="0" w:space="0" w:color="auto"/>
            <w:bottom w:val="none" w:sz="0" w:space="0" w:color="auto"/>
            <w:right w:val="none" w:sz="0" w:space="0" w:color="auto"/>
          </w:divBdr>
          <w:divsChild>
            <w:div w:id="1964576636">
              <w:marLeft w:val="0"/>
              <w:marRight w:val="0"/>
              <w:marTop w:val="0"/>
              <w:marBottom w:val="0"/>
              <w:divBdr>
                <w:top w:val="none" w:sz="0" w:space="0" w:color="auto"/>
                <w:left w:val="none" w:sz="0" w:space="0" w:color="auto"/>
                <w:bottom w:val="none" w:sz="0" w:space="0" w:color="auto"/>
                <w:right w:val="none" w:sz="0" w:space="0" w:color="auto"/>
              </w:divBdr>
            </w:div>
          </w:divsChild>
        </w:div>
        <w:div w:id="614362677">
          <w:marLeft w:val="0"/>
          <w:marRight w:val="0"/>
          <w:marTop w:val="0"/>
          <w:marBottom w:val="0"/>
          <w:divBdr>
            <w:top w:val="none" w:sz="0" w:space="0" w:color="auto"/>
            <w:left w:val="none" w:sz="0" w:space="0" w:color="auto"/>
            <w:bottom w:val="none" w:sz="0" w:space="0" w:color="auto"/>
            <w:right w:val="none" w:sz="0" w:space="0" w:color="auto"/>
          </w:divBdr>
          <w:divsChild>
            <w:div w:id="2054578284">
              <w:marLeft w:val="0"/>
              <w:marRight w:val="0"/>
              <w:marTop w:val="0"/>
              <w:marBottom w:val="0"/>
              <w:divBdr>
                <w:top w:val="none" w:sz="0" w:space="0" w:color="auto"/>
                <w:left w:val="none" w:sz="0" w:space="0" w:color="auto"/>
                <w:bottom w:val="none" w:sz="0" w:space="0" w:color="auto"/>
                <w:right w:val="none" w:sz="0" w:space="0" w:color="auto"/>
              </w:divBdr>
            </w:div>
          </w:divsChild>
        </w:div>
        <w:div w:id="1821386131">
          <w:marLeft w:val="0"/>
          <w:marRight w:val="0"/>
          <w:marTop w:val="0"/>
          <w:marBottom w:val="0"/>
          <w:divBdr>
            <w:top w:val="none" w:sz="0" w:space="0" w:color="auto"/>
            <w:left w:val="none" w:sz="0" w:space="0" w:color="auto"/>
            <w:bottom w:val="none" w:sz="0" w:space="0" w:color="auto"/>
            <w:right w:val="none" w:sz="0" w:space="0" w:color="auto"/>
          </w:divBdr>
          <w:divsChild>
            <w:div w:id="510417512">
              <w:marLeft w:val="0"/>
              <w:marRight w:val="0"/>
              <w:marTop w:val="0"/>
              <w:marBottom w:val="0"/>
              <w:divBdr>
                <w:top w:val="none" w:sz="0" w:space="0" w:color="auto"/>
                <w:left w:val="none" w:sz="0" w:space="0" w:color="auto"/>
                <w:bottom w:val="none" w:sz="0" w:space="0" w:color="auto"/>
                <w:right w:val="none" w:sz="0" w:space="0" w:color="auto"/>
              </w:divBdr>
            </w:div>
          </w:divsChild>
        </w:div>
        <w:div w:id="1272736872">
          <w:marLeft w:val="0"/>
          <w:marRight w:val="0"/>
          <w:marTop w:val="0"/>
          <w:marBottom w:val="0"/>
          <w:divBdr>
            <w:top w:val="none" w:sz="0" w:space="0" w:color="auto"/>
            <w:left w:val="none" w:sz="0" w:space="0" w:color="auto"/>
            <w:bottom w:val="none" w:sz="0" w:space="0" w:color="auto"/>
            <w:right w:val="none" w:sz="0" w:space="0" w:color="auto"/>
          </w:divBdr>
          <w:divsChild>
            <w:div w:id="271399872">
              <w:marLeft w:val="0"/>
              <w:marRight w:val="0"/>
              <w:marTop w:val="0"/>
              <w:marBottom w:val="0"/>
              <w:divBdr>
                <w:top w:val="none" w:sz="0" w:space="0" w:color="auto"/>
                <w:left w:val="none" w:sz="0" w:space="0" w:color="auto"/>
                <w:bottom w:val="none" w:sz="0" w:space="0" w:color="auto"/>
                <w:right w:val="none" w:sz="0" w:space="0" w:color="auto"/>
              </w:divBdr>
            </w:div>
          </w:divsChild>
        </w:div>
        <w:div w:id="1096243836">
          <w:marLeft w:val="0"/>
          <w:marRight w:val="0"/>
          <w:marTop w:val="0"/>
          <w:marBottom w:val="0"/>
          <w:divBdr>
            <w:top w:val="none" w:sz="0" w:space="0" w:color="auto"/>
            <w:left w:val="none" w:sz="0" w:space="0" w:color="auto"/>
            <w:bottom w:val="none" w:sz="0" w:space="0" w:color="auto"/>
            <w:right w:val="none" w:sz="0" w:space="0" w:color="auto"/>
          </w:divBdr>
          <w:divsChild>
            <w:div w:id="130682993">
              <w:marLeft w:val="0"/>
              <w:marRight w:val="0"/>
              <w:marTop w:val="0"/>
              <w:marBottom w:val="0"/>
              <w:divBdr>
                <w:top w:val="none" w:sz="0" w:space="0" w:color="auto"/>
                <w:left w:val="none" w:sz="0" w:space="0" w:color="auto"/>
                <w:bottom w:val="none" w:sz="0" w:space="0" w:color="auto"/>
                <w:right w:val="none" w:sz="0" w:space="0" w:color="auto"/>
              </w:divBdr>
            </w:div>
          </w:divsChild>
        </w:div>
        <w:div w:id="1590310647">
          <w:marLeft w:val="0"/>
          <w:marRight w:val="0"/>
          <w:marTop w:val="0"/>
          <w:marBottom w:val="0"/>
          <w:divBdr>
            <w:top w:val="none" w:sz="0" w:space="0" w:color="auto"/>
            <w:left w:val="none" w:sz="0" w:space="0" w:color="auto"/>
            <w:bottom w:val="none" w:sz="0" w:space="0" w:color="auto"/>
            <w:right w:val="none" w:sz="0" w:space="0" w:color="auto"/>
          </w:divBdr>
          <w:divsChild>
            <w:div w:id="1777752610">
              <w:marLeft w:val="0"/>
              <w:marRight w:val="0"/>
              <w:marTop w:val="0"/>
              <w:marBottom w:val="0"/>
              <w:divBdr>
                <w:top w:val="none" w:sz="0" w:space="0" w:color="auto"/>
                <w:left w:val="none" w:sz="0" w:space="0" w:color="auto"/>
                <w:bottom w:val="none" w:sz="0" w:space="0" w:color="auto"/>
                <w:right w:val="none" w:sz="0" w:space="0" w:color="auto"/>
              </w:divBdr>
            </w:div>
          </w:divsChild>
        </w:div>
        <w:div w:id="2009559445">
          <w:marLeft w:val="0"/>
          <w:marRight w:val="0"/>
          <w:marTop w:val="0"/>
          <w:marBottom w:val="0"/>
          <w:divBdr>
            <w:top w:val="none" w:sz="0" w:space="0" w:color="auto"/>
            <w:left w:val="none" w:sz="0" w:space="0" w:color="auto"/>
            <w:bottom w:val="none" w:sz="0" w:space="0" w:color="auto"/>
            <w:right w:val="none" w:sz="0" w:space="0" w:color="auto"/>
          </w:divBdr>
          <w:divsChild>
            <w:div w:id="803812002">
              <w:marLeft w:val="0"/>
              <w:marRight w:val="0"/>
              <w:marTop w:val="0"/>
              <w:marBottom w:val="0"/>
              <w:divBdr>
                <w:top w:val="none" w:sz="0" w:space="0" w:color="auto"/>
                <w:left w:val="none" w:sz="0" w:space="0" w:color="auto"/>
                <w:bottom w:val="none" w:sz="0" w:space="0" w:color="auto"/>
                <w:right w:val="none" w:sz="0" w:space="0" w:color="auto"/>
              </w:divBdr>
            </w:div>
          </w:divsChild>
        </w:div>
        <w:div w:id="655912696">
          <w:marLeft w:val="0"/>
          <w:marRight w:val="0"/>
          <w:marTop w:val="0"/>
          <w:marBottom w:val="0"/>
          <w:divBdr>
            <w:top w:val="none" w:sz="0" w:space="0" w:color="auto"/>
            <w:left w:val="none" w:sz="0" w:space="0" w:color="auto"/>
            <w:bottom w:val="none" w:sz="0" w:space="0" w:color="auto"/>
            <w:right w:val="none" w:sz="0" w:space="0" w:color="auto"/>
          </w:divBdr>
          <w:divsChild>
            <w:div w:id="110126442">
              <w:marLeft w:val="0"/>
              <w:marRight w:val="0"/>
              <w:marTop w:val="0"/>
              <w:marBottom w:val="0"/>
              <w:divBdr>
                <w:top w:val="none" w:sz="0" w:space="0" w:color="auto"/>
                <w:left w:val="none" w:sz="0" w:space="0" w:color="auto"/>
                <w:bottom w:val="none" w:sz="0" w:space="0" w:color="auto"/>
                <w:right w:val="none" w:sz="0" w:space="0" w:color="auto"/>
              </w:divBdr>
            </w:div>
          </w:divsChild>
        </w:div>
        <w:div w:id="1843350947">
          <w:marLeft w:val="0"/>
          <w:marRight w:val="0"/>
          <w:marTop w:val="0"/>
          <w:marBottom w:val="0"/>
          <w:divBdr>
            <w:top w:val="none" w:sz="0" w:space="0" w:color="auto"/>
            <w:left w:val="none" w:sz="0" w:space="0" w:color="auto"/>
            <w:bottom w:val="none" w:sz="0" w:space="0" w:color="auto"/>
            <w:right w:val="none" w:sz="0" w:space="0" w:color="auto"/>
          </w:divBdr>
          <w:divsChild>
            <w:div w:id="1401561738">
              <w:marLeft w:val="0"/>
              <w:marRight w:val="0"/>
              <w:marTop w:val="0"/>
              <w:marBottom w:val="0"/>
              <w:divBdr>
                <w:top w:val="none" w:sz="0" w:space="0" w:color="auto"/>
                <w:left w:val="none" w:sz="0" w:space="0" w:color="auto"/>
                <w:bottom w:val="none" w:sz="0" w:space="0" w:color="auto"/>
                <w:right w:val="none" w:sz="0" w:space="0" w:color="auto"/>
              </w:divBdr>
            </w:div>
            <w:div w:id="353576425">
              <w:marLeft w:val="0"/>
              <w:marRight w:val="0"/>
              <w:marTop w:val="0"/>
              <w:marBottom w:val="0"/>
              <w:divBdr>
                <w:top w:val="none" w:sz="0" w:space="0" w:color="auto"/>
                <w:left w:val="none" w:sz="0" w:space="0" w:color="auto"/>
                <w:bottom w:val="none" w:sz="0" w:space="0" w:color="auto"/>
                <w:right w:val="none" w:sz="0" w:space="0" w:color="auto"/>
              </w:divBdr>
            </w:div>
          </w:divsChild>
        </w:div>
        <w:div w:id="170682631">
          <w:marLeft w:val="0"/>
          <w:marRight w:val="0"/>
          <w:marTop w:val="0"/>
          <w:marBottom w:val="0"/>
          <w:divBdr>
            <w:top w:val="none" w:sz="0" w:space="0" w:color="auto"/>
            <w:left w:val="none" w:sz="0" w:space="0" w:color="auto"/>
            <w:bottom w:val="none" w:sz="0" w:space="0" w:color="auto"/>
            <w:right w:val="none" w:sz="0" w:space="0" w:color="auto"/>
          </w:divBdr>
          <w:divsChild>
            <w:div w:id="2114545914">
              <w:marLeft w:val="0"/>
              <w:marRight w:val="0"/>
              <w:marTop w:val="0"/>
              <w:marBottom w:val="0"/>
              <w:divBdr>
                <w:top w:val="none" w:sz="0" w:space="0" w:color="auto"/>
                <w:left w:val="none" w:sz="0" w:space="0" w:color="auto"/>
                <w:bottom w:val="none" w:sz="0" w:space="0" w:color="auto"/>
                <w:right w:val="none" w:sz="0" w:space="0" w:color="auto"/>
              </w:divBdr>
            </w:div>
            <w:div w:id="1451048641">
              <w:marLeft w:val="0"/>
              <w:marRight w:val="0"/>
              <w:marTop w:val="0"/>
              <w:marBottom w:val="0"/>
              <w:divBdr>
                <w:top w:val="none" w:sz="0" w:space="0" w:color="auto"/>
                <w:left w:val="none" w:sz="0" w:space="0" w:color="auto"/>
                <w:bottom w:val="none" w:sz="0" w:space="0" w:color="auto"/>
                <w:right w:val="none" w:sz="0" w:space="0" w:color="auto"/>
              </w:divBdr>
            </w:div>
          </w:divsChild>
        </w:div>
        <w:div w:id="490634745">
          <w:marLeft w:val="0"/>
          <w:marRight w:val="0"/>
          <w:marTop w:val="0"/>
          <w:marBottom w:val="0"/>
          <w:divBdr>
            <w:top w:val="none" w:sz="0" w:space="0" w:color="auto"/>
            <w:left w:val="none" w:sz="0" w:space="0" w:color="auto"/>
            <w:bottom w:val="none" w:sz="0" w:space="0" w:color="auto"/>
            <w:right w:val="none" w:sz="0" w:space="0" w:color="auto"/>
          </w:divBdr>
          <w:divsChild>
            <w:div w:id="1333794792">
              <w:marLeft w:val="0"/>
              <w:marRight w:val="0"/>
              <w:marTop w:val="0"/>
              <w:marBottom w:val="0"/>
              <w:divBdr>
                <w:top w:val="none" w:sz="0" w:space="0" w:color="auto"/>
                <w:left w:val="none" w:sz="0" w:space="0" w:color="auto"/>
                <w:bottom w:val="none" w:sz="0" w:space="0" w:color="auto"/>
                <w:right w:val="none" w:sz="0" w:space="0" w:color="auto"/>
              </w:divBdr>
            </w:div>
          </w:divsChild>
        </w:div>
        <w:div w:id="1377467737">
          <w:marLeft w:val="0"/>
          <w:marRight w:val="0"/>
          <w:marTop w:val="0"/>
          <w:marBottom w:val="0"/>
          <w:divBdr>
            <w:top w:val="none" w:sz="0" w:space="0" w:color="auto"/>
            <w:left w:val="none" w:sz="0" w:space="0" w:color="auto"/>
            <w:bottom w:val="none" w:sz="0" w:space="0" w:color="auto"/>
            <w:right w:val="none" w:sz="0" w:space="0" w:color="auto"/>
          </w:divBdr>
          <w:divsChild>
            <w:div w:id="1518957865">
              <w:marLeft w:val="0"/>
              <w:marRight w:val="0"/>
              <w:marTop w:val="0"/>
              <w:marBottom w:val="0"/>
              <w:divBdr>
                <w:top w:val="none" w:sz="0" w:space="0" w:color="auto"/>
                <w:left w:val="none" w:sz="0" w:space="0" w:color="auto"/>
                <w:bottom w:val="none" w:sz="0" w:space="0" w:color="auto"/>
                <w:right w:val="none" w:sz="0" w:space="0" w:color="auto"/>
              </w:divBdr>
            </w:div>
          </w:divsChild>
        </w:div>
        <w:div w:id="564419173">
          <w:marLeft w:val="0"/>
          <w:marRight w:val="0"/>
          <w:marTop w:val="0"/>
          <w:marBottom w:val="0"/>
          <w:divBdr>
            <w:top w:val="none" w:sz="0" w:space="0" w:color="auto"/>
            <w:left w:val="none" w:sz="0" w:space="0" w:color="auto"/>
            <w:bottom w:val="none" w:sz="0" w:space="0" w:color="auto"/>
            <w:right w:val="none" w:sz="0" w:space="0" w:color="auto"/>
          </w:divBdr>
          <w:divsChild>
            <w:div w:id="1760327800">
              <w:marLeft w:val="0"/>
              <w:marRight w:val="0"/>
              <w:marTop w:val="0"/>
              <w:marBottom w:val="0"/>
              <w:divBdr>
                <w:top w:val="none" w:sz="0" w:space="0" w:color="auto"/>
                <w:left w:val="none" w:sz="0" w:space="0" w:color="auto"/>
                <w:bottom w:val="none" w:sz="0" w:space="0" w:color="auto"/>
                <w:right w:val="none" w:sz="0" w:space="0" w:color="auto"/>
              </w:divBdr>
            </w:div>
            <w:div w:id="833178451">
              <w:marLeft w:val="0"/>
              <w:marRight w:val="0"/>
              <w:marTop w:val="0"/>
              <w:marBottom w:val="0"/>
              <w:divBdr>
                <w:top w:val="none" w:sz="0" w:space="0" w:color="auto"/>
                <w:left w:val="none" w:sz="0" w:space="0" w:color="auto"/>
                <w:bottom w:val="none" w:sz="0" w:space="0" w:color="auto"/>
                <w:right w:val="none" w:sz="0" w:space="0" w:color="auto"/>
              </w:divBdr>
            </w:div>
            <w:div w:id="12807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60">
      <w:bodyDiv w:val="1"/>
      <w:marLeft w:val="0"/>
      <w:marRight w:val="0"/>
      <w:marTop w:val="0"/>
      <w:marBottom w:val="0"/>
      <w:divBdr>
        <w:top w:val="none" w:sz="0" w:space="0" w:color="auto"/>
        <w:left w:val="none" w:sz="0" w:space="0" w:color="auto"/>
        <w:bottom w:val="none" w:sz="0" w:space="0" w:color="auto"/>
        <w:right w:val="none" w:sz="0" w:space="0" w:color="auto"/>
      </w:divBdr>
    </w:div>
    <w:div w:id="2007662575">
      <w:bodyDiv w:val="1"/>
      <w:marLeft w:val="0"/>
      <w:marRight w:val="0"/>
      <w:marTop w:val="0"/>
      <w:marBottom w:val="0"/>
      <w:divBdr>
        <w:top w:val="none" w:sz="0" w:space="0" w:color="auto"/>
        <w:left w:val="none" w:sz="0" w:space="0" w:color="auto"/>
        <w:bottom w:val="none" w:sz="0" w:space="0" w:color="auto"/>
        <w:right w:val="none" w:sz="0" w:space="0" w:color="auto"/>
      </w:divBdr>
      <w:divsChild>
        <w:div w:id="745808819">
          <w:marLeft w:val="0"/>
          <w:marRight w:val="0"/>
          <w:marTop w:val="0"/>
          <w:marBottom w:val="0"/>
          <w:divBdr>
            <w:top w:val="none" w:sz="0" w:space="0" w:color="auto"/>
            <w:left w:val="none" w:sz="0" w:space="0" w:color="auto"/>
            <w:bottom w:val="none" w:sz="0" w:space="0" w:color="auto"/>
            <w:right w:val="none" w:sz="0" w:space="0" w:color="auto"/>
          </w:divBdr>
          <w:divsChild>
            <w:div w:id="1531069953">
              <w:marLeft w:val="0"/>
              <w:marRight w:val="0"/>
              <w:marTop w:val="0"/>
              <w:marBottom w:val="0"/>
              <w:divBdr>
                <w:top w:val="none" w:sz="0" w:space="0" w:color="auto"/>
                <w:left w:val="none" w:sz="0" w:space="0" w:color="auto"/>
                <w:bottom w:val="none" w:sz="0" w:space="0" w:color="auto"/>
                <w:right w:val="none" w:sz="0" w:space="0" w:color="auto"/>
              </w:divBdr>
            </w:div>
          </w:divsChild>
        </w:div>
        <w:div w:id="1881623177">
          <w:marLeft w:val="0"/>
          <w:marRight w:val="0"/>
          <w:marTop w:val="0"/>
          <w:marBottom w:val="0"/>
          <w:divBdr>
            <w:top w:val="none" w:sz="0" w:space="0" w:color="auto"/>
            <w:left w:val="none" w:sz="0" w:space="0" w:color="auto"/>
            <w:bottom w:val="none" w:sz="0" w:space="0" w:color="auto"/>
            <w:right w:val="none" w:sz="0" w:space="0" w:color="auto"/>
          </w:divBdr>
          <w:divsChild>
            <w:div w:id="625162951">
              <w:marLeft w:val="0"/>
              <w:marRight w:val="0"/>
              <w:marTop w:val="0"/>
              <w:marBottom w:val="0"/>
              <w:divBdr>
                <w:top w:val="none" w:sz="0" w:space="0" w:color="auto"/>
                <w:left w:val="none" w:sz="0" w:space="0" w:color="auto"/>
                <w:bottom w:val="none" w:sz="0" w:space="0" w:color="auto"/>
                <w:right w:val="none" w:sz="0" w:space="0" w:color="auto"/>
              </w:divBdr>
            </w:div>
          </w:divsChild>
        </w:div>
        <w:div w:id="1058751033">
          <w:marLeft w:val="0"/>
          <w:marRight w:val="0"/>
          <w:marTop w:val="0"/>
          <w:marBottom w:val="0"/>
          <w:divBdr>
            <w:top w:val="none" w:sz="0" w:space="0" w:color="auto"/>
            <w:left w:val="none" w:sz="0" w:space="0" w:color="auto"/>
            <w:bottom w:val="none" w:sz="0" w:space="0" w:color="auto"/>
            <w:right w:val="none" w:sz="0" w:space="0" w:color="auto"/>
          </w:divBdr>
          <w:divsChild>
            <w:div w:id="2060855007">
              <w:marLeft w:val="0"/>
              <w:marRight w:val="0"/>
              <w:marTop w:val="0"/>
              <w:marBottom w:val="0"/>
              <w:divBdr>
                <w:top w:val="none" w:sz="0" w:space="0" w:color="auto"/>
                <w:left w:val="none" w:sz="0" w:space="0" w:color="auto"/>
                <w:bottom w:val="none" w:sz="0" w:space="0" w:color="auto"/>
                <w:right w:val="none" w:sz="0" w:space="0" w:color="auto"/>
              </w:divBdr>
            </w:div>
          </w:divsChild>
        </w:div>
        <w:div w:id="1550650036">
          <w:marLeft w:val="0"/>
          <w:marRight w:val="0"/>
          <w:marTop w:val="0"/>
          <w:marBottom w:val="0"/>
          <w:divBdr>
            <w:top w:val="none" w:sz="0" w:space="0" w:color="auto"/>
            <w:left w:val="none" w:sz="0" w:space="0" w:color="auto"/>
            <w:bottom w:val="none" w:sz="0" w:space="0" w:color="auto"/>
            <w:right w:val="none" w:sz="0" w:space="0" w:color="auto"/>
          </w:divBdr>
          <w:divsChild>
            <w:div w:id="238053359">
              <w:marLeft w:val="0"/>
              <w:marRight w:val="0"/>
              <w:marTop w:val="0"/>
              <w:marBottom w:val="0"/>
              <w:divBdr>
                <w:top w:val="none" w:sz="0" w:space="0" w:color="auto"/>
                <w:left w:val="none" w:sz="0" w:space="0" w:color="auto"/>
                <w:bottom w:val="none" w:sz="0" w:space="0" w:color="auto"/>
                <w:right w:val="none" w:sz="0" w:space="0" w:color="auto"/>
              </w:divBdr>
            </w:div>
          </w:divsChild>
        </w:div>
        <w:div w:id="1880042957">
          <w:marLeft w:val="0"/>
          <w:marRight w:val="0"/>
          <w:marTop w:val="0"/>
          <w:marBottom w:val="0"/>
          <w:divBdr>
            <w:top w:val="none" w:sz="0" w:space="0" w:color="auto"/>
            <w:left w:val="none" w:sz="0" w:space="0" w:color="auto"/>
            <w:bottom w:val="none" w:sz="0" w:space="0" w:color="auto"/>
            <w:right w:val="none" w:sz="0" w:space="0" w:color="auto"/>
          </w:divBdr>
          <w:divsChild>
            <w:div w:id="849951708">
              <w:marLeft w:val="0"/>
              <w:marRight w:val="0"/>
              <w:marTop w:val="0"/>
              <w:marBottom w:val="0"/>
              <w:divBdr>
                <w:top w:val="none" w:sz="0" w:space="0" w:color="auto"/>
                <w:left w:val="none" w:sz="0" w:space="0" w:color="auto"/>
                <w:bottom w:val="none" w:sz="0" w:space="0" w:color="auto"/>
                <w:right w:val="none" w:sz="0" w:space="0" w:color="auto"/>
              </w:divBdr>
            </w:div>
          </w:divsChild>
        </w:div>
        <w:div w:id="344720376">
          <w:marLeft w:val="0"/>
          <w:marRight w:val="0"/>
          <w:marTop w:val="0"/>
          <w:marBottom w:val="0"/>
          <w:divBdr>
            <w:top w:val="none" w:sz="0" w:space="0" w:color="auto"/>
            <w:left w:val="none" w:sz="0" w:space="0" w:color="auto"/>
            <w:bottom w:val="none" w:sz="0" w:space="0" w:color="auto"/>
            <w:right w:val="none" w:sz="0" w:space="0" w:color="auto"/>
          </w:divBdr>
          <w:divsChild>
            <w:div w:id="707802563">
              <w:marLeft w:val="0"/>
              <w:marRight w:val="0"/>
              <w:marTop w:val="0"/>
              <w:marBottom w:val="0"/>
              <w:divBdr>
                <w:top w:val="none" w:sz="0" w:space="0" w:color="auto"/>
                <w:left w:val="none" w:sz="0" w:space="0" w:color="auto"/>
                <w:bottom w:val="none" w:sz="0" w:space="0" w:color="auto"/>
                <w:right w:val="none" w:sz="0" w:space="0" w:color="auto"/>
              </w:divBdr>
            </w:div>
          </w:divsChild>
        </w:div>
        <w:div w:id="831290761">
          <w:marLeft w:val="0"/>
          <w:marRight w:val="0"/>
          <w:marTop w:val="0"/>
          <w:marBottom w:val="0"/>
          <w:divBdr>
            <w:top w:val="none" w:sz="0" w:space="0" w:color="auto"/>
            <w:left w:val="none" w:sz="0" w:space="0" w:color="auto"/>
            <w:bottom w:val="none" w:sz="0" w:space="0" w:color="auto"/>
            <w:right w:val="none" w:sz="0" w:space="0" w:color="auto"/>
          </w:divBdr>
          <w:divsChild>
            <w:div w:id="1132869824">
              <w:marLeft w:val="0"/>
              <w:marRight w:val="0"/>
              <w:marTop w:val="0"/>
              <w:marBottom w:val="0"/>
              <w:divBdr>
                <w:top w:val="none" w:sz="0" w:space="0" w:color="auto"/>
                <w:left w:val="none" w:sz="0" w:space="0" w:color="auto"/>
                <w:bottom w:val="none" w:sz="0" w:space="0" w:color="auto"/>
                <w:right w:val="none" w:sz="0" w:space="0" w:color="auto"/>
              </w:divBdr>
            </w:div>
          </w:divsChild>
        </w:div>
        <w:div w:id="1571379356">
          <w:marLeft w:val="0"/>
          <w:marRight w:val="0"/>
          <w:marTop w:val="0"/>
          <w:marBottom w:val="0"/>
          <w:divBdr>
            <w:top w:val="none" w:sz="0" w:space="0" w:color="auto"/>
            <w:left w:val="none" w:sz="0" w:space="0" w:color="auto"/>
            <w:bottom w:val="none" w:sz="0" w:space="0" w:color="auto"/>
            <w:right w:val="none" w:sz="0" w:space="0" w:color="auto"/>
          </w:divBdr>
          <w:divsChild>
            <w:div w:id="737747896">
              <w:marLeft w:val="0"/>
              <w:marRight w:val="0"/>
              <w:marTop w:val="0"/>
              <w:marBottom w:val="0"/>
              <w:divBdr>
                <w:top w:val="none" w:sz="0" w:space="0" w:color="auto"/>
                <w:left w:val="none" w:sz="0" w:space="0" w:color="auto"/>
                <w:bottom w:val="none" w:sz="0" w:space="0" w:color="auto"/>
                <w:right w:val="none" w:sz="0" w:space="0" w:color="auto"/>
              </w:divBdr>
            </w:div>
          </w:divsChild>
        </w:div>
        <w:div w:id="1709913343">
          <w:marLeft w:val="0"/>
          <w:marRight w:val="0"/>
          <w:marTop w:val="0"/>
          <w:marBottom w:val="0"/>
          <w:divBdr>
            <w:top w:val="none" w:sz="0" w:space="0" w:color="auto"/>
            <w:left w:val="none" w:sz="0" w:space="0" w:color="auto"/>
            <w:bottom w:val="none" w:sz="0" w:space="0" w:color="auto"/>
            <w:right w:val="none" w:sz="0" w:space="0" w:color="auto"/>
          </w:divBdr>
          <w:divsChild>
            <w:div w:id="1805735194">
              <w:marLeft w:val="0"/>
              <w:marRight w:val="0"/>
              <w:marTop w:val="0"/>
              <w:marBottom w:val="0"/>
              <w:divBdr>
                <w:top w:val="none" w:sz="0" w:space="0" w:color="auto"/>
                <w:left w:val="none" w:sz="0" w:space="0" w:color="auto"/>
                <w:bottom w:val="none" w:sz="0" w:space="0" w:color="auto"/>
                <w:right w:val="none" w:sz="0" w:space="0" w:color="auto"/>
              </w:divBdr>
            </w:div>
          </w:divsChild>
        </w:div>
        <w:div w:id="1099639806">
          <w:marLeft w:val="0"/>
          <w:marRight w:val="0"/>
          <w:marTop w:val="0"/>
          <w:marBottom w:val="0"/>
          <w:divBdr>
            <w:top w:val="none" w:sz="0" w:space="0" w:color="auto"/>
            <w:left w:val="none" w:sz="0" w:space="0" w:color="auto"/>
            <w:bottom w:val="none" w:sz="0" w:space="0" w:color="auto"/>
            <w:right w:val="none" w:sz="0" w:space="0" w:color="auto"/>
          </w:divBdr>
          <w:divsChild>
            <w:div w:id="936598633">
              <w:marLeft w:val="0"/>
              <w:marRight w:val="0"/>
              <w:marTop w:val="0"/>
              <w:marBottom w:val="0"/>
              <w:divBdr>
                <w:top w:val="none" w:sz="0" w:space="0" w:color="auto"/>
                <w:left w:val="none" w:sz="0" w:space="0" w:color="auto"/>
                <w:bottom w:val="none" w:sz="0" w:space="0" w:color="auto"/>
                <w:right w:val="none" w:sz="0" w:space="0" w:color="auto"/>
              </w:divBdr>
            </w:div>
          </w:divsChild>
        </w:div>
        <w:div w:id="998843838">
          <w:marLeft w:val="0"/>
          <w:marRight w:val="0"/>
          <w:marTop w:val="0"/>
          <w:marBottom w:val="0"/>
          <w:divBdr>
            <w:top w:val="none" w:sz="0" w:space="0" w:color="auto"/>
            <w:left w:val="none" w:sz="0" w:space="0" w:color="auto"/>
            <w:bottom w:val="none" w:sz="0" w:space="0" w:color="auto"/>
            <w:right w:val="none" w:sz="0" w:space="0" w:color="auto"/>
          </w:divBdr>
          <w:divsChild>
            <w:div w:id="1436174416">
              <w:marLeft w:val="0"/>
              <w:marRight w:val="0"/>
              <w:marTop w:val="0"/>
              <w:marBottom w:val="0"/>
              <w:divBdr>
                <w:top w:val="none" w:sz="0" w:space="0" w:color="auto"/>
                <w:left w:val="none" w:sz="0" w:space="0" w:color="auto"/>
                <w:bottom w:val="none" w:sz="0" w:space="0" w:color="auto"/>
                <w:right w:val="none" w:sz="0" w:space="0" w:color="auto"/>
              </w:divBdr>
            </w:div>
          </w:divsChild>
        </w:div>
        <w:div w:id="1507283405">
          <w:marLeft w:val="0"/>
          <w:marRight w:val="0"/>
          <w:marTop w:val="0"/>
          <w:marBottom w:val="0"/>
          <w:divBdr>
            <w:top w:val="none" w:sz="0" w:space="0" w:color="auto"/>
            <w:left w:val="none" w:sz="0" w:space="0" w:color="auto"/>
            <w:bottom w:val="none" w:sz="0" w:space="0" w:color="auto"/>
            <w:right w:val="none" w:sz="0" w:space="0" w:color="auto"/>
          </w:divBdr>
          <w:divsChild>
            <w:div w:id="138546713">
              <w:marLeft w:val="0"/>
              <w:marRight w:val="0"/>
              <w:marTop w:val="0"/>
              <w:marBottom w:val="0"/>
              <w:divBdr>
                <w:top w:val="none" w:sz="0" w:space="0" w:color="auto"/>
                <w:left w:val="none" w:sz="0" w:space="0" w:color="auto"/>
                <w:bottom w:val="none" w:sz="0" w:space="0" w:color="auto"/>
                <w:right w:val="none" w:sz="0" w:space="0" w:color="auto"/>
              </w:divBdr>
            </w:div>
          </w:divsChild>
        </w:div>
        <w:div w:id="727846326">
          <w:marLeft w:val="0"/>
          <w:marRight w:val="0"/>
          <w:marTop w:val="0"/>
          <w:marBottom w:val="0"/>
          <w:divBdr>
            <w:top w:val="none" w:sz="0" w:space="0" w:color="auto"/>
            <w:left w:val="none" w:sz="0" w:space="0" w:color="auto"/>
            <w:bottom w:val="none" w:sz="0" w:space="0" w:color="auto"/>
            <w:right w:val="none" w:sz="0" w:space="0" w:color="auto"/>
          </w:divBdr>
          <w:divsChild>
            <w:div w:id="1078945764">
              <w:marLeft w:val="0"/>
              <w:marRight w:val="0"/>
              <w:marTop w:val="0"/>
              <w:marBottom w:val="0"/>
              <w:divBdr>
                <w:top w:val="none" w:sz="0" w:space="0" w:color="auto"/>
                <w:left w:val="none" w:sz="0" w:space="0" w:color="auto"/>
                <w:bottom w:val="none" w:sz="0" w:space="0" w:color="auto"/>
                <w:right w:val="none" w:sz="0" w:space="0" w:color="auto"/>
              </w:divBdr>
            </w:div>
          </w:divsChild>
        </w:div>
        <w:div w:id="2030522296">
          <w:marLeft w:val="0"/>
          <w:marRight w:val="0"/>
          <w:marTop w:val="0"/>
          <w:marBottom w:val="0"/>
          <w:divBdr>
            <w:top w:val="none" w:sz="0" w:space="0" w:color="auto"/>
            <w:left w:val="none" w:sz="0" w:space="0" w:color="auto"/>
            <w:bottom w:val="none" w:sz="0" w:space="0" w:color="auto"/>
            <w:right w:val="none" w:sz="0" w:space="0" w:color="auto"/>
          </w:divBdr>
          <w:divsChild>
            <w:div w:id="417101432">
              <w:marLeft w:val="0"/>
              <w:marRight w:val="0"/>
              <w:marTop w:val="0"/>
              <w:marBottom w:val="0"/>
              <w:divBdr>
                <w:top w:val="none" w:sz="0" w:space="0" w:color="auto"/>
                <w:left w:val="none" w:sz="0" w:space="0" w:color="auto"/>
                <w:bottom w:val="none" w:sz="0" w:space="0" w:color="auto"/>
                <w:right w:val="none" w:sz="0" w:space="0" w:color="auto"/>
              </w:divBdr>
            </w:div>
          </w:divsChild>
        </w:div>
        <w:div w:id="332488532">
          <w:marLeft w:val="0"/>
          <w:marRight w:val="0"/>
          <w:marTop w:val="0"/>
          <w:marBottom w:val="0"/>
          <w:divBdr>
            <w:top w:val="none" w:sz="0" w:space="0" w:color="auto"/>
            <w:left w:val="none" w:sz="0" w:space="0" w:color="auto"/>
            <w:bottom w:val="none" w:sz="0" w:space="0" w:color="auto"/>
            <w:right w:val="none" w:sz="0" w:space="0" w:color="auto"/>
          </w:divBdr>
          <w:divsChild>
            <w:div w:id="1462335163">
              <w:marLeft w:val="0"/>
              <w:marRight w:val="0"/>
              <w:marTop w:val="0"/>
              <w:marBottom w:val="0"/>
              <w:divBdr>
                <w:top w:val="none" w:sz="0" w:space="0" w:color="auto"/>
                <w:left w:val="none" w:sz="0" w:space="0" w:color="auto"/>
                <w:bottom w:val="none" w:sz="0" w:space="0" w:color="auto"/>
                <w:right w:val="none" w:sz="0" w:space="0" w:color="auto"/>
              </w:divBdr>
            </w:div>
          </w:divsChild>
        </w:div>
        <w:div w:id="1136530763">
          <w:marLeft w:val="0"/>
          <w:marRight w:val="0"/>
          <w:marTop w:val="0"/>
          <w:marBottom w:val="0"/>
          <w:divBdr>
            <w:top w:val="none" w:sz="0" w:space="0" w:color="auto"/>
            <w:left w:val="none" w:sz="0" w:space="0" w:color="auto"/>
            <w:bottom w:val="none" w:sz="0" w:space="0" w:color="auto"/>
            <w:right w:val="none" w:sz="0" w:space="0" w:color="auto"/>
          </w:divBdr>
          <w:divsChild>
            <w:div w:id="958758546">
              <w:marLeft w:val="0"/>
              <w:marRight w:val="0"/>
              <w:marTop w:val="0"/>
              <w:marBottom w:val="0"/>
              <w:divBdr>
                <w:top w:val="none" w:sz="0" w:space="0" w:color="auto"/>
                <w:left w:val="none" w:sz="0" w:space="0" w:color="auto"/>
                <w:bottom w:val="none" w:sz="0" w:space="0" w:color="auto"/>
                <w:right w:val="none" w:sz="0" w:space="0" w:color="auto"/>
              </w:divBdr>
            </w:div>
          </w:divsChild>
        </w:div>
        <w:div w:id="1961108545">
          <w:marLeft w:val="0"/>
          <w:marRight w:val="0"/>
          <w:marTop w:val="0"/>
          <w:marBottom w:val="0"/>
          <w:divBdr>
            <w:top w:val="none" w:sz="0" w:space="0" w:color="auto"/>
            <w:left w:val="none" w:sz="0" w:space="0" w:color="auto"/>
            <w:bottom w:val="none" w:sz="0" w:space="0" w:color="auto"/>
            <w:right w:val="none" w:sz="0" w:space="0" w:color="auto"/>
          </w:divBdr>
          <w:divsChild>
            <w:div w:id="1547832344">
              <w:marLeft w:val="0"/>
              <w:marRight w:val="0"/>
              <w:marTop w:val="0"/>
              <w:marBottom w:val="0"/>
              <w:divBdr>
                <w:top w:val="none" w:sz="0" w:space="0" w:color="auto"/>
                <w:left w:val="none" w:sz="0" w:space="0" w:color="auto"/>
                <w:bottom w:val="none" w:sz="0" w:space="0" w:color="auto"/>
                <w:right w:val="none" w:sz="0" w:space="0" w:color="auto"/>
              </w:divBdr>
            </w:div>
          </w:divsChild>
        </w:div>
        <w:div w:id="12341981">
          <w:marLeft w:val="0"/>
          <w:marRight w:val="0"/>
          <w:marTop w:val="0"/>
          <w:marBottom w:val="0"/>
          <w:divBdr>
            <w:top w:val="none" w:sz="0" w:space="0" w:color="auto"/>
            <w:left w:val="none" w:sz="0" w:space="0" w:color="auto"/>
            <w:bottom w:val="none" w:sz="0" w:space="0" w:color="auto"/>
            <w:right w:val="none" w:sz="0" w:space="0" w:color="auto"/>
          </w:divBdr>
          <w:divsChild>
            <w:div w:id="1459644530">
              <w:marLeft w:val="0"/>
              <w:marRight w:val="0"/>
              <w:marTop w:val="0"/>
              <w:marBottom w:val="0"/>
              <w:divBdr>
                <w:top w:val="none" w:sz="0" w:space="0" w:color="auto"/>
                <w:left w:val="none" w:sz="0" w:space="0" w:color="auto"/>
                <w:bottom w:val="none" w:sz="0" w:space="0" w:color="auto"/>
                <w:right w:val="none" w:sz="0" w:space="0" w:color="auto"/>
              </w:divBdr>
            </w:div>
          </w:divsChild>
        </w:div>
        <w:div w:id="1514879915">
          <w:marLeft w:val="0"/>
          <w:marRight w:val="0"/>
          <w:marTop w:val="0"/>
          <w:marBottom w:val="0"/>
          <w:divBdr>
            <w:top w:val="none" w:sz="0" w:space="0" w:color="auto"/>
            <w:left w:val="none" w:sz="0" w:space="0" w:color="auto"/>
            <w:bottom w:val="none" w:sz="0" w:space="0" w:color="auto"/>
            <w:right w:val="none" w:sz="0" w:space="0" w:color="auto"/>
          </w:divBdr>
          <w:divsChild>
            <w:div w:id="321544725">
              <w:marLeft w:val="0"/>
              <w:marRight w:val="0"/>
              <w:marTop w:val="0"/>
              <w:marBottom w:val="0"/>
              <w:divBdr>
                <w:top w:val="none" w:sz="0" w:space="0" w:color="auto"/>
                <w:left w:val="none" w:sz="0" w:space="0" w:color="auto"/>
                <w:bottom w:val="none" w:sz="0" w:space="0" w:color="auto"/>
                <w:right w:val="none" w:sz="0" w:space="0" w:color="auto"/>
              </w:divBdr>
            </w:div>
          </w:divsChild>
        </w:div>
        <w:div w:id="1010333989">
          <w:marLeft w:val="0"/>
          <w:marRight w:val="0"/>
          <w:marTop w:val="0"/>
          <w:marBottom w:val="0"/>
          <w:divBdr>
            <w:top w:val="none" w:sz="0" w:space="0" w:color="auto"/>
            <w:left w:val="none" w:sz="0" w:space="0" w:color="auto"/>
            <w:bottom w:val="none" w:sz="0" w:space="0" w:color="auto"/>
            <w:right w:val="none" w:sz="0" w:space="0" w:color="auto"/>
          </w:divBdr>
          <w:divsChild>
            <w:div w:id="958536604">
              <w:marLeft w:val="0"/>
              <w:marRight w:val="0"/>
              <w:marTop w:val="0"/>
              <w:marBottom w:val="0"/>
              <w:divBdr>
                <w:top w:val="none" w:sz="0" w:space="0" w:color="auto"/>
                <w:left w:val="none" w:sz="0" w:space="0" w:color="auto"/>
                <w:bottom w:val="none" w:sz="0" w:space="0" w:color="auto"/>
                <w:right w:val="none" w:sz="0" w:space="0" w:color="auto"/>
              </w:divBdr>
            </w:div>
          </w:divsChild>
        </w:div>
        <w:div w:id="270362732">
          <w:marLeft w:val="0"/>
          <w:marRight w:val="0"/>
          <w:marTop w:val="0"/>
          <w:marBottom w:val="0"/>
          <w:divBdr>
            <w:top w:val="none" w:sz="0" w:space="0" w:color="auto"/>
            <w:left w:val="none" w:sz="0" w:space="0" w:color="auto"/>
            <w:bottom w:val="none" w:sz="0" w:space="0" w:color="auto"/>
            <w:right w:val="none" w:sz="0" w:space="0" w:color="auto"/>
          </w:divBdr>
          <w:divsChild>
            <w:div w:id="976108779">
              <w:marLeft w:val="0"/>
              <w:marRight w:val="0"/>
              <w:marTop w:val="0"/>
              <w:marBottom w:val="0"/>
              <w:divBdr>
                <w:top w:val="none" w:sz="0" w:space="0" w:color="auto"/>
                <w:left w:val="none" w:sz="0" w:space="0" w:color="auto"/>
                <w:bottom w:val="none" w:sz="0" w:space="0" w:color="auto"/>
                <w:right w:val="none" w:sz="0" w:space="0" w:color="auto"/>
              </w:divBdr>
            </w:div>
          </w:divsChild>
        </w:div>
        <w:div w:id="1904757619">
          <w:marLeft w:val="0"/>
          <w:marRight w:val="0"/>
          <w:marTop w:val="0"/>
          <w:marBottom w:val="0"/>
          <w:divBdr>
            <w:top w:val="none" w:sz="0" w:space="0" w:color="auto"/>
            <w:left w:val="none" w:sz="0" w:space="0" w:color="auto"/>
            <w:bottom w:val="none" w:sz="0" w:space="0" w:color="auto"/>
            <w:right w:val="none" w:sz="0" w:space="0" w:color="auto"/>
          </w:divBdr>
          <w:divsChild>
            <w:div w:id="565072624">
              <w:marLeft w:val="0"/>
              <w:marRight w:val="0"/>
              <w:marTop w:val="0"/>
              <w:marBottom w:val="0"/>
              <w:divBdr>
                <w:top w:val="none" w:sz="0" w:space="0" w:color="auto"/>
                <w:left w:val="none" w:sz="0" w:space="0" w:color="auto"/>
                <w:bottom w:val="none" w:sz="0" w:space="0" w:color="auto"/>
                <w:right w:val="none" w:sz="0" w:space="0" w:color="auto"/>
              </w:divBdr>
            </w:div>
          </w:divsChild>
        </w:div>
        <w:div w:id="1917474855">
          <w:marLeft w:val="0"/>
          <w:marRight w:val="0"/>
          <w:marTop w:val="0"/>
          <w:marBottom w:val="0"/>
          <w:divBdr>
            <w:top w:val="none" w:sz="0" w:space="0" w:color="auto"/>
            <w:left w:val="none" w:sz="0" w:space="0" w:color="auto"/>
            <w:bottom w:val="none" w:sz="0" w:space="0" w:color="auto"/>
            <w:right w:val="none" w:sz="0" w:space="0" w:color="auto"/>
          </w:divBdr>
          <w:divsChild>
            <w:div w:id="281498966">
              <w:marLeft w:val="0"/>
              <w:marRight w:val="0"/>
              <w:marTop w:val="0"/>
              <w:marBottom w:val="0"/>
              <w:divBdr>
                <w:top w:val="none" w:sz="0" w:space="0" w:color="auto"/>
                <w:left w:val="none" w:sz="0" w:space="0" w:color="auto"/>
                <w:bottom w:val="none" w:sz="0" w:space="0" w:color="auto"/>
                <w:right w:val="none" w:sz="0" w:space="0" w:color="auto"/>
              </w:divBdr>
            </w:div>
          </w:divsChild>
        </w:div>
        <w:div w:id="829559231">
          <w:marLeft w:val="0"/>
          <w:marRight w:val="0"/>
          <w:marTop w:val="0"/>
          <w:marBottom w:val="0"/>
          <w:divBdr>
            <w:top w:val="none" w:sz="0" w:space="0" w:color="auto"/>
            <w:left w:val="none" w:sz="0" w:space="0" w:color="auto"/>
            <w:bottom w:val="none" w:sz="0" w:space="0" w:color="auto"/>
            <w:right w:val="none" w:sz="0" w:space="0" w:color="auto"/>
          </w:divBdr>
          <w:divsChild>
            <w:div w:id="2048679307">
              <w:marLeft w:val="0"/>
              <w:marRight w:val="0"/>
              <w:marTop w:val="0"/>
              <w:marBottom w:val="0"/>
              <w:divBdr>
                <w:top w:val="none" w:sz="0" w:space="0" w:color="auto"/>
                <w:left w:val="none" w:sz="0" w:space="0" w:color="auto"/>
                <w:bottom w:val="none" w:sz="0" w:space="0" w:color="auto"/>
                <w:right w:val="none" w:sz="0" w:space="0" w:color="auto"/>
              </w:divBdr>
            </w:div>
          </w:divsChild>
        </w:div>
        <w:div w:id="1608272665">
          <w:marLeft w:val="0"/>
          <w:marRight w:val="0"/>
          <w:marTop w:val="0"/>
          <w:marBottom w:val="0"/>
          <w:divBdr>
            <w:top w:val="none" w:sz="0" w:space="0" w:color="auto"/>
            <w:left w:val="none" w:sz="0" w:space="0" w:color="auto"/>
            <w:bottom w:val="none" w:sz="0" w:space="0" w:color="auto"/>
            <w:right w:val="none" w:sz="0" w:space="0" w:color="auto"/>
          </w:divBdr>
          <w:divsChild>
            <w:div w:id="1452095691">
              <w:marLeft w:val="0"/>
              <w:marRight w:val="0"/>
              <w:marTop w:val="0"/>
              <w:marBottom w:val="0"/>
              <w:divBdr>
                <w:top w:val="none" w:sz="0" w:space="0" w:color="auto"/>
                <w:left w:val="none" w:sz="0" w:space="0" w:color="auto"/>
                <w:bottom w:val="none" w:sz="0" w:space="0" w:color="auto"/>
                <w:right w:val="none" w:sz="0" w:space="0" w:color="auto"/>
              </w:divBdr>
            </w:div>
          </w:divsChild>
        </w:div>
        <w:div w:id="544874354">
          <w:marLeft w:val="0"/>
          <w:marRight w:val="0"/>
          <w:marTop w:val="0"/>
          <w:marBottom w:val="0"/>
          <w:divBdr>
            <w:top w:val="none" w:sz="0" w:space="0" w:color="auto"/>
            <w:left w:val="none" w:sz="0" w:space="0" w:color="auto"/>
            <w:bottom w:val="none" w:sz="0" w:space="0" w:color="auto"/>
            <w:right w:val="none" w:sz="0" w:space="0" w:color="auto"/>
          </w:divBdr>
          <w:divsChild>
            <w:div w:id="583804051">
              <w:marLeft w:val="0"/>
              <w:marRight w:val="0"/>
              <w:marTop w:val="0"/>
              <w:marBottom w:val="0"/>
              <w:divBdr>
                <w:top w:val="none" w:sz="0" w:space="0" w:color="auto"/>
                <w:left w:val="none" w:sz="0" w:space="0" w:color="auto"/>
                <w:bottom w:val="none" w:sz="0" w:space="0" w:color="auto"/>
                <w:right w:val="none" w:sz="0" w:space="0" w:color="auto"/>
              </w:divBdr>
            </w:div>
          </w:divsChild>
        </w:div>
        <w:div w:id="768626892">
          <w:marLeft w:val="0"/>
          <w:marRight w:val="0"/>
          <w:marTop w:val="0"/>
          <w:marBottom w:val="0"/>
          <w:divBdr>
            <w:top w:val="none" w:sz="0" w:space="0" w:color="auto"/>
            <w:left w:val="none" w:sz="0" w:space="0" w:color="auto"/>
            <w:bottom w:val="none" w:sz="0" w:space="0" w:color="auto"/>
            <w:right w:val="none" w:sz="0" w:space="0" w:color="auto"/>
          </w:divBdr>
          <w:divsChild>
            <w:div w:id="1808081009">
              <w:marLeft w:val="0"/>
              <w:marRight w:val="0"/>
              <w:marTop w:val="0"/>
              <w:marBottom w:val="0"/>
              <w:divBdr>
                <w:top w:val="none" w:sz="0" w:space="0" w:color="auto"/>
                <w:left w:val="none" w:sz="0" w:space="0" w:color="auto"/>
                <w:bottom w:val="none" w:sz="0" w:space="0" w:color="auto"/>
                <w:right w:val="none" w:sz="0" w:space="0" w:color="auto"/>
              </w:divBdr>
            </w:div>
          </w:divsChild>
        </w:div>
        <w:div w:id="1971282401">
          <w:marLeft w:val="0"/>
          <w:marRight w:val="0"/>
          <w:marTop w:val="0"/>
          <w:marBottom w:val="0"/>
          <w:divBdr>
            <w:top w:val="none" w:sz="0" w:space="0" w:color="auto"/>
            <w:left w:val="none" w:sz="0" w:space="0" w:color="auto"/>
            <w:bottom w:val="none" w:sz="0" w:space="0" w:color="auto"/>
            <w:right w:val="none" w:sz="0" w:space="0" w:color="auto"/>
          </w:divBdr>
          <w:divsChild>
            <w:div w:id="1157652713">
              <w:marLeft w:val="0"/>
              <w:marRight w:val="0"/>
              <w:marTop w:val="0"/>
              <w:marBottom w:val="0"/>
              <w:divBdr>
                <w:top w:val="none" w:sz="0" w:space="0" w:color="auto"/>
                <w:left w:val="none" w:sz="0" w:space="0" w:color="auto"/>
                <w:bottom w:val="none" w:sz="0" w:space="0" w:color="auto"/>
                <w:right w:val="none" w:sz="0" w:space="0" w:color="auto"/>
              </w:divBdr>
            </w:div>
          </w:divsChild>
        </w:div>
        <w:div w:id="227617134">
          <w:marLeft w:val="0"/>
          <w:marRight w:val="0"/>
          <w:marTop w:val="0"/>
          <w:marBottom w:val="0"/>
          <w:divBdr>
            <w:top w:val="none" w:sz="0" w:space="0" w:color="auto"/>
            <w:left w:val="none" w:sz="0" w:space="0" w:color="auto"/>
            <w:bottom w:val="none" w:sz="0" w:space="0" w:color="auto"/>
            <w:right w:val="none" w:sz="0" w:space="0" w:color="auto"/>
          </w:divBdr>
          <w:divsChild>
            <w:div w:id="384791640">
              <w:marLeft w:val="0"/>
              <w:marRight w:val="0"/>
              <w:marTop w:val="0"/>
              <w:marBottom w:val="0"/>
              <w:divBdr>
                <w:top w:val="none" w:sz="0" w:space="0" w:color="auto"/>
                <w:left w:val="none" w:sz="0" w:space="0" w:color="auto"/>
                <w:bottom w:val="none" w:sz="0" w:space="0" w:color="auto"/>
                <w:right w:val="none" w:sz="0" w:space="0" w:color="auto"/>
              </w:divBdr>
            </w:div>
          </w:divsChild>
        </w:div>
        <w:div w:id="382559169">
          <w:marLeft w:val="0"/>
          <w:marRight w:val="0"/>
          <w:marTop w:val="0"/>
          <w:marBottom w:val="0"/>
          <w:divBdr>
            <w:top w:val="none" w:sz="0" w:space="0" w:color="auto"/>
            <w:left w:val="none" w:sz="0" w:space="0" w:color="auto"/>
            <w:bottom w:val="none" w:sz="0" w:space="0" w:color="auto"/>
            <w:right w:val="none" w:sz="0" w:space="0" w:color="auto"/>
          </w:divBdr>
          <w:divsChild>
            <w:div w:id="1680504080">
              <w:marLeft w:val="0"/>
              <w:marRight w:val="0"/>
              <w:marTop w:val="0"/>
              <w:marBottom w:val="0"/>
              <w:divBdr>
                <w:top w:val="none" w:sz="0" w:space="0" w:color="auto"/>
                <w:left w:val="none" w:sz="0" w:space="0" w:color="auto"/>
                <w:bottom w:val="none" w:sz="0" w:space="0" w:color="auto"/>
                <w:right w:val="none" w:sz="0" w:space="0" w:color="auto"/>
              </w:divBdr>
            </w:div>
          </w:divsChild>
        </w:div>
        <w:div w:id="2097549396">
          <w:marLeft w:val="0"/>
          <w:marRight w:val="0"/>
          <w:marTop w:val="0"/>
          <w:marBottom w:val="0"/>
          <w:divBdr>
            <w:top w:val="none" w:sz="0" w:space="0" w:color="auto"/>
            <w:left w:val="none" w:sz="0" w:space="0" w:color="auto"/>
            <w:bottom w:val="none" w:sz="0" w:space="0" w:color="auto"/>
            <w:right w:val="none" w:sz="0" w:space="0" w:color="auto"/>
          </w:divBdr>
          <w:divsChild>
            <w:div w:id="344595454">
              <w:marLeft w:val="0"/>
              <w:marRight w:val="0"/>
              <w:marTop w:val="0"/>
              <w:marBottom w:val="0"/>
              <w:divBdr>
                <w:top w:val="none" w:sz="0" w:space="0" w:color="auto"/>
                <w:left w:val="none" w:sz="0" w:space="0" w:color="auto"/>
                <w:bottom w:val="none" w:sz="0" w:space="0" w:color="auto"/>
                <w:right w:val="none" w:sz="0" w:space="0" w:color="auto"/>
              </w:divBdr>
            </w:div>
          </w:divsChild>
        </w:div>
        <w:div w:id="682392308">
          <w:marLeft w:val="0"/>
          <w:marRight w:val="0"/>
          <w:marTop w:val="0"/>
          <w:marBottom w:val="0"/>
          <w:divBdr>
            <w:top w:val="none" w:sz="0" w:space="0" w:color="auto"/>
            <w:left w:val="none" w:sz="0" w:space="0" w:color="auto"/>
            <w:bottom w:val="none" w:sz="0" w:space="0" w:color="auto"/>
            <w:right w:val="none" w:sz="0" w:space="0" w:color="auto"/>
          </w:divBdr>
          <w:divsChild>
            <w:div w:id="1923443504">
              <w:marLeft w:val="0"/>
              <w:marRight w:val="0"/>
              <w:marTop w:val="0"/>
              <w:marBottom w:val="0"/>
              <w:divBdr>
                <w:top w:val="none" w:sz="0" w:space="0" w:color="auto"/>
                <w:left w:val="none" w:sz="0" w:space="0" w:color="auto"/>
                <w:bottom w:val="none" w:sz="0" w:space="0" w:color="auto"/>
                <w:right w:val="none" w:sz="0" w:space="0" w:color="auto"/>
              </w:divBdr>
            </w:div>
          </w:divsChild>
        </w:div>
        <w:div w:id="546530316">
          <w:marLeft w:val="0"/>
          <w:marRight w:val="0"/>
          <w:marTop w:val="0"/>
          <w:marBottom w:val="0"/>
          <w:divBdr>
            <w:top w:val="none" w:sz="0" w:space="0" w:color="auto"/>
            <w:left w:val="none" w:sz="0" w:space="0" w:color="auto"/>
            <w:bottom w:val="none" w:sz="0" w:space="0" w:color="auto"/>
            <w:right w:val="none" w:sz="0" w:space="0" w:color="auto"/>
          </w:divBdr>
          <w:divsChild>
            <w:div w:id="458113877">
              <w:marLeft w:val="0"/>
              <w:marRight w:val="0"/>
              <w:marTop w:val="0"/>
              <w:marBottom w:val="0"/>
              <w:divBdr>
                <w:top w:val="none" w:sz="0" w:space="0" w:color="auto"/>
                <w:left w:val="none" w:sz="0" w:space="0" w:color="auto"/>
                <w:bottom w:val="none" w:sz="0" w:space="0" w:color="auto"/>
                <w:right w:val="none" w:sz="0" w:space="0" w:color="auto"/>
              </w:divBdr>
            </w:div>
          </w:divsChild>
        </w:div>
        <w:div w:id="888954614">
          <w:marLeft w:val="0"/>
          <w:marRight w:val="0"/>
          <w:marTop w:val="0"/>
          <w:marBottom w:val="0"/>
          <w:divBdr>
            <w:top w:val="none" w:sz="0" w:space="0" w:color="auto"/>
            <w:left w:val="none" w:sz="0" w:space="0" w:color="auto"/>
            <w:bottom w:val="none" w:sz="0" w:space="0" w:color="auto"/>
            <w:right w:val="none" w:sz="0" w:space="0" w:color="auto"/>
          </w:divBdr>
          <w:divsChild>
            <w:div w:id="1163544979">
              <w:marLeft w:val="0"/>
              <w:marRight w:val="0"/>
              <w:marTop w:val="0"/>
              <w:marBottom w:val="0"/>
              <w:divBdr>
                <w:top w:val="none" w:sz="0" w:space="0" w:color="auto"/>
                <w:left w:val="none" w:sz="0" w:space="0" w:color="auto"/>
                <w:bottom w:val="none" w:sz="0" w:space="0" w:color="auto"/>
                <w:right w:val="none" w:sz="0" w:space="0" w:color="auto"/>
              </w:divBdr>
            </w:div>
          </w:divsChild>
        </w:div>
        <w:div w:id="1327514347">
          <w:marLeft w:val="0"/>
          <w:marRight w:val="0"/>
          <w:marTop w:val="0"/>
          <w:marBottom w:val="0"/>
          <w:divBdr>
            <w:top w:val="none" w:sz="0" w:space="0" w:color="auto"/>
            <w:left w:val="none" w:sz="0" w:space="0" w:color="auto"/>
            <w:bottom w:val="none" w:sz="0" w:space="0" w:color="auto"/>
            <w:right w:val="none" w:sz="0" w:space="0" w:color="auto"/>
          </w:divBdr>
          <w:divsChild>
            <w:div w:id="583685588">
              <w:marLeft w:val="0"/>
              <w:marRight w:val="0"/>
              <w:marTop w:val="0"/>
              <w:marBottom w:val="0"/>
              <w:divBdr>
                <w:top w:val="none" w:sz="0" w:space="0" w:color="auto"/>
                <w:left w:val="none" w:sz="0" w:space="0" w:color="auto"/>
                <w:bottom w:val="none" w:sz="0" w:space="0" w:color="auto"/>
                <w:right w:val="none" w:sz="0" w:space="0" w:color="auto"/>
              </w:divBdr>
            </w:div>
          </w:divsChild>
        </w:div>
        <w:div w:id="1800758794">
          <w:marLeft w:val="0"/>
          <w:marRight w:val="0"/>
          <w:marTop w:val="0"/>
          <w:marBottom w:val="0"/>
          <w:divBdr>
            <w:top w:val="none" w:sz="0" w:space="0" w:color="auto"/>
            <w:left w:val="none" w:sz="0" w:space="0" w:color="auto"/>
            <w:bottom w:val="none" w:sz="0" w:space="0" w:color="auto"/>
            <w:right w:val="none" w:sz="0" w:space="0" w:color="auto"/>
          </w:divBdr>
          <w:divsChild>
            <w:div w:id="1298335540">
              <w:marLeft w:val="0"/>
              <w:marRight w:val="0"/>
              <w:marTop w:val="0"/>
              <w:marBottom w:val="0"/>
              <w:divBdr>
                <w:top w:val="none" w:sz="0" w:space="0" w:color="auto"/>
                <w:left w:val="none" w:sz="0" w:space="0" w:color="auto"/>
                <w:bottom w:val="none" w:sz="0" w:space="0" w:color="auto"/>
                <w:right w:val="none" w:sz="0" w:space="0" w:color="auto"/>
              </w:divBdr>
            </w:div>
          </w:divsChild>
        </w:div>
        <w:div w:id="1029572649">
          <w:marLeft w:val="0"/>
          <w:marRight w:val="0"/>
          <w:marTop w:val="0"/>
          <w:marBottom w:val="0"/>
          <w:divBdr>
            <w:top w:val="none" w:sz="0" w:space="0" w:color="auto"/>
            <w:left w:val="none" w:sz="0" w:space="0" w:color="auto"/>
            <w:bottom w:val="none" w:sz="0" w:space="0" w:color="auto"/>
            <w:right w:val="none" w:sz="0" w:space="0" w:color="auto"/>
          </w:divBdr>
          <w:divsChild>
            <w:div w:id="1099327794">
              <w:marLeft w:val="0"/>
              <w:marRight w:val="0"/>
              <w:marTop w:val="0"/>
              <w:marBottom w:val="0"/>
              <w:divBdr>
                <w:top w:val="none" w:sz="0" w:space="0" w:color="auto"/>
                <w:left w:val="none" w:sz="0" w:space="0" w:color="auto"/>
                <w:bottom w:val="none" w:sz="0" w:space="0" w:color="auto"/>
                <w:right w:val="none" w:sz="0" w:space="0" w:color="auto"/>
              </w:divBdr>
            </w:div>
          </w:divsChild>
        </w:div>
        <w:div w:id="1104032843">
          <w:marLeft w:val="0"/>
          <w:marRight w:val="0"/>
          <w:marTop w:val="0"/>
          <w:marBottom w:val="0"/>
          <w:divBdr>
            <w:top w:val="none" w:sz="0" w:space="0" w:color="auto"/>
            <w:left w:val="none" w:sz="0" w:space="0" w:color="auto"/>
            <w:bottom w:val="none" w:sz="0" w:space="0" w:color="auto"/>
            <w:right w:val="none" w:sz="0" w:space="0" w:color="auto"/>
          </w:divBdr>
          <w:divsChild>
            <w:div w:id="81997939">
              <w:marLeft w:val="0"/>
              <w:marRight w:val="0"/>
              <w:marTop w:val="0"/>
              <w:marBottom w:val="0"/>
              <w:divBdr>
                <w:top w:val="none" w:sz="0" w:space="0" w:color="auto"/>
                <w:left w:val="none" w:sz="0" w:space="0" w:color="auto"/>
                <w:bottom w:val="none" w:sz="0" w:space="0" w:color="auto"/>
                <w:right w:val="none" w:sz="0" w:space="0" w:color="auto"/>
              </w:divBdr>
            </w:div>
          </w:divsChild>
        </w:div>
        <w:div w:id="805977218">
          <w:marLeft w:val="0"/>
          <w:marRight w:val="0"/>
          <w:marTop w:val="0"/>
          <w:marBottom w:val="0"/>
          <w:divBdr>
            <w:top w:val="none" w:sz="0" w:space="0" w:color="auto"/>
            <w:left w:val="none" w:sz="0" w:space="0" w:color="auto"/>
            <w:bottom w:val="none" w:sz="0" w:space="0" w:color="auto"/>
            <w:right w:val="none" w:sz="0" w:space="0" w:color="auto"/>
          </w:divBdr>
          <w:divsChild>
            <w:div w:id="638263339">
              <w:marLeft w:val="0"/>
              <w:marRight w:val="0"/>
              <w:marTop w:val="0"/>
              <w:marBottom w:val="0"/>
              <w:divBdr>
                <w:top w:val="none" w:sz="0" w:space="0" w:color="auto"/>
                <w:left w:val="none" w:sz="0" w:space="0" w:color="auto"/>
                <w:bottom w:val="none" w:sz="0" w:space="0" w:color="auto"/>
                <w:right w:val="none" w:sz="0" w:space="0" w:color="auto"/>
              </w:divBdr>
            </w:div>
          </w:divsChild>
        </w:div>
        <w:div w:id="1964850589">
          <w:marLeft w:val="0"/>
          <w:marRight w:val="0"/>
          <w:marTop w:val="0"/>
          <w:marBottom w:val="0"/>
          <w:divBdr>
            <w:top w:val="none" w:sz="0" w:space="0" w:color="auto"/>
            <w:left w:val="none" w:sz="0" w:space="0" w:color="auto"/>
            <w:bottom w:val="none" w:sz="0" w:space="0" w:color="auto"/>
            <w:right w:val="none" w:sz="0" w:space="0" w:color="auto"/>
          </w:divBdr>
          <w:divsChild>
            <w:div w:id="1367752723">
              <w:marLeft w:val="0"/>
              <w:marRight w:val="0"/>
              <w:marTop w:val="0"/>
              <w:marBottom w:val="0"/>
              <w:divBdr>
                <w:top w:val="none" w:sz="0" w:space="0" w:color="auto"/>
                <w:left w:val="none" w:sz="0" w:space="0" w:color="auto"/>
                <w:bottom w:val="none" w:sz="0" w:space="0" w:color="auto"/>
                <w:right w:val="none" w:sz="0" w:space="0" w:color="auto"/>
              </w:divBdr>
            </w:div>
            <w:div w:id="592710720">
              <w:marLeft w:val="0"/>
              <w:marRight w:val="0"/>
              <w:marTop w:val="0"/>
              <w:marBottom w:val="0"/>
              <w:divBdr>
                <w:top w:val="none" w:sz="0" w:space="0" w:color="auto"/>
                <w:left w:val="none" w:sz="0" w:space="0" w:color="auto"/>
                <w:bottom w:val="none" w:sz="0" w:space="0" w:color="auto"/>
                <w:right w:val="none" w:sz="0" w:space="0" w:color="auto"/>
              </w:divBdr>
            </w:div>
          </w:divsChild>
        </w:div>
        <w:div w:id="1351757503">
          <w:marLeft w:val="0"/>
          <w:marRight w:val="0"/>
          <w:marTop w:val="0"/>
          <w:marBottom w:val="0"/>
          <w:divBdr>
            <w:top w:val="none" w:sz="0" w:space="0" w:color="auto"/>
            <w:left w:val="none" w:sz="0" w:space="0" w:color="auto"/>
            <w:bottom w:val="none" w:sz="0" w:space="0" w:color="auto"/>
            <w:right w:val="none" w:sz="0" w:space="0" w:color="auto"/>
          </w:divBdr>
          <w:divsChild>
            <w:div w:id="1127821541">
              <w:marLeft w:val="0"/>
              <w:marRight w:val="0"/>
              <w:marTop w:val="0"/>
              <w:marBottom w:val="0"/>
              <w:divBdr>
                <w:top w:val="none" w:sz="0" w:space="0" w:color="auto"/>
                <w:left w:val="none" w:sz="0" w:space="0" w:color="auto"/>
                <w:bottom w:val="none" w:sz="0" w:space="0" w:color="auto"/>
                <w:right w:val="none" w:sz="0" w:space="0" w:color="auto"/>
              </w:divBdr>
            </w:div>
          </w:divsChild>
        </w:div>
        <w:div w:id="1984264093">
          <w:marLeft w:val="0"/>
          <w:marRight w:val="0"/>
          <w:marTop w:val="0"/>
          <w:marBottom w:val="0"/>
          <w:divBdr>
            <w:top w:val="none" w:sz="0" w:space="0" w:color="auto"/>
            <w:left w:val="none" w:sz="0" w:space="0" w:color="auto"/>
            <w:bottom w:val="none" w:sz="0" w:space="0" w:color="auto"/>
            <w:right w:val="none" w:sz="0" w:space="0" w:color="auto"/>
          </w:divBdr>
          <w:divsChild>
            <w:div w:id="1936286757">
              <w:marLeft w:val="0"/>
              <w:marRight w:val="0"/>
              <w:marTop w:val="0"/>
              <w:marBottom w:val="0"/>
              <w:divBdr>
                <w:top w:val="none" w:sz="0" w:space="0" w:color="auto"/>
                <w:left w:val="none" w:sz="0" w:space="0" w:color="auto"/>
                <w:bottom w:val="none" w:sz="0" w:space="0" w:color="auto"/>
                <w:right w:val="none" w:sz="0" w:space="0" w:color="auto"/>
              </w:divBdr>
            </w:div>
            <w:div w:id="218634848">
              <w:marLeft w:val="0"/>
              <w:marRight w:val="0"/>
              <w:marTop w:val="0"/>
              <w:marBottom w:val="0"/>
              <w:divBdr>
                <w:top w:val="none" w:sz="0" w:space="0" w:color="auto"/>
                <w:left w:val="none" w:sz="0" w:space="0" w:color="auto"/>
                <w:bottom w:val="none" w:sz="0" w:space="0" w:color="auto"/>
                <w:right w:val="none" w:sz="0" w:space="0" w:color="auto"/>
              </w:divBdr>
            </w:div>
          </w:divsChild>
        </w:div>
        <w:div w:id="1011252277">
          <w:marLeft w:val="0"/>
          <w:marRight w:val="0"/>
          <w:marTop w:val="0"/>
          <w:marBottom w:val="0"/>
          <w:divBdr>
            <w:top w:val="none" w:sz="0" w:space="0" w:color="auto"/>
            <w:left w:val="none" w:sz="0" w:space="0" w:color="auto"/>
            <w:bottom w:val="none" w:sz="0" w:space="0" w:color="auto"/>
            <w:right w:val="none" w:sz="0" w:space="0" w:color="auto"/>
          </w:divBdr>
          <w:divsChild>
            <w:div w:id="1928151400">
              <w:marLeft w:val="0"/>
              <w:marRight w:val="0"/>
              <w:marTop w:val="0"/>
              <w:marBottom w:val="0"/>
              <w:divBdr>
                <w:top w:val="none" w:sz="0" w:space="0" w:color="auto"/>
                <w:left w:val="none" w:sz="0" w:space="0" w:color="auto"/>
                <w:bottom w:val="none" w:sz="0" w:space="0" w:color="auto"/>
                <w:right w:val="none" w:sz="0" w:space="0" w:color="auto"/>
              </w:divBdr>
            </w:div>
          </w:divsChild>
        </w:div>
        <w:div w:id="2146926205">
          <w:marLeft w:val="0"/>
          <w:marRight w:val="0"/>
          <w:marTop w:val="0"/>
          <w:marBottom w:val="0"/>
          <w:divBdr>
            <w:top w:val="none" w:sz="0" w:space="0" w:color="auto"/>
            <w:left w:val="none" w:sz="0" w:space="0" w:color="auto"/>
            <w:bottom w:val="none" w:sz="0" w:space="0" w:color="auto"/>
            <w:right w:val="none" w:sz="0" w:space="0" w:color="auto"/>
          </w:divBdr>
          <w:divsChild>
            <w:div w:id="661540836">
              <w:marLeft w:val="0"/>
              <w:marRight w:val="0"/>
              <w:marTop w:val="0"/>
              <w:marBottom w:val="0"/>
              <w:divBdr>
                <w:top w:val="none" w:sz="0" w:space="0" w:color="auto"/>
                <w:left w:val="none" w:sz="0" w:space="0" w:color="auto"/>
                <w:bottom w:val="none" w:sz="0" w:space="0" w:color="auto"/>
                <w:right w:val="none" w:sz="0" w:space="0" w:color="auto"/>
              </w:divBdr>
            </w:div>
          </w:divsChild>
        </w:div>
        <w:div w:id="424156478">
          <w:marLeft w:val="0"/>
          <w:marRight w:val="0"/>
          <w:marTop w:val="0"/>
          <w:marBottom w:val="0"/>
          <w:divBdr>
            <w:top w:val="none" w:sz="0" w:space="0" w:color="auto"/>
            <w:left w:val="none" w:sz="0" w:space="0" w:color="auto"/>
            <w:bottom w:val="none" w:sz="0" w:space="0" w:color="auto"/>
            <w:right w:val="none" w:sz="0" w:space="0" w:color="auto"/>
          </w:divBdr>
          <w:divsChild>
            <w:div w:id="671224401">
              <w:marLeft w:val="0"/>
              <w:marRight w:val="0"/>
              <w:marTop w:val="0"/>
              <w:marBottom w:val="0"/>
              <w:divBdr>
                <w:top w:val="none" w:sz="0" w:space="0" w:color="auto"/>
                <w:left w:val="none" w:sz="0" w:space="0" w:color="auto"/>
                <w:bottom w:val="none" w:sz="0" w:space="0" w:color="auto"/>
                <w:right w:val="none" w:sz="0" w:space="0" w:color="auto"/>
              </w:divBdr>
            </w:div>
            <w:div w:id="1226912253">
              <w:marLeft w:val="0"/>
              <w:marRight w:val="0"/>
              <w:marTop w:val="0"/>
              <w:marBottom w:val="0"/>
              <w:divBdr>
                <w:top w:val="none" w:sz="0" w:space="0" w:color="auto"/>
                <w:left w:val="none" w:sz="0" w:space="0" w:color="auto"/>
                <w:bottom w:val="none" w:sz="0" w:space="0" w:color="auto"/>
                <w:right w:val="none" w:sz="0" w:space="0" w:color="auto"/>
              </w:divBdr>
            </w:div>
            <w:div w:id="14131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2795">
      <w:bodyDiv w:val="1"/>
      <w:marLeft w:val="0"/>
      <w:marRight w:val="0"/>
      <w:marTop w:val="0"/>
      <w:marBottom w:val="0"/>
      <w:divBdr>
        <w:top w:val="none" w:sz="0" w:space="0" w:color="auto"/>
        <w:left w:val="none" w:sz="0" w:space="0" w:color="auto"/>
        <w:bottom w:val="none" w:sz="0" w:space="0" w:color="auto"/>
        <w:right w:val="none" w:sz="0" w:space="0" w:color="auto"/>
      </w:divBdr>
      <w:divsChild>
        <w:div w:id="1626497902">
          <w:marLeft w:val="0"/>
          <w:marRight w:val="0"/>
          <w:marTop w:val="0"/>
          <w:marBottom w:val="0"/>
          <w:divBdr>
            <w:top w:val="none" w:sz="0" w:space="0" w:color="auto"/>
            <w:left w:val="none" w:sz="0" w:space="0" w:color="auto"/>
            <w:bottom w:val="none" w:sz="0" w:space="0" w:color="auto"/>
            <w:right w:val="none" w:sz="0" w:space="0" w:color="auto"/>
          </w:divBdr>
        </w:div>
        <w:div w:id="345329906">
          <w:marLeft w:val="0"/>
          <w:marRight w:val="0"/>
          <w:marTop w:val="0"/>
          <w:marBottom w:val="0"/>
          <w:divBdr>
            <w:top w:val="none" w:sz="0" w:space="0" w:color="auto"/>
            <w:left w:val="none" w:sz="0" w:space="0" w:color="auto"/>
            <w:bottom w:val="none" w:sz="0" w:space="0" w:color="auto"/>
            <w:right w:val="none" w:sz="0" w:space="0" w:color="auto"/>
          </w:divBdr>
        </w:div>
        <w:div w:id="1797019017">
          <w:marLeft w:val="0"/>
          <w:marRight w:val="0"/>
          <w:marTop w:val="0"/>
          <w:marBottom w:val="0"/>
          <w:divBdr>
            <w:top w:val="none" w:sz="0" w:space="0" w:color="auto"/>
            <w:left w:val="none" w:sz="0" w:space="0" w:color="auto"/>
            <w:bottom w:val="none" w:sz="0" w:space="0" w:color="auto"/>
            <w:right w:val="none" w:sz="0" w:space="0" w:color="auto"/>
          </w:divBdr>
        </w:div>
      </w:divsChild>
    </w:div>
    <w:div w:id="21182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A05FC29937F348B2359808BCF24071" ma:contentTypeVersion="4" ma:contentTypeDescription="Een nieuw document maken." ma:contentTypeScope="" ma:versionID="32f8ccc82ee419d494bafbb7859a758a">
  <xsd:schema xmlns:xsd="http://www.w3.org/2001/XMLSchema" xmlns:xs="http://www.w3.org/2001/XMLSchema" xmlns:p="http://schemas.microsoft.com/office/2006/metadata/properties" xmlns:ns2="3e97013b-1fda-4126-ba65-10fb8f3213a2" targetNamespace="http://schemas.microsoft.com/office/2006/metadata/properties" ma:root="true" ma:fieldsID="afcd562995a6c76a24561a97d2974abb" ns2:_="">
    <xsd:import namespace="3e97013b-1fda-4126-ba65-10fb8f3213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7013b-1fda-4126-ba65-10fb8f3213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17B22-E187-4AC4-B0ED-10E36C771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7013b-1fda-4126-ba65-10fb8f321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4.xml><?xml version="1.0" encoding="utf-8"?>
<ds:datastoreItem xmlns:ds="http://schemas.openxmlformats.org/officeDocument/2006/customXml" ds:itemID="{16C2A7FD-E3CF-4E43-A3BE-ADD262136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37</Pages>
  <Words>28479</Words>
  <Characters>162331</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9</cp:revision>
  <dcterms:created xsi:type="dcterms:W3CDTF">2021-10-20T11:12:00Z</dcterms:created>
  <dcterms:modified xsi:type="dcterms:W3CDTF">2021-11-02T09:09:00Z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0x0101009FA05FC29937F348B2359808BCF24071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57d26999-c303-3950-a09d-d09ca1aaf5ea</vt:lpwstr>
  </property>
  <property fmtid="{D5CDD505-2E9C-101B-9397-08002B2CF9AE}" pid="25" name="Mendeley Citation Style_1">
    <vt:lpwstr>http://www.zotero.org/styles/apa</vt:lpwstr>
  </property>
</Properties>
</file>