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6931" w14:textId="77777777" w:rsidR="00DE151D" w:rsidRDefault="00DE151D" w:rsidP="00DE151D">
      <w:pPr>
        <w:pStyle w:val="Heading1"/>
        <w:numPr>
          <w:ilvl w:val="0"/>
          <w:numId w:val="0"/>
        </w:numPr>
      </w:pPr>
      <w:bookmarkStart w:id="0" w:name="_Toc27575035"/>
      <w:bookmarkStart w:id="1" w:name="_Hlk80948713"/>
      <w:r>
        <w:t>History of changes</w:t>
      </w:r>
      <w:bookmarkEnd w:id="0"/>
    </w:p>
    <w:bookmarkEnd w:id="1"/>
    <w:p w14:paraId="22902F9E" w14:textId="1C118F49" w:rsidR="005D7153" w:rsidRDefault="005D71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1341"/>
        <w:gridCol w:w="6054"/>
        <w:gridCol w:w="745"/>
      </w:tblGrid>
      <w:tr w:rsidR="00B53798" w:rsidRPr="00AA0514" w14:paraId="683C5382" w14:textId="77777777" w:rsidTr="009C19B1">
        <w:tc>
          <w:tcPr>
            <w:tcW w:w="922" w:type="dxa"/>
            <w:shd w:val="clear" w:color="auto" w:fill="0075B0"/>
          </w:tcPr>
          <w:p w14:paraId="3E15F099" w14:textId="77777777" w:rsidR="00B53798" w:rsidRPr="00AA0514" w:rsidRDefault="00B53798" w:rsidP="0075697E">
            <w:pPr>
              <w:rPr>
                <w:b/>
                <w:color w:val="FFFFFF" w:themeColor="background1"/>
                <w:szCs w:val="21"/>
              </w:rPr>
            </w:pPr>
            <w:r w:rsidRPr="00AA0514">
              <w:rPr>
                <w:b/>
                <w:color w:val="FFFFFF" w:themeColor="background1"/>
                <w:szCs w:val="21"/>
              </w:rPr>
              <w:t>Version</w:t>
            </w:r>
          </w:p>
        </w:tc>
        <w:tc>
          <w:tcPr>
            <w:tcW w:w="1341" w:type="dxa"/>
            <w:shd w:val="clear" w:color="auto" w:fill="0075B0"/>
          </w:tcPr>
          <w:p w14:paraId="6ABBECA1" w14:textId="77777777" w:rsidR="00B53798" w:rsidRPr="00AA0514" w:rsidRDefault="00B53798" w:rsidP="0075697E">
            <w:pPr>
              <w:rPr>
                <w:b/>
                <w:color w:val="FFFFFF" w:themeColor="background1"/>
                <w:szCs w:val="21"/>
              </w:rPr>
            </w:pPr>
            <w:r w:rsidRPr="00AA0514">
              <w:rPr>
                <w:b/>
                <w:color w:val="FFFFFF" w:themeColor="background1"/>
                <w:szCs w:val="21"/>
              </w:rPr>
              <w:t>Date</w:t>
            </w:r>
          </w:p>
        </w:tc>
        <w:tc>
          <w:tcPr>
            <w:tcW w:w="6054" w:type="dxa"/>
            <w:shd w:val="clear" w:color="auto" w:fill="0075B0"/>
          </w:tcPr>
          <w:p w14:paraId="4671CE87" w14:textId="77777777" w:rsidR="00B53798" w:rsidRPr="00AA0514" w:rsidRDefault="00B53798" w:rsidP="0075697E">
            <w:pPr>
              <w:rPr>
                <w:b/>
                <w:color w:val="FFFFFF" w:themeColor="background1"/>
                <w:szCs w:val="21"/>
              </w:rPr>
            </w:pPr>
            <w:r w:rsidRPr="00AA0514">
              <w:rPr>
                <w:b/>
                <w:color w:val="FFFFFF" w:themeColor="background1"/>
                <w:szCs w:val="21"/>
              </w:rPr>
              <w:t>Changes</w:t>
            </w:r>
          </w:p>
        </w:tc>
        <w:tc>
          <w:tcPr>
            <w:tcW w:w="745" w:type="dxa"/>
            <w:shd w:val="clear" w:color="auto" w:fill="0075B0"/>
          </w:tcPr>
          <w:p w14:paraId="170CFC6B" w14:textId="77777777" w:rsidR="00B53798" w:rsidRPr="00AA0514" w:rsidRDefault="00B53798" w:rsidP="0075697E">
            <w:pPr>
              <w:rPr>
                <w:b/>
                <w:color w:val="FFFFFF" w:themeColor="background1"/>
                <w:szCs w:val="21"/>
              </w:rPr>
            </w:pPr>
            <w:r>
              <w:rPr>
                <w:b/>
                <w:color w:val="FFFFFF" w:themeColor="background1"/>
                <w:szCs w:val="21"/>
              </w:rPr>
              <w:t>Pages</w:t>
            </w:r>
          </w:p>
        </w:tc>
      </w:tr>
      <w:tr w:rsidR="00B53798" w14:paraId="0067E05C" w14:textId="77777777" w:rsidTr="009C19B1">
        <w:tc>
          <w:tcPr>
            <w:tcW w:w="922" w:type="dxa"/>
            <w:vMerge w:val="restart"/>
          </w:tcPr>
          <w:p w14:paraId="6D5C9CBB" w14:textId="77777777" w:rsidR="00B53798" w:rsidRPr="001C0023" w:rsidRDefault="00B53798" w:rsidP="0075697E">
            <w:pPr>
              <w:rPr>
                <w:color w:val="00376F"/>
              </w:rPr>
            </w:pPr>
            <w:r w:rsidRPr="001C0023">
              <w:rPr>
                <w:color w:val="00376F"/>
              </w:rPr>
              <w:t>V1</w:t>
            </w:r>
          </w:p>
          <w:p w14:paraId="14F5B177" w14:textId="77777777" w:rsidR="00B53798" w:rsidRPr="001C0023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 w:val="restart"/>
          </w:tcPr>
          <w:p w14:paraId="30A5DBB4" w14:textId="77777777" w:rsidR="00B53798" w:rsidRPr="001C0023" w:rsidRDefault="00B53798" w:rsidP="0075697E">
            <w:pPr>
              <w:rPr>
                <w:color w:val="00376F"/>
              </w:rPr>
            </w:pPr>
            <w:r>
              <w:rPr>
                <w:color w:val="00376F"/>
              </w:rPr>
              <w:t>01-09-2021</w:t>
            </w:r>
          </w:p>
        </w:tc>
        <w:tc>
          <w:tcPr>
            <w:tcW w:w="6054" w:type="dxa"/>
          </w:tcPr>
          <w:p w14:paraId="65EA4814" w14:textId="77777777" w:rsidR="00B53798" w:rsidRPr="001C0023" w:rsidRDefault="00B53798" w:rsidP="0075697E">
            <w:pPr>
              <w:rPr>
                <w:color w:val="00376F"/>
              </w:rPr>
            </w:pPr>
            <w:r w:rsidRPr="001C0023">
              <w:rPr>
                <w:color w:val="00376F"/>
              </w:rPr>
              <w:t>Update to publishable summary and introduction (section 1)</w:t>
            </w:r>
          </w:p>
        </w:tc>
        <w:tc>
          <w:tcPr>
            <w:tcW w:w="745" w:type="dxa"/>
          </w:tcPr>
          <w:p w14:paraId="67DC103D" w14:textId="77777777" w:rsidR="00B53798" w:rsidRPr="001C0023" w:rsidRDefault="00B53798" w:rsidP="0075697E">
            <w:pPr>
              <w:rPr>
                <w:color w:val="00376F"/>
              </w:rPr>
            </w:pPr>
            <w:r w:rsidRPr="001C0023">
              <w:rPr>
                <w:color w:val="00376F"/>
              </w:rPr>
              <w:t>4 + 6</w:t>
            </w:r>
          </w:p>
        </w:tc>
      </w:tr>
      <w:tr w:rsidR="00B53798" w14:paraId="7B6B1E16" w14:textId="77777777" w:rsidTr="009C19B1">
        <w:tc>
          <w:tcPr>
            <w:tcW w:w="922" w:type="dxa"/>
            <w:vMerge/>
          </w:tcPr>
          <w:p w14:paraId="2C16E7FD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05CEA217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632D11AA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Update to Figure 1-2 (Gantt Chart): due date of D6.1 updated from M18 to M25</w:t>
            </w:r>
          </w:p>
        </w:tc>
        <w:tc>
          <w:tcPr>
            <w:tcW w:w="745" w:type="dxa"/>
          </w:tcPr>
          <w:p w14:paraId="530B8145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9</w:t>
            </w:r>
          </w:p>
        </w:tc>
      </w:tr>
      <w:tr w:rsidR="00B53798" w14:paraId="363F48FC" w14:textId="77777777" w:rsidTr="009C19B1">
        <w:tc>
          <w:tcPr>
            <w:tcW w:w="922" w:type="dxa"/>
            <w:vMerge/>
          </w:tcPr>
          <w:p w14:paraId="576E3305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39A81890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00C32CAD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 xml:space="preserve">Update to Table 1-1 (General assembly members and deputies): names of GA members </w:t>
            </w:r>
          </w:p>
        </w:tc>
        <w:tc>
          <w:tcPr>
            <w:tcW w:w="745" w:type="dxa"/>
          </w:tcPr>
          <w:p w14:paraId="5A958C96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11</w:t>
            </w:r>
          </w:p>
        </w:tc>
      </w:tr>
      <w:tr w:rsidR="00B53798" w14:paraId="6DACD35E" w14:textId="77777777" w:rsidTr="009C19B1">
        <w:tc>
          <w:tcPr>
            <w:tcW w:w="922" w:type="dxa"/>
            <w:vMerge/>
          </w:tcPr>
          <w:p w14:paraId="34DFBF78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06C122DB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3A62F13E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Update to Table 1-3 (Work Package Leaders and deputies): names of WP leaders</w:t>
            </w:r>
          </w:p>
        </w:tc>
        <w:tc>
          <w:tcPr>
            <w:tcW w:w="745" w:type="dxa"/>
          </w:tcPr>
          <w:p w14:paraId="00CDAE85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13</w:t>
            </w:r>
          </w:p>
        </w:tc>
      </w:tr>
      <w:tr w:rsidR="00B53798" w14:paraId="571A2826" w14:textId="77777777" w:rsidTr="009C19B1">
        <w:tc>
          <w:tcPr>
            <w:tcW w:w="922" w:type="dxa"/>
            <w:vMerge/>
          </w:tcPr>
          <w:p w14:paraId="1A35C00D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1B157E54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229C1A8F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 xml:space="preserve">Update to Sect. 1.2.6: </w:t>
            </w:r>
          </w:p>
          <w:p w14:paraId="59B3A2B6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 xml:space="preserve">Table 1-4 (Sounding Board members): names of confirmed members added </w:t>
            </w:r>
          </w:p>
        </w:tc>
        <w:tc>
          <w:tcPr>
            <w:tcW w:w="745" w:type="dxa"/>
          </w:tcPr>
          <w:p w14:paraId="5B75F3E3" w14:textId="77777777" w:rsidR="00B53798" w:rsidRPr="001C0023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15</w:t>
            </w:r>
          </w:p>
        </w:tc>
      </w:tr>
      <w:tr w:rsidR="00B53798" w14:paraId="59EBF9E2" w14:textId="77777777" w:rsidTr="009C19B1">
        <w:tc>
          <w:tcPr>
            <w:tcW w:w="922" w:type="dxa"/>
            <w:vMerge/>
          </w:tcPr>
          <w:p w14:paraId="21832E18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408C24F6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5B72CDD4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Update to Sect 2.2 (Internal Project Monitoring):</w:t>
            </w:r>
          </w:p>
          <w:p w14:paraId="5E4F1D66" w14:textId="77777777" w:rsidR="00B53798" w:rsidRPr="001C0023" w:rsidRDefault="00B53798" w:rsidP="00B53798">
            <w:pPr>
              <w:pStyle w:val="ListParagraph"/>
              <w:numPr>
                <w:ilvl w:val="0"/>
                <w:numId w:val="4"/>
              </w:numPr>
              <w:contextualSpacing/>
              <w:rPr>
                <w:color w:val="00376F"/>
              </w:rPr>
            </w:pPr>
            <w:r w:rsidRPr="001C0023">
              <w:rPr>
                <w:color w:val="00376F"/>
              </w:rPr>
              <w:t xml:space="preserve">Deadline for internal reporting </w:t>
            </w:r>
          </w:p>
          <w:p w14:paraId="1C27B4AA" w14:textId="77777777" w:rsidR="00B53798" w:rsidRPr="001C0023" w:rsidRDefault="00B53798" w:rsidP="00B53798">
            <w:pPr>
              <w:pStyle w:val="ListParagraph"/>
              <w:numPr>
                <w:ilvl w:val="0"/>
                <w:numId w:val="4"/>
              </w:numPr>
              <w:rPr>
                <w:color w:val="00376F"/>
              </w:rPr>
            </w:pPr>
            <w:r w:rsidRPr="001C0023">
              <w:rPr>
                <w:color w:val="00376F"/>
              </w:rPr>
              <w:t>Update to Table 2-1 (Project progress monitoring: tentative GA meeting schedule): dates and location of meetings</w:t>
            </w:r>
          </w:p>
        </w:tc>
        <w:tc>
          <w:tcPr>
            <w:tcW w:w="745" w:type="dxa"/>
          </w:tcPr>
          <w:p w14:paraId="3A4A92BC" w14:textId="77777777" w:rsidR="00B53798" w:rsidRPr="001C0023" w:rsidRDefault="00B53798" w:rsidP="0075697E">
            <w:pPr>
              <w:rPr>
                <w:color w:val="00376F"/>
              </w:rPr>
            </w:pPr>
            <w:r w:rsidRPr="001C0023">
              <w:rPr>
                <w:color w:val="00376F"/>
              </w:rPr>
              <w:t>17</w:t>
            </w:r>
          </w:p>
        </w:tc>
      </w:tr>
      <w:tr w:rsidR="00B53798" w14:paraId="54E705B2" w14:textId="77777777" w:rsidTr="009C19B1">
        <w:tc>
          <w:tcPr>
            <w:tcW w:w="922" w:type="dxa"/>
            <w:vMerge/>
          </w:tcPr>
          <w:p w14:paraId="4CDE26CC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018335D5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21B4D810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 xml:space="preserve">Update to Sect. 3.2 (Critical Risks and Risk mitigation): added reference to D8.2 </w:t>
            </w:r>
          </w:p>
        </w:tc>
        <w:tc>
          <w:tcPr>
            <w:tcW w:w="745" w:type="dxa"/>
          </w:tcPr>
          <w:p w14:paraId="31D1B3AF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23</w:t>
            </w:r>
          </w:p>
        </w:tc>
      </w:tr>
      <w:tr w:rsidR="00B53798" w14:paraId="18A7D58F" w14:textId="77777777" w:rsidTr="009C19B1">
        <w:tc>
          <w:tcPr>
            <w:tcW w:w="922" w:type="dxa"/>
            <w:vMerge/>
          </w:tcPr>
          <w:p w14:paraId="3DD259F0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1341" w:type="dxa"/>
            <w:vMerge/>
          </w:tcPr>
          <w:p w14:paraId="49D12D4B" w14:textId="77777777" w:rsidR="00B53798" w:rsidRPr="00E52A90" w:rsidRDefault="00B53798" w:rsidP="0075697E">
            <w:pPr>
              <w:rPr>
                <w:color w:val="00376F"/>
              </w:rPr>
            </w:pPr>
          </w:p>
        </w:tc>
        <w:tc>
          <w:tcPr>
            <w:tcW w:w="6054" w:type="dxa"/>
          </w:tcPr>
          <w:p w14:paraId="78C37FAB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Update to Table 4-2 (List of Deliverables): due date of D6.1 updated from M18 to M25</w:t>
            </w:r>
          </w:p>
        </w:tc>
        <w:tc>
          <w:tcPr>
            <w:tcW w:w="745" w:type="dxa"/>
          </w:tcPr>
          <w:p w14:paraId="7F05B2C3" w14:textId="77777777" w:rsidR="00B53798" w:rsidRPr="00E52A90" w:rsidRDefault="00B53798" w:rsidP="0075697E">
            <w:pPr>
              <w:rPr>
                <w:color w:val="00376F"/>
              </w:rPr>
            </w:pPr>
            <w:r w:rsidRPr="00E52A90">
              <w:rPr>
                <w:color w:val="00376F"/>
              </w:rPr>
              <w:t>27</w:t>
            </w:r>
          </w:p>
        </w:tc>
      </w:tr>
    </w:tbl>
    <w:p w14:paraId="781E50FD" w14:textId="77777777" w:rsidR="00B53798" w:rsidRDefault="00B53798"/>
    <w:sectPr w:rsidR="00B53798" w:rsidSect="00B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7571"/>
    <w:multiLevelType w:val="multilevel"/>
    <w:tmpl w:val="B3A67A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E6098A"/>
    <w:multiLevelType w:val="hybridMultilevel"/>
    <w:tmpl w:val="3E46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3232"/>
    <w:multiLevelType w:val="hybridMultilevel"/>
    <w:tmpl w:val="C8EC8F50"/>
    <w:lvl w:ilvl="0" w:tplc="C644CB8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E3799"/>
    <w:multiLevelType w:val="hybridMultilevel"/>
    <w:tmpl w:val="3892A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1D"/>
    <w:rsid w:val="004150D2"/>
    <w:rsid w:val="00493356"/>
    <w:rsid w:val="005A663E"/>
    <w:rsid w:val="005D7153"/>
    <w:rsid w:val="00695955"/>
    <w:rsid w:val="006B0354"/>
    <w:rsid w:val="008F3DC5"/>
    <w:rsid w:val="00940A9E"/>
    <w:rsid w:val="00947529"/>
    <w:rsid w:val="009C19B1"/>
    <w:rsid w:val="00A35BF2"/>
    <w:rsid w:val="00AA35BE"/>
    <w:rsid w:val="00B174AB"/>
    <w:rsid w:val="00B32535"/>
    <w:rsid w:val="00B53798"/>
    <w:rsid w:val="00C620F2"/>
    <w:rsid w:val="00C92277"/>
    <w:rsid w:val="00CD70FE"/>
    <w:rsid w:val="00DE151D"/>
    <w:rsid w:val="00E86738"/>
    <w:rsid w:val="00F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2D0A"/>
  <w15:chartTrackingRefBased/>
  <w15:docId w15:val="{5A84FD56-E634-4342-83C2-30BBBE3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151D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BodyText"/>
    <w:link w:val="Heading1Char"/>
    <w:uiPriority w:val="1"/>
    <w:qFormat/>
    <w:rsid w:val="00DE151D"/>
    <w:pPr>
      <w:numPr>
        <w:numId w:val="1"/>
      </w:numPr>
      <w:spacing w:after="0"/>
      <w:outlineLvl w:val="0"/>
    </w:pPr>
    <w:rPr>
      <w:rFonts w:eastAsia="Arial"/>
      <w:b/>
      <w:sz w:val="32"/>
      <w:szCs w:val="33"/>
    </w:rPr>
  </w:style>
  <w:style w:type="paragraph" w:styleId="Heading2">
    <w:name w:val="heading 2"/>
    <w:basedOn w:val="Normal"/>
    <w:link w:val="Heading2Char"/>
    <w:uiPriority w:val="1"/>
    <w:qFormat/>
    <w:rsid w:val="00DE151D"/>
    <w:pPr>
      <w:numPr>
        <w:ilvl w:val="1"/>
        <w:numId w:val="1"/>
      </w:numPr>
      <w:outlineLvl w:val="1"/>
    </w:pPr>
    <w:rPr>
      <w:rFonts w:eastAsia="Arial"/>
      <w:b/>
      <w:sz w:val="24"/>
      <w:szCs w:val="29"/>
    </w:rPr>
  </w:style>
  <w:style w:type="paragraph" w:styleId="Heading3">
    <w:name w:val="heading 3"/>
    <w:basedOn w:val="Normal"/>
    <w:link w:val="Heading3Char"/>
    <w:uiPriority w:val="1"/>
    <w:qFormat/>
    <w:rsid w:val="00DE151D"/>
    <w:pPr>
      <w:numPr>
        <w:ilvl w:val="2"/>
        <w:numId w:val="1"/>
      </w:numPr>
      <w:ind w:left="862"/>
      <w:outlineLvl w:val="2"/>
    </w:pPr>
    <w:rPr>
      <w:rFonts w:eastAsia="Times New Roman"/>
      <w:b/>
      <w:szCs w:val="28"/>
    </w:rPr>
  </w:style>
  <w:style w:type="paragraph" w:styleId="Heading4">
    <w:name w:val="heading 4"/>
    <w:basedOn w:val="Normal"/>
    <w:link w:val="Heading4Char"/>
    <w:uiPriority w:val="1"/>
    <w:qFormat/>
    <w:rsid w:val="00DE151D"/>
    <w:pPr>
      <w:numPr>
        <w:ilvl w:val="3"/>
        <w:numId w:val="1"/>
      </w:num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DE151D"/>
    <w:pPr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15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15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15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15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151D"/>
    <w:rPr>
      <w:rFonts w:eastAsia="Arial"/>
      <w:b/>
      <w:sz w:val="32"/>
      <w:szCs w:val="33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E151D"/>
    <w:rPr>
      <w:rFonts w:eastAsia="Arial"/>
      <w:b/>
      <w:sz w:val="24"/>
      <w:szCs w:val="29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E151D"/>
    <w:rPr>
      <w:rFonts w:eastAsia="Times New Roman"/>
      <w:b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DE151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DE151D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E15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E15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E15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E15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aliases w:val="Lista viñetas,Task Body,Viñetas (Inicio Parrafo),Paragrafo elenco,3 Txt tabla,Zerrenda-paragrafoa,List Paragraph1,Liste à puces retrait droite,Llista Nivell1,Lista de nivel 1,Paragraphe de liste PBLH,BULLET 1,List Bulletized,EU List,Dot pt"/>
    <w:basedOn w:val="Normal"/>
    <w:link w:val="ListParagraphChar"/>
    <w:uiPriority w:val="34"/>
    <w:qFormat/>
    <w:rsid w:val="00DE151D"/>
  </w:style>
  <w:style w:type="table" w:styleId="TableGrid">
    <w:name w:val="Table Grid"/>
    <w:basedOn w:val="TableNormal"/>
    <w:uiPriority w:val="59"/>
    <w:rsid w:val="00DE15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a viñetas Char,Task Body Char,Viñetas (Inicio Parrafo) Char,Paragrafo elenco Char,3 Txt tabla Char,Zerrenda-paragrafoa Char,List Paragraph1 Char,Liste à puces retrait droite Char,Llista Nivell1 Char,Lista de nivel 1 Char"/>
    <w:link w:val="ListParagraph"/>
    <w:uiPriority w:val="34"/>
    <w:qFormat/>
    <w:locked/>
    <w:rsid w:val="00DE151D"/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E1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15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Bogelund</dc:creator>
  <cp:keywords/>
  <dc:description/>
  <cp:lastModifiedBy>Eva Bogelund</cp:lastModifiedBy>
  <cp:revision>7</cp:revision>
  <dcterms:created xsi:type="dcterms:W3CDTF">2021-04-15T09:00:00Z</dcterms:created>
  <dcterms:modified xsi:type="dcterms:W3CDTF">2021-09-27T08:17:00Z</dcterms:modified>
</cp:coreProperties>
</file>